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B43CD">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bookmarkStart w:id="0" w:name="OLE_LINK7"/>
      <w:bookmarkStart w:id="1" w:name="OLE_LINK34"/>
      <w:bookmarkStart w:id="27" w:name="_GoBack"/>
      <w:bookmarkEnd w:id="27"/>
    </w:p>
    <w:p w14:paraId="633B8D9C">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p>
    <w:p w14:paraId="37CBF6A1">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p>
    <w:p w14:paraId="64AA41A7">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p>
    <w:p w14:paraId="52DC1844">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p>
    <w:p w14:paraId="3A7625D9">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p>
    <w:p w14:paraId="5B07BA93">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方正小标宋简体" w:hAnsi="方正小标宋简体" w:eastAsia="方正小标宋简体" w:cs="方正小标宋简体"/>
          <w:b w:val="0"/>
          <w:bCs w:val="0"/>
          <w:color w:val="auto"/>
          <w:spacing w:val="0"/>
          <w:sz w:val="44"/>
          <w:szCs w:val="44"/>
          <w:highlight w:val="none"/>
          <w:u w:val="none"/>
          <w:lang w:val="zh-CN"/>
        </w:rPr>
      </w:pPr>
      <w:r>
        <w:rPr>
          <w:rFonts w:hint="eastAsia" w:ascii="方正小标宋简体" w:hAnsi="方正小标宋简体" w:eastAsia="方正小标宋简体" w:cs="方正小标宋简体"/>
          <w:b w:val="0"/>
          <w:bCs w:val="0"/>
          <w:color w:val="auto"/>
          <w:spacing w:val="0"/>
          <w:sz w:val="44"/>
          <w:szCs w:val="44"/>
          <w:highlight w:val="none"/>
          <w:u w:val="none"/>
          <w:lang w:val="zh-CN"/>
        </w:rPr>
        <w:t>湖南省</w:t>
      </w:r>
      <w:r>
        <w:rPr>
          <w:rFonts w:hint="eastAsia" w:ascii="方正小标宋简体" w:hAnsi="方正小标宋简体" w:eastAsia="方正小标宋简体" w:cs="方正小标宋简体"/>
          <w:b w:val="0"/>
          <w:bCs w:val="0"/>
          <w:color w:val="auto"/>
          <w:spacing w:val="0"/>
          <w:sz w:val="44"/>
          <w:szCs w:val="44"/>
          <w:highlight w:val="none"/>
          <w:u w:val="none"/>
          <w:lang w:val="zh-CN" w:eastAsia="zh-CN"/>
        </w:rPr>
        <w:t>交通运输厅</w:t>
      </w:r>
      <w:r>
        <w:rPr>
          <w:rFonts w:hint="eastAsia" w:ascii="方正小标宋简体" w:hAnsi="方正小标宋简体" w:eastAsia="方正小标宋简体" w:cs="方正小标宋简体"/>
          <w:b w:val="0"/>
          <w:bCs w:val="0"/>
          <w:color w:val="auto"/>
          <w:spacing w:val="0"/>
          <w:sz w:val="44"/>
          <w:szCs w:val="44"/>
          <w:highlight w:val="none"/>
          <w:u w:val="none"/>
          <w:lang w:val="zh-CN"/>
        </w:rPr>
        <w:t xml:space="preserve">  国家金融监督管理总局</w:t>
      </w:r>
    </w:p>
    <w:p w14:paraId="519CEF27">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方正小标宋简体" w:hAnsi="方正小标宋简体" w:eastAsia="方正小标宋简体" w:cs="方正小标宋简体"/>
          <w:b w:val="0"/>
          <w:bCs w:val="0"/>
          <w:color w:val="auto"/>
          <w:spacing w:val="0"/>
          <w:kern w:val="2"/>
          <w:sz w:val="44"/>
          <w:szCs w:val="44"/>
          <w:highlight w:val="none"/>
          <w:u w:val="none"/>
          <w:lang w:val="zh-CN" w:eastAsia="zh-CN"/>
        </w:rPr>
      </w:pPr>
      <w:r>
        <w:rPr>
          <w:rFonts w:hint="eastAsia" w:ascii="方正小标宋简体" w:hAnsi="方正小标宋简体" w:eastAsia="方正小标宋简体" w:cs="方正小标宋简体"/>
          <w:b w:val="0"/>
          <w:bCs w:val="0"/>
          <w:color w:val="auto"/>
          <w:spacing w:val="0"/>
          <w:sz w:val="44"/>
          <w:szCs w:val="44"/>
          <w:highlight w:val="none"/>
          <w:u w:val="none"/>
          <w:lang w:val="zh-CN"/>
        </w:rPr>
        <w:t>湖南监管局</w:t>
      </w:r>
      <w:r>
        <w:rPr>
          <w:rFonts w:hint="eastAsia" w:ascii="方正小标宋简体" w:hAnsi="方正小标宋简体" w:eastAsia="方正小标宋简体" w:cs="方正小标宋简体"/>
          <w:b w:val="0"/>
          <w:bCs w:val="0"/>
          <w:color w:val="auto"/>
          <w:spacing w:val="0"/>
          <w:sz w:val="44"/>
          <w:szCs w:val="44"/>
          <w:highlight w:val="none"/>
          <w:u w:val="none"/>
        </w:rPr>
        <w:t>关于进一步加强</w:t>
      </w:r>
      <w:r>
        <w:rPr>
          <w:rFonts w:hint="eastAsia" w:ascii="方正小标宋简体" w:hAnsi="方正小标宋简体" w:eastAsia="方正小标宋简体" w:cs="方正小标宋简体"/>
          <w:b w:val="0"/>
          <w:bCs w:val="0"/>
          <w:color w:val="auto"/>
          <w:spacing w:val="0"/>
          <w:sz w:val="44"/>
          <w:szCs w:val="44"/>
          <w:highlight w:val="none"/>
          <w:u w:val="none"/>
          <w:lang w:val="en-US" w:eastAsia="zh-CN"/>
        </w:rPr>
        <w:t>交通运输行业</w:t>
      </w:r>
      <w:r>
        <w:rPr>
          <w:rFonts w:hint="eastAsia" w:ascii="方正小标宋简体" w:hAnsi="方正小标宋简体" w:eastAsia="方正小标宋简体" w:cs="方正小标宋简体"/>
          <w:b w:val="0"/>
          <w:bCs w:val="0"/>
          <w:color w:val="auto"/>
          <w:spacing w:val="0"/>
          <w:sz w:val="44"/>
          <w:szCs w:val="44"/>
          <w:highlight w:val="none"/>
          <w:u w:val="none"/>
          <w:lang w:val="zh-CN"/>
        </w:rPr>
        <w:t>安全生产责任保险工作</w:t>
      </w:r>
      <w:r>
        <w:rPr>
          <w:rFonts w:hint="eastAsia" w:ascii="方正小标宋简体" w:hAnsi="方正小标宋简体" w:eastAsia="方正小标宋简体" w:cs="方正小标宋简体"/>
          <w:b w:val="0"/>
          <w:bCs w:val="0"/>
          <w:color w:val="auto"/>
          <w:spacing w:val="0"/>
          <w:sz w:val="44"/>
          <w:szCs w:val="44"/>
          <w:highlight w:val="none"/>
          <w:u w:val="none"/>
        </w:rPr>
        <w:t>的通知</w:t>
      </w:r>
      <w:r>
        <w:rPr>
          <w:rFonts w:hint="eastAsia" w:ascii="方正小标宋简体" w:hAnsi="方正小标宋简体" w:eastAsia="方正小标宋简体" w:cs="方正小标宋简体"/>
          <w:b w:val="0"/>
          <w:bCs w:val="0"/>
          <w:color w:val="auto"/>
          <w:spacing w:val="0"/>
          <w:sz w:val="44"/>
          <w:szCs w:val="44"/>
          <w:highlight w:val="none"/>
          <w:u w:val="none"/>
          <w:lang w:eastAsia="zh-CN"/>
        </w:rPr>
        <w:t>（征求意见稿）</w:t>
      </w:r>
    </w:p>
    <w:p w14:paraId="53E0547D">
      <w:pPr>
        <w:keepNext w:val="0"/>
        <w:keepLines w:val="0"/>
        <w:pageBreakBefore w:val="0"/>
        <w:widowControl w:val="0"/>
        <w:kinsoku/>
        <w:overflowPunct/>
        <w:topLinePunct w:val="0"/>
        <w:autoSpaceDE/>
        <w:autoSpaceDN/>
        <w:bidi w:val="0"/>
        <w:adjustRightInd/>
        <w:snapToGrid/>
        <w:spacing w:line="240" w:lineRule="auto"/>
        <w:textAlignment w:val="auto"/>
        <w:rPr>
          <w:rFonts w:hint="default" w:ascii="Times New Roman" w:hAnsi="Times New Roman" w:eastAsia="仿宋" w:cs="Times New Roman"/>
          <w:color w:val="auto"/>
          <w:spacing w:val="0"/>
          <w:sz w:val="32"/>
          <w:szCs w:val="32"/>
          <w:highlight w:val="none"/>
          <w:u w:val="none"/>
          <w:lang w:val="zh-CN"/>
        </w:rPr>
      </w:pPr>
    </w:p>
    <w:p w14:paraId="06F1312D">
      <w:pPr>
        <w:keepNext w:val="0"/>
        <w:keepLines w:val="0"/>
        <w:pageBreakBefore w:val="0"/>
        <w:widowControl w:val="0"/>
        <w:kinsoku/>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lang w:val="zh-CN"/>
        </w:rPr>
        <w:t>各市州</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lang w:val="zh-CN"/>
        </w:rPr>
        <w:t>局、金融监管分局，各有关保险机构、有关企业：</w:t>
      </w:r>
    </w:p>
    <w:p w14:paraId="4D91027F">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lang w:eastAsia="zh-CN"/>
        </w:rPr>
        <w:t>为</w:t>
      </w:r>
      <w:r>
        <w:rPr>
          <w:rFonts w:hint="eastAsia" w:ascii="仿宋_GB2312" w:hAnsi="仿宋_GB2312" w:eastAsia="仿宋_GB2312" w:cs="仿宋_GB2312"/>
          <w:color w:val="auto"/>
          <w:spacing w:val="0"/>
          <w:sz w:val="32"/>
          <w:szCs w:val="32"/>
          <w:highlight w:val="none"/>
          <w:u w:val="none"/>
        </w:rPr>
        <w:t>规范全省</w:t>
      </w:r>
      <w:r>
        <w:rPr>
          <w:rFonts w:hint="eastAsia" w:ascii="仿宋_GB2312" w:hAnsi="仿宋_GB2312" w:eastAsia="仿宋_GB2312" w:cs="仿宋_GB2312"/>
          <w:color w:val="auto"/>
          <w:spacing w:val="0"/>
          <w:sz w:val="32"/>
          <w:szCs w:val="32"/>
          <w:highlight w:val="none"/>
          <w:u w:val="none"/>
          <w:lang w:val="en-US" w:eastAsia="zh-CN"/>
        </w:rPr>
        <w:t>交通运输行业</w:t>
      </w:r>
      <w:r>
        <w:rPr>
          <w:rFonts w:hint="eastAsia" w:ascii="仿宋_GB2312" w:hAnsi="仿宋_GB2312" w:eastAsia="仿宋_GB2312" w:cs="仿宋_GB2312"/>
          <w:color w:val="auto"/>
          <w:spacing w:val="0"/>
          <w:sz w:val="32"/>
          <w:szCs w:val="32"/>
          <w:highlight w:val="none"/>
          <w:u w:val="none"/>
          <w:lang w:val="zh-CN"/>
        </w:rPr>
        <w:t>安全生产责任保险（</w:t>
      </w:r>
      <w:r>
        <w:rPr>
          <w:rFonts w:hint="eastAsia" w:ascii="仿宋_GB2312" w:hAnsi="仿宋_GB2312" w:eastAsia="仿宋_GB2312" w:cs="仿宋_GB2312"/>
          <w:color w:val="auto"/>
          <w:spacing w:val="0"/>
          <w:sz w:val="32"/>
          <w:szCs w:val="32"/>
          <w:highlight w:val="none"/>
          <w:u w:val="none"/>
        </w:rPr>
        <w:t>以下简称“安责险”</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rPr>
        <w:t>工作，切实发挥保险机构参与</w:t>
      </w:r>
      <w:r>
        <w:rPr>
          <w:rFonts w:hint="eastAsia" w:ascii="仿宋_GB2312" w:hAnsi="仿宋_GB2312" w:eastAsia="仿宋_GB2312" w:cs="仿宋_GB2312"/>
          <w:color w:val="auto"/>
          <w:spacing w:val="0"/>
          <w:sz w:val="32"/>
          <w:szCs w:val="32"/>
          <w:highlight w:val="none"/>
          <w:u w:val="none"/>
          <w:lang w:val="en-US" w:eastAsia="zh-CN"/>
        </w:rPr>
        <w:t>交通运输行业</w:t>
      </w:r>
      <w:r>
        <w:rPr>
          <w:rFonts w:hint="eastAsia" w:ascii="仿宋_GB2312" w:hAnsi="仿宋_GB2312" w:eastAsia="仿宋_GB2312" w:cs="仿宋_GB2312"/>
          <w:color w:val="auto"/>
          <w:spacing w:val="0"/>
          <w:sz w:val="32"/>
          <w:szCs w:val="32"/>
          <w:highlight w:val="none"/>
          <w:u w:val="none"/>
        </w:rPr>
        <w:t>风险评估管控和事故预防功能，</w:t>
      </w:r>
      <w:r>
        <w:rPr>
          <w:rFonts w:hint="eastAsia" w:ascii="仿宋_GB2312" w:hAnsi="仿宋_GB2312" w:eastAsia="仿宋_GB2312" w:cs="仿宋_GB2312"/>
          <w:color w:val="auto"/>
          <w:spacing w:val="0"/>
          <w:sz w:val="32"/>
          <w:szCs w:val="32"/>
          <w:highlight w:val="none"/>
          <w:u w:val="none"/>
          <w:lang w:val="zh-CN"/>
        </w:rPr>
        <w:t>防范遏制生产安全事故发生，</w:t>
      </w:r>
      <w:r>
        <w:rPr>
          <w:rFonts w:hint="eastAsia" w:ascii="仿宋_GB2312" w:hAnsi="仿宋_GB2312" w:eastAsia="仿宋_GB2312" w:cs="仿宋_GB2312"/>
          <w:color w:val="auto"/>
          <w:spacing w:val="0"/>
          <w:sz w:val="32"/>
          <w:szCs w:val="32"/>
          <w:highlight w:val="none"/>
          <w:u w:val="none"/>
        </w:rPr>
        <w:t>保障企业合法权益，根据</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rPr>
        <w:t>中华人民共和国</w:t>
      </w:r>
      <w:r>
        <w:rPr>
          <w:rFonts w:hint="eastAsia" w:ascii="仿宋_GB2312" w:hAnsi="仿宋_GB2312" w:eastAsia="仿宋_GB2312" w:cs="仿宋_GB2312"/>
          <w:color w:val="auto"/>
          <w:spacing w:val="0"/>
          <w:sz w:val="32"/>
          <w:szCs w:val="32"/>
          <w:highlight w:val="none"/>
          <w:u w:val="none"/>
          <w:lang w:val="zh-CN"/>
        </w:rPr>
        <w:t>安全生产法》《</w:t>
      </w:r>
      <w:r>
        <w:rPr>
          <w:rFonts w:hint="eastAsia" w:ascii="仿宋_GB2312" w:hAnsi="仿宋_GB2312" w:eastAsia="仿宋_GB2312" w:cs="仿宋_GB2312"/>
          <w:color w:val="auto"/>
          <w:spacing w:val="0"/>
          <w:sz w:val="32"/>
          <w:szCs w:val="32"/>
          <w:highlight w:val="none"/>
          <w:u w:val="none"/>
          <w:lang w:val="en-US" w:eastAsia="zh-CN"/>
        </w:rPr>
        <w:t>中华人民共和国保险法</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rPr>
        <w:t>安全生产责任保险实施办法</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rPr>
        <w:t>等规定</w:t>
      </w:r>
      <w:r>
        <w:rPr>
          <w:rFonts w:hint="eastAsia" w:ascii="仿宋_GB2312" w:hAnsi="仿宋_GB2312" w:eastAsia="仿宋_GB2312" w:cs="仿宋_GB2312"/>
          <w:color w:val="auto"/>
          <w:spacing w:val="0"/>
          <w:sz w:val="32"/>
          <w:szCs w:val="32"/>
          <w:highlight w:val="none"/>
          <w:u w:val="none"/>
          <w:lang w:val="zh-CN"/>
        </w:rPr>
        <w:t>，结合</w:t>
      </w:r>
      <w:r>
        <w:rPr>
          <w:rFonts w:hint="eastAsia" w:ascii="仿宋_GB2312" w:hAnsi="仿宋_GB2312" w:eastAsia="仿宋_GB2312" w:cs="仿宋_GB2312"/>
          <w:color w:val="auto"/>
          <w:spacing w:val="0"/>
          <w:sz w:val="32"/>
          <w:szCs w:val="32"/>
          <w:highlight w:val="none"/>
          <w:u w:val="none"/>
        </w:rPr>
        <w:t>我</w:t>
      </w:r>
      <w:r>
        <w:rPr>
          <w:rFonts w:hint="eastAsia" w:ascii="仿宋_GB2312" w:hAnsi="仿宋_GB2312" w:eastAsia="仿宋_GB2312" w:cs="仿宋_GB2312"/>
          <w:color w:val="auto"/>
          <w:spacing w:val="0"/>
          <w:sz w:val="32"/>
          <w:szCs w:val="32"/>
          <w:highlight w:val="none"/>
          <w:u w:val="none"/>
          <w:lang w:val="zh-CN"/>
        </w:rPr>
        <w:t>省实际，现就做好</w:t>
      </w:r>
      <w:r>
        <w:rPr>
          <w:rFonts w:hint="eastAsia" w:ascii="仿宋_GB2312" w:hAnsi="仿宋_GB2312" w:eastAsia="仿宋_GB2312" w:cs="仿宋_GB2312"/>
          <w:color w:val="auto"/>
          <w:spacing w:val="0"/>
          <w:sz w:val="32"/>
          <w:szCs w:val="32"/>
          <w:highlight w:val="none"/>
          <w:u w:val="none"/>
          <w:lang w:val="en-US" w:eastAsia="zh-CN"/>
        </w:rPr>
        <w:t>交通运输行业</w:t>
      </w:r>
      <w:r>
        <w:rPr>
          <w:rFonts w:hint="eastAsia" w:ascii="仿宋_GB2312" w:hAnsi="仿宋_GB2312" w:eastAsia="仿宋_GB2312" w:cs="仿宋_GB2312"/>
          <w:color w:val="auto"/>
          <w:spacing w:val="0"/>
          <w:sz w:val="32"/>
          <w:szCs w:val="32"/>
          <w:highlight w:val="none"/>
          <w:u w:val="none"/>
        </w:rPr>
        <w:t>安责险有关工作通知如下</w:t>
      </w:r>
      <w:r>
        <w:rPr>
          <w:rFonts w:hint="eastAsia" w:ascii="仿宋_GB2312" w:hAnsi="仿宋_GB2312" w:eastAsia="仿宋_GB2312" w:cs="仿宋_GB2312"/>
          <w:color w:val="auto"/>
          <w:spacing w:val="0"/>
          <w:sz w:val="32"/>
          <w:szCs w:val="32"/>
          <w:highlight w:val="none"/>
          <w:u w:val="none"/>
          <w:lang w:val="zh-CN"/>
        </w:rPr>
        <w:t>：</w:t>
      </w:r>
    </w:p>
    <w:p w14:paraId="15548A70">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黑体" w:hAnsi="黑体" w:eastAsia="黑体" w:cs="黑体"/>
          <w:color w:val="auto"/>
          <w:spacing w:val="0"/>
          <w:sz w:val="32"/>
          <w:szCs w:val="32"/>
          <w:highlight w:val="none"/>
          <w:u w:val="none"/>
        </w:rPr>
      </w:pPr>
      <w:r>
        <w:rPr>
          <w:rFonts w:hint="eastAsia" w:ascii="黑体" w:hAnsi="黑体" w:eastAsia="黑体" w:cs="黑体"/>
          <w:color w:val="auto"/>
          <w:spacing w:val="0"/>
          <w:sz w:val="32"/>
          <w:szCs w:val="32"/>
          <w:highlight w:val="none"/>
          <w:u w:val="none"/>
        </w:rPr>
        <w:t>一、总体要求</w:t>
      </w:r>
    </w:p>
    <w:p w14:paraId="352887E4">
      <w:pPr>
        <w:pStyle w:val="2"/>
        <w:keepNext w:val="0"/>
        <w:keepLines w:val="0"/>
        <w:pageBreakBefore w:val="0"/>
        <w:widowControl w:val="0"/>
        <w:kinsoku/>
        <w:overflowPunct/>
        <w:topLinePunct w:val="0"/>
        <w:autoSpaceDE/>
        <w:autoSpaceDN/>
        <w:bidi w:val="0"/>
        <w:adjustRightInd/>
        <w:snapToGrid/>
        <w:spacing w:after="0" w:line="240" w:lineRule="auto"/>
        <w:ind w:left="0" w:leftChars="0" w:firstLine="640"/>
        <w:textAlignment w:val="auto"/>
        <w:rPr>
          <w:rFonts w:hint="eastAsia" w:ascii="仿宋_GB2312" w:hAnsi="仿宋_GB2312" w:eastAsia="仿宋_GB2312" w:cs="仿宋_GB2312"/>
          <w:color w:val="auto"/>
          <w:spacing w:val="-6"/>
          <w:sz w:val="32"/>
          <w:szCs w:val="32"/>
          <w:highlight w:val="none"/>
          <w:u w:val="none"/>
        </w:rPr>
      </w:pPr>
      <w:r>
        <w:rPr>
          <w:rFonts w:hint="eastAsia" w:ascii="仿宋_GB2312" w:hAnsi="仿宋_GB2312" w:eastAsia="仿宋_GB2312" w:cs="仿宋_GB2312"/>
          <w:color w:val="auto"/>
          <w:spacing w:val="0"/>
          <w:sz w:val="32"/>
          <w:szCs w:val="32"/>
          <w:highlight w:val="none"/>
          <w:u w:val="none"/>
          <w:lang w:val="zh-CN"/>
        </w:rPr>
        <w:t>坚持“</w:t>
      </w:r>
      <w:r>
        <w:rPr>
          <w:rFonts w:hint="eastAsia" w:ascii="仿宋_GB2312" w:hAnsi="仿宋_GB2312" w:eastAsia="仿宋_GB2312" w:cs="仿宋_GB2312"/>
          <w:color w:val="auto"/>
          <w:spacing w:val="0"/>
          <w:sz w:val="32"/>
          <w:szCs w:val="32"/>
          <w:highlight w:val="none"/>
          <w:u w:val="none"/>
        </w:rPr>
        <w:t>安全</w:t>
      </w:r>
      <w:r>
        <w:rPr>
          <w:rFonts w:hint="eastAsia" w:ascii="仿宋_GB2312" w:hAnsi="仿宋_GB2312" w:eastAsia="仿宋_GB2312" w:cs="仿宋_GB2312"/>
          <w:color w:val="auto"/>
          <w:spacing w:val="0"/>
          <w:sz w:val="32"/>
          <w:szCs w:val="32"/>
          <w:highlight w:val="none"/>
          <w:u w:val="none"/>
          <w:lang w:val="en-US" w:eastAsia="zh-CN"/>
        </w:rPr>
        <w:t>第一</w:t>
      </w:r>
      <w:r>
        <w:rPr>
          <w:rFonts w:hint="eastAsia"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color w:val="auto"/>
          <w:spacing w:val="0"/>
          <w:sz w:val="32"/>
          <w:szCs w:val="32"/>
          <w:highlight w:val="none"/>
          <w:u w:val="none"/>
        </w:rPr>
        <w:t>预防为主、综合治理</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rPr>
        <w:t>的方针</w:t>
      </w:r>
      <w:r>
        <w:rPr>
          <w:rFonts w:hint="eastAsia" w:ascii="仿宋_GB2312" w:hAnsi="仿宋_GB2312" w:eastAsia="仿宋_GB2312" w:cs="仿宋_GB2312"/>
          <w:color w:val="auto"/>
          <w:spacing w:val="0"/>
          <w:sz w:val="32"/>
          <w:szCs w:val="32"/>
          <w:highlight w:val="none"/>
          <w:u w:val="none"/>
          <w:lang w:val="zh-CN"/>
        </w:rPr>
        <w:t>，按照“政策引导、政府推动、市场运作”的</w:t>
      </w:r>
      <w:r>
        <w:rPr>
          <w:rFonts w:hint="eastAsia" w:ascii="仿宋_GB2312" w:hAnsi="仿宋_GB2312" w:eastAsia="仿宋_GB2312" w:cs="仿宋_GB2312"/>
          <w:color w:val="auto"/>
          <w:spacing w:val="0"/>
          <w:sz w:val="32"/>
          <w:szCs w:val="32"/>
          <w:highlight w:val="none"/>
          <w:u w:val="none"/>
        </w:rPr>
        <w:t>机制</w:t>
      </w:r>
      <w:r>
        <w:rPr>
          <w:rFonts w:hint="eastAsia" w:ascii="仿宋_GB2312" w:hAnsi="仿宋_GB2312" w:eastAsia="仿宋_GB2312" w:cs="仿宋_GB2312"/>
          <w:color w:val="auto"/>
          <w:spacing w:val="0"/>
          <w:sz w:val="32"/>
          <w:szCs w:val="32"/>
          <w:highlight w:val="none"/>
          <w:u w:val="none"/>
          <w:lang w:val="zh-CN"/>
        </w:rPr>
        <w:t>，推动</w:t>
      </w:r>
      <w:r>
        <w:rPr>
          <w:rFonts w:hint="eastAsia" w:ascii="仿宋_GB2312" w:hAnsi="仿宋_GB2312" w:eastAsia="仿宋_GB2312" w:cs="仿宋_GB2312"/>
          <w:color w:val="auto"/>
          <w:spacing w:val="0"/>
          <w:sz w:val="32"/>
          <w:szCs w:val="32"/>
          <w:highlight w:val="none"/>
          <w:u w:val="none"/>
        </w:rPr>
        <w:t>全省</w:t>
      </w:r>
      <w:r>
        <w:rPr>
          <w:rFonts w:hint="eastAsia" w:ascii="仿宋_GB2312" w:hAnsi="仿宋_GB2312" w:eastAsia="仿宋_GB2312" w:cs="仿宋_GB2312"/>
          <w:color w:val="auto"/>
          <w:spacing w:val="0"/>
          <w:sz w:val="32"/>
          <w:szCs w:val="32"/>
          <w:highlight w:val="none"/>
          <w:u w:val="none"/>
          <w:lang w:val="en-US" w:eastAsia="zh-CN"/>
        </w:rPr>
        <w:t>公路水运及地方铁路工程建设施工、道路</w:t>
      </w:r>
      <w:r>
        <w:rPr>
          <w:rFonts w:hint="eastAsia" w:ascii="仿宋_GB2312" w:hAnsi="仿宋_GB2312" w:cs="仿宋_GB2312"/>
          <w:color w:val="auto"/>
          <w:spacing w:val="0"/>
          <w:sz w:val="32"/>
          <w:szCs w:val="32"/>
          <w:highlight w:val="none"/>
          <w:u w:val="none"/>
          <w:lang w:val="en-US" w:eastAsia="zh-CN"/>
        </w:rPr>
        <w:t>旅客和危险货物道路运输</w:t>
      </w:r>
      <w:r>
        <w:rPr>
          <w:rFonts w:hint="eastAsia" w:ascii="仿宋_GB2312" w:hAnsi="仿宋_GB2312" w:eastAsia="仿宋_GB2312" w:cs="仿宋_GB2312"/>
          <w:color w:val="auto"/>
          <w:spacing w:val="0"/>
          <w:sz w:val="32"/>
          <w:szCs w:val="32"/>
          <w:highlight w:val="none"/>
          <w:u w:val="none"/>
          <w:lang w:val="en-US" w:eastAsia="zh-CN"/>
        </w:rPr>
        <w:t>、</w:t>
      </w:r>
      <w:r>
        <w:rPr>
          <w:rFonts w:hint="eastAsia" w:ascii="仿宋_GB2312" w:hAnsi="仿宋_GB2312" w:cs="仿宋_GB2312"/>
          <w:color w:val="auto"/>
          <w:spacing w:val="0"/>
          <w:sz w:val="32"/>
          <w:szCs w:val="32"/>
          <w:highlight w:val="none"/>
          <w:u w:val="none"/>
          <w:lang w:val="en-US" w:eastAsia="zh-CN"/>
        </w:rPr>
        <w:t>港口旅客运输服务经营和危险货物港口作业</w:t>
      </w:r>
      <w:r>
        <w:rPr>
          <w:rFonts w:hint="eastAsia" w:ascii="仿宋_GB2312" w:hAnsi="仿宋_GB2312" w:eastAsia="仿宋_GB2312" w:cs="仿宋_GB2312"/>
          <w:color w:val="auto"/>
          <w:spacing w:val="0"/>
          <w:sz w:val="32"/>
          <w:szCs w:val="32"/>
          <w:highlight w:val="none"/>
          <w:u w:val="none"/>
          <w:lang w:val="en-US" w:eastAsia="zh-CN"/>
        </w:rPr>
        <w:t>等生产经营单位</w:t>
      </w:r>
      <w:r>
        <w:rPr>
          <w:rFonts w:hint="eastAsia" w:ascii="仿宋_GB2312" w:hAnsi="仿宋_GB2312" w:eastAsia="仿宋_GB2312" w:cs="仿宋_GB2312"/>
          <w:color w:val="auto"/>
          <w:spacing w:val="0"/>
          <w:sz w:val="32"/>
          <w:szCs w:val="32"/>
          <w:highlight w:val="none"/>
          <w:u w:val="none"/>
        </w:rPr>
        <w:t>依法投保</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rPr>
        <w:t>安责险，</w:t>
      </w:r>
      <w:r>
        <w:rPr>
          <w:rFonts w:hint="eastAsia" w:ascii="仿宋_GB2312" w:hAnsi="仿宋_GB2312" w:eastAsia="仿宋_GB2312" w:cs="仿宋_GB2312"/>
          <w:b w:val="0"/>
          <w:bCs w:val="0"/>
          <w:color w:val="auto"/>
          <w:spacing w:val="0"/>
          <w:sz w:val="32"/>
          <w:szCs w:val="32"/>
          <w:highlight w:val="none"/>
          <w:u w:val="none"/>
          <w:lang w:eastAsia="zh-CN"/>
        </w:rPr>
        <w:t>充分发挥</w:t>
      </w:r>
      <w:r>
        <w:rPr>
          <w:rFonts w:hint="eastAsia" w:ascii="仿宋_GB2312" w:hAnsi="仿宋_GB2312" w:eastAsia="仿宋_GB2312" w:cs="仿宋_GB2312"/>
          <w:b w:val="0"/>
          <w:bCs w:val="0"/>
          <w:color w:val="auto"/>
          <w:spacing w:val="0"/>
          <w:sz w:val="32"/>
          <w:szCs w:val="32"/>
          <w:highlight w:val="none"/>
          <w:u w:val="none"/>
          <w:lang w:val="en-US" w:eastAsia="zh-CN"/>
        </w:rPr>
        <w:t>交通运输</w:t>
      </w:r>
      <w:r>
        <w:rPr>
          <w:rFonts w:hint="eastAsia" w:ascii="仿宋_GB2312" w:hAnsi="仿宋_GB2312" w:eastAsia="仿宋_GB2312" w:cs="仿宋_GB2312"/>
          <w:b w:val="0"/>
          <w:bCs w:val="0"/>
          <w:color w:val="auto"/>
          <w:spacing w:val="0"/>
          <w:sz w:val="32"/>
          <w:szCs w:val="32"/>
          <w:highlight w:val="none"/>
          <w:u w:val="none"/>
          <w:lang w:eastAsia="zh-CN"/>
        </w:rPr>
        <w:t>安责险参与风险评估管控和事故预防作用</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rPr>
        <w:t>为企业提供</w:t>
      </w:r>
      <w:r>
        <w:rPr>
          <w:rFonts w:hint="eastAsia" w:ascii="仿宋_GB2312" w:hAnsi="仿宋_GB2312" w:cs="仿宋_GB2312"/>
          <w:color w:val="auto"/>
          <w:spacing w:val="0"/>
          <w:sz w:val="32"/>
          <w:szCs w:val="32"/>
          <w:highlight w:val="none"/>
          <w:u w:val="none"/>
          <w:lang w:val="en-US" w:eastAsia="zh-CN"/>
        </w:rPr>
        <w:t>规范</w:t>
      </w:r>
      <w:r>
        <w:rPr>
          <w:rFonts w:hint="eastAsia" w:ascii="仿宋_GB2312" w:hAnsi="仿宋_GB2312" w:eastAsia="仿宋_GB2312" w:cs="仿宋_GB2312"/>
          <w:color w:val="auto"/>
          <w:spacing w:val="0"/>
          <w:sz w:val="32"/>
          <w:szCs w:val="32"/>
          <w:highlight w:val="none"/>
          <w:u w:val="none"/>
        </w:rPr>
        <w:t>的事故预防服务，进一步提</w:t>
      </w:r>
      <w:r>
        <w:rPr>
          <w:rFonts w:hint="eastAsia" w:ascii="仿宋_GB2312" w:hAnsi="仿宋_GB2312" w:eastAsia="仿宋_GB2312" w:cs="仿宋_GB2312"/>
          <w:color w:val="auto"/>
          <w:spacing w:val="0"/>
          <w:sz w:val="32"/>
          <w:szCs w:val="32"/>
          <w:highlight w:val="none"/>
          <w:u w:val="none"/>
          <w:lang w:val="en-US" w:eastAsia="zh-CN"/>
        </w:rPr>
        <w:t>升交通运输</w:t>
      </w:r>
      <w:r>
        <w:rPr>
          <w:rFonts w:hint="eastAsia" w:ascii="仿宋_GB2312" w:hAnsi="仿宋_GB2312" w:eastAsia="仿宋_GB2312" w:cs="仿宋_GB2312"/>
          <w:color w:val="auto"/>
          <w:spacing w:val="-6"/>
          <w:sz w:val="32"/>
          <w:szCs w:val="32"/>
          <w:highlight w:val="none"/>
          <w:u w:val="none"/>
        </w:rPr>
        <w:t>本质安全水平，助力全省</w:t>
      </w:r>
      <w:r>
        <w:rPr>
          <w:rFonts w:hint="eastAsia" w:ascii="仿宋_GB2312" w:hAnsi="仿宋_GB2312" w:eastAsia="仿宋_GB2312" w:cs="仿宋_GB2312"/>
          <w:color w:val="auto"/>
          <w:spacing w:val="-6"/>
          <w:sz w:val="32"/>
          <w:szCs w:val="32"/>
          <w:highlight w:val="none"/>
          <w:u w:val="none"/>
          <w:lang w:val="en-US" w:eastAsia="zh-CN"/>
        </w:rPr>
        <w:t>交通运输</w:t>
      </w:r>
      <w:r>
        <w:rPr>
          <w:rFonts w:hint="eastAsia" w:ascii="仿宋_GB2312" w:hAnsi="仿宋_GB2312" w:eastAsia="仿宋_GB2312" w:cs="仿宋_GB2312"/>
          <w:color w:val="auto"/>
          <w:spacing w:val="-6"/>
          <w:sz w:val="32"/>
          <w:szCs w:val="32"/>
          <w:highlight w:val="none"/>
          <w:u w:val="none"/>
        </w:rPr>
        <w:t>安全生产形势持续稳定向好。</w:t>
      </w:r>
    </w:p>
    <w:p w14:paraId="7E31EECF">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rPr>
        <w:t>二、基本原则</w:t>
      </w:r>
    </w:p>
    <w:p w14:paraId="43A3AF57">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仿宋_GB2312" w:hAnsi="仿宋_GB2312" w:eastAsia="仿宋_GB2312" w:cs="仿宋_GB2312"/>
          <w:color w:val="auto"/>
          <w:spacing w:val="0"/>
          <w:kern w:val="2"/>
          <w:sz w:val="32"/>
          <w:szCs w:val="32"/>
          <w:highlight w:val="none"/>
          <w:u w:val="none"/>
          <w:lang w:val="en-US" w:eastAsia="zh-CN" w:bidi="ar-SA"/>
        </w:rPr>
      </w:pPr>
      <w:r>
        <w:rPr>
          <w:rFonts w:hint="eastAsia" w:ascii="楷体_GB2312" w:hAnsi="楷体_GB2312" w:eastAsia="楷体_GB2312" w:cs="楷体_GB2312"/>
          <w:b/>
          <w:bCs/>
          <w:color w:val="auto"/>
          <w:spacing w:val="0"/>
          <w:sz w:val="32"/>
          <w:szCs w:val="32"/>
          <w:highlight w:val="none"/>
          <w:u w:val="none"/>
        </w:rPr>
        <w:t>（一）坚持依法推行</w:t>
      </w:r>
      <w:r>
        <w:rPr>
          <w:rFonts w:hint="eastAsia" w:ascii="楷体_GB2312" w:hAnsi="楷体_GB2312" w:eastAsia="楷体_GB2312" w:cs="楷体_GB2312"/>
          <w:b/>
          <w:bCs/>
          <w:color w:val="auto"/>
          <w:spacing w:val="0"/>
          <w:sz w:val="32"/>
          <w:szCs w:val="32"/>
          <w:highlight w:val="none"/>
          <w:u w:val="none"/>
          <w:lang w:val="zh-CN"/>
        </w:rPr>
        <w:t>。</w:t>
      </w:r>
      <w:r>
        <w:rPr>
          <w:rFonts w:hint="default" w:ascii="仿宋_GB2312" w:hAnsi="仿宋_GB2312" w:eastAsia="仿宋_GB2312" w:cs="仿宋_GB2312"/>
          <w:color w:val="auto"/>
          <w:spacing w:val="0"/>
          <w:kern w:val="2"/>
          <w:sz w:val="32"/>
          <w:szCs w:val="32"/>
          <w:highlight w:val="none"/>
          <w:u w:val="none"/>
          <w:lang w:val="zh-CN" w:eastAsia="zh-CN" w:bidi="ar-SA"/>
        </w:rPr>
        <w:t>严格执行《中华人民共和国安全生产法》</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lang w:val="en-US" w:eastAsia="zh-CN"/>
        </w:rPr>
        <w:t>中华人民共和国保险法</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kern w:val="2"/>
          <w:sz w:val="32"/>
          <w:szCs w:val="32"/>
          <w:highlight w:val="none"/>
          <w:u w:val="none"/>
          <w:lang w:val="zh-CN" w:eastAsia="zh-CN" w:bidi="ar-SA"/>
        </w:rPr>
        <w:t>《安全生产责任保险实施办法》</w:t>
      </w:r>
      <w:r>
        <w:rPr>
          <w:rFonts w:hint="default" w:ascii="仿宋_GB2312" w:hAnsi="仿宋_GB2312" w:eastAsia="仿宋_GB2312" w:cs="仿宋_GB2312"/>
          <w:color w:val="auto"/>
          <w:spacing w:val="0"/>
          <w:kern w:val="2"/>
          <w:sz w:val="32"/>
          <w:szCs w:val="32"/>
          <w:highlight w:val="none"/>
          <w:u w:val="none"/>
          <w:lang w:val="en-US" w:eastAsia="zh-CN" w:bidi="ar-SA"/>
        </w:rPr>
        <w:t>等法律法规的有关规定</w:t>
      </w:r>
      <w:r>
        <w:rPr>
          <w:rFonts w:hint="default" w:ascii="仿宋_GB2312" w:hAnsi="仿宋_GB2312" w:eastAsia="仿宋_GB2312" w:cs="仿宋_GB2312"/>
          <w:color w:val="auto"/>
          <w:spacing w:val="0"/>
          <w:kern w:val="2"/>
          <w:sz w:val="32"/>
          <w:szCs w:val="32"/>
          <w:highlight w:val="none"/>
          <w:u w:val="none"/>
          <w:lang w:val="zh-CN" w:eastAsia="zh-CN" w:bidi="ar-SA"/>
        </w:rPr>
        <w:t>，公路水运及地方铁路工程建设施工项目应当在开工、办理质量安全报监手续前完成交通运输安责险投保；道路旅客</w:t>
      </w:r>
      <w:r>
        <w:rPr>
          <w:rFonts w:hint="eastAsia" w:ascii="仿宋_GB2312" w:hAnsi="仿宋_GB2312" w:eastAsia="仿宋_GB2312" w:cs="仿宋_GB2312"/>
          <w:color w:val="auto"/>
          <w:spacing w:val="0"/>
          <w:kern w:val="2"/>
          <w:sz w:val="32"/>
          <w:szCs w:val="32"/>
          <w:highlight w:val="none"/>
          <w:u w:val="none"/>
          <w:lang w:val="en-US" w:eastAsia="zh-CN" w:bidi="ar-SA"/>
        </w:rPr>
        <w:t>和</w:t>
      </w:r>
      <w:r>
        <w:rPr>
          <w:rFonts w:hint="default" w:ascii="仿宋_GB2312" w:hAnsi="仿宋_GB2312" w:eastAsia="仿宋_GB2312" w:cs="仿宋_GB2312"/>
          <w:color w:val="auto"/>
          <w:spacing w:val="0"/>
          <w:kern w:val="2"/>
          <w:sz w:val="32"/>
          <w:szCs w:val="32"/>
          <w:highlight w:val="none"/>
          <w:u w:val="none"/>
          <w:lang w:val="zh-CN" w:eastAsia="zh-CN" w:bidi="ar-SA"/>
        </w:rPr>
        <w:t>危险货物道路运输、港口旅客运输服务经营、危险货物港口作业</w:t>
      </w:r>
      <w:r>
        <w:rPr>
          <w:rFonts w:hint="eastAsia" w:ascii="仿宋_GB2312" w:hAnsi="仿宋_GB2312" w:eastAsia="仿宋_GB2312" w:cs="仿宋_GB2312"/>
          <w:color w:val="auto"/>
          <w:spacing w:val="0"/>
          <w:kern w:val="2"/>
          <w:sz w:val="32"/>
          <w:szCs w:val="32"/>
          <w:highlight w:val="none"/>
          <w:u w:val="none"/>
          <w:lang w:val="en-US" w:eastAsia="zh-CN" w:bidi="ar-SA"/>
        </w:rPr>
        <w:t>等</w:t>
      </w:r>
      <w:r>
        <w:rPr>
          <w:rFonts w:hint="default" w:ascii="仿宋_GB2312" w:hAnsi="仿宋_GB2312" w:eastAsia="仿宋_GB2312" w:cs="仿宋_GB2312"/>
          <w:color w:val="auto"/>
          <w:spacing w:val="0"/>
          <w:kern w:val="2"/>
          <w:sz w:val="32"/>
          <w:szCs w:val="32"/>
          <w:highlight w:val="none"/>
          <w:u w:val="none"/>
          <w:lang w:val="zh-CN" w:eastAsia="zh-CN" w:bidi="ar-SA"/>
        </w:rPr>
        <w:t>生产经营单位，应当在申请办理经营许可时已足额投保</w:t>
      </w:r>
      <w:r>
        <w:rPr>
          <w:rFonts w:hint="eastAsia" w:ascii="仿宋_GB2312" w:hAnsi="仿宋_GB2312" w:eastAsia="仿宋_GB2312" w:cs="仿宋_GB2312"/>
          <w:color w:val="auto"/>
          <w:spacing w:val="0"/>
          <w:kern w:val="2"/>
          <w:sz w:val="32"/>
          <w:szCs w:val="32"/>
          <w:highlight w:val="none"/>
          <w:u w:val="none"/>
          <w:lang w:val="en-US" w:eastAsia="zh-CN" w:bidi="ar-SA"/>
        </w:rPr>
        <w:t>交通</w:t>
      </w:r>
      <w:r>
        <w:rPr>
          <w:rFonts w:hint="default" w:ascii="仿宋_GB2312" w:hAnsi="仿宋_GB2312" w:eastAsia="仿宋_GB2312" w:cs="仿宋_GB2312"/>
          <w:color w:val="auto"/>
          <w:spacing w:val="0"/>
          <w:kern w:val="2"/>
          <w:sz w:val="32"/>
          <w:szCs w:val="32"/>
          <w:highlight w:val="none"/>
          <w:u w:val="none"/>
          <w:lang w:val="zh-CN" w:eastAsia="zh-CN" w:bidi="ar-SA"/>
        </w:rPr>
        <w:t>安责险，已投保其他保险不得替代交通运输安责险</w:t>
      </w:r>
      <w:r>
        <w:rPr>
          <w:rFonts w:hint="default" w:ascii="仿宋_GB2312" w:hAnsi="仿宋_GB2312" w:eastAsia="仿宋_GB2312" w:cs="仿宋_GB2312"/>
          <w:color w:val="auto"/>
          <w:spacing w:val="0"/>
          <w:kern w:val="2"/>
          <w:sz w:val="32"/>
          <w:szCs w:val="32"/>
          <w:highlight w:val="none"/>
          <w:u w:val="none"/>
          <w:lang w:val="en-US" w:eastAsia="zh-CN" w:bidi="ar-SA"/>
        </w:rPr>
        <w:t>。</w:t>
      </w:r>
      <w:r>
        <w:rPr>
          <w:rFonts w:hint="eastAsia" w:ascii="仿宋_GB2312" w:hAnsi="仿宋_GB2312" w:eastAsia="仿宋_GB2312" w:cs="仿宋_GB2312"/>
          <w:color w:val="auto"/>
          <w:spacing w:val="0"/>
          <w:kern w:val="2"/>
          <w:sz w:val="32"/>
          <w:szCs w:val="32"/>
          <w:highlight w:val="none"/>
          <w:u w:val="none"/>
          <w:lang w:val="en-US" w:eastAsia="zh-CN" w:bidi="ar-SA"/>
        </w:rPr>
        <w:t>保险机构要开发安责险和道路运输承运人责任险相衔接的保险产品，以减轻企业负担，避免重复投保。</w:t>
      </w:r>
    </w:p>
    <w:p w14:paraId="30AAC1C9">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default" w:ascii="仿宋_GB2312" w:hAnsi="仿宋_GB2312" w:eastAsia="仿宋_GB2312" w:cs="仿宋_GB2312"/>
          <w:color w:val="auto"/>
          <w:spacing w:val="0"/>
          <w:kern w:val="2"/>
          <w:sz w:val="32"/>
          <w:szCs w:val="32"/>
          <w:highlight w:val="none"/>
          <w:u w:val="none"/>
          <w:lang w:val="zh-CN" w:eastAsia="zh-CN" w:bidi="ar-SA"/>
        </w:rPr>
      </w:pPr>
      <w:r>
        <w:rPr>
          <w:rFonts w:hint="eastAsia" w:ascii="楷体_GB2312" w:hAnsi="楷体_GB2312" w:eastAsia="楷体_GB2312" w:cs="楷体_GB2312"/>
          <w:b/>
          <w:bCs/>
          <w:color w:val="auto"/>
          <w:spacing w:val="0"/>
          <w:sz w:val="32"/>
          <w:szCs w:val="32"/>
          <w:highlight w:val="none"/>
          <w:u w:val="none"/>
        </w:rPr>
        <w:t>（</w:t>
      </w:r>
      <w:r>
        <w:rPr>
          <w:rFonts w:hint="eastAsia" w:ascii="楷体_GB2312" w:hAnsi="楷体_GB2312" w:eastAsia="楷体_GB2312" w:cs="楷体_GB2312"/>
          <w:b/>
          <w:bCs/>
          <w:color w:val="auto"/>
          <w:spacing w:val="0"/>
          <w:sz w:val="32"/>
          <w:szCs w:val="32"/>
          <w:highlight w:val="none"/>
          <w:u w:val="none"/>
          <w:lang w:val="en-US" w:eastAsia="zh-CN"/>
        </w:rPr>
        <w:t>二</w:t>
      </w:r>
      <w:r>
        <w:rPr>
          <w:rFonts w:hint="eastAsia" w:ascii="楷体_GB2312" w:hAnsi="楷体_GB2312" w:eastAsia="楷体_GB2312" w:cs="楷体_GB2312"/>
          <w:b/>
          <w:bCs/>
          <w:color w:val="auto"/>
          <w:spacing w:val="0"/>
          <w:sz w:val="32"/>
          <w:szCs w:val="32"/>
          <w:highlight w:val="none"/>
          <w:u w:val="none"/>
        </w:rPr>
        <w:t>）</w:t>
      </w:r>
      <w:r>
        <w:rPr>
          <w:rFonts w:hint="eastAsia" w:ascii="楷体_GB2312" w:hAnsi="楷体_GB2312" w:eastAsia="楷体_GB2312" w:cs="楷体_GB2312"/>
          <w:b/>
          <w:bCs/>
          <w:color w:val="auto"/>
          <w:spacing w:val="0"/>
          <w:sz w:val="32"/>
          <w:szCs w:val="32"/>
          <w:highlight w:val="none"/>
          <w:u w:val="none"/>
          <w:lang w:val="en-US" w:eastAsia="zh-CN"/>
        </w:rPr>
        <w:t>健全</w:t>
      </w:r>
      <w:r>
        <w:rPr>
          <w:rFonts w:hint="eastAsia" w:ascii="楷体_GB2312" w:hAnsi="楷体_GB2312" w:eastAsia="楷体_GB2312" w:cs="楷体_GB2312"/>
          <w:b/>
          <w:bCs/>
          <w:color w:val="auto"/>
          <w:spacing w:val="0"/>
          <w:sz w:val="32"/>
          <w:szCs w:val="32"/>
          <w:highlight w:val="none"/>
          <w:u w:val="none"/>
        </w:rPr>
        <w:t>市场运作。</w:t>
      </w:r>
      <w:r>
        <w:rPr>
          <w:rFonts w:hint="default" w:ascii="仿宋_GB2312" w:hAnsi="仿宋_GB2312" w:eastAsia="仿宋_GB2312" w:cs="仿宋_GB2312"/>
          <w:color w:val="auto"/>
          <w:spacing w:val="0"/>
          <w:kern w:val="2"/>
          <w:sz w:val="32"/>
          <w:szCs w:val="32"/>
          <w:highlight w:val="none"/>
          <w:u w:val="none"/>
          <w:lang w:val="zh-CN" w:eastAsia="zh-CN" w:bidi="ar-SA"/>
        </w:rPr>
        <w:t>按照政策引导、政府推动、市场运作的方式推动安责险工作，凡提供经</w:t>
      </w:r>
      <w:r>
        <w:rPr>
          <w:rFonts w:hint="eastAsia" w:ascii="仿宋_GB2312" w:hAnsi="仿宋_GB2312" w:eastAsia="仿宋_GB2312" w:cs="仿宋_GB2312"/>
          <w:color w:val="auto"/>
          <w:spacing w:val="0"/>
          <w:kern w:val="2"/>
          <w:sz w:val="32"/>
          <w:szCs w:val="32"/>
          <w:highlight w:val="none"/>
          <w:u w:val="none"/>
          <w:lang w:val="en-US" w:eastAsia="zh-CN" w:bidi="ar-SA"/>
        </w:rPr>
        <w:t>金融监管部门</w:t>
      </w:r>
      <w:r>
        <w:rPr>
          <w:rFonts w:hint="default" w:ascii="仿宋_GB2312" w:hAnsi="仿宋_GB2312" w:eastAsia="仿宋_GB2312" w:cs="仿宋_GB2312"/>
          <w:color w:val="auto"/>
          <w:spacing w:val="0"/>
          <w:kern w:val="2"/>
          <w:sz w:val="32"/>
          <w:szCs w:val="32"/>
          <w:highlight w:val="none"/>
          <w:u w:val="none"/>
          <w:lang w:val="zh-CN" w:eastAsia="zh-CN" w:bidi="ar-SA"/>
        </w:rPr>
        <w:t>备案的交通运输安责险产品（保险条款、费率），在商业信誉、偿付能力水平、开展责任保险的业绩和规模、拥有风险管理专业资格和人员、为生产经营单位提供事故预防服务等方面具有相应的专业资质和能力的保险机构，均可在我省开展交通运输安责险承保业务。</w:t>
      </w:r>
      <w:r>
        <w:rPr>
          <w:rFonts w:hint="default" w:ascii="仿宋_GB2312" w:hAnsi="仿宋_GB2312" w:eastAsia="仿宋_GB2312" w:cs="仿宋_GB2312"/>
          <w:color w:val="auto"/>
          <w:kern w:val="2"/>
          <w:sz w:val="32"/>
          <w:szCs w:val="32"/>
          <w:highlight w:val="none"/>
          <w:u w:val="none"/>
          <w:lang w:val="zh-CN"/>
        </w:rPr>
        <w:t>拟开展交通运输安责险业务的保险机构应将机构基本情况、条款费率、事故预防服务管理实施方案等信息报送省交通运输厅，省交通运输厅适时在厅官网上公布或更新承保机构相关信息。鼓励保险机构组建共保体，提高承保能力、分担赔付风险，提升事故预防服务能力</w:t>
      </w:r>
      <w:r>
        <w:rPr>
          <w:rFonts w:hint="eastAsia" w:ascii="仿宋_GB2312" w:hAnsi="仿宋_GB2312" w:eastAsia="仿宋_GB2312" w:cs="仿宋_GB2312"/>
          <w:color w:val="auto"/>
          <w:kern w:val="2"/>
          <w:sz w:val="32"/>
          <w:szCs w:val="32"/>
          <w:highlight w:val="none"/>
          <w:u w:val="none"/>
          <w:lang w:val="zh-CN"/>
        </w:rPr>
        <w:t>。</w:t>
      </w:r>
    </w:p>
    <w:p w14:paraId="0C65E0C5">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default" w:ascii="仿宋_GB2312" w:hAnsi="仿宋_GB2312" w:eastAsia="仿宋_GB2312" w:cs="仿宋_GB2312"/>
          <w:color w:val="auto"/>
          <w:spacing w:val="0"/>
          <w:kern w:val="2"/>
          <w:sz w:val="32"/>
          <w:szCs w:val="32"/>
          <w:highlight w:val="none"/>
          <w:u w:val="none"/>
          <w:lang w:val="en-US" w:eastAsia="zh-CN" w:bidi="ar-SA"/>
        </w:rPr>
      </w:pPr>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lang w:val="en-US" w:eastAsia="zh-CN"/>
        </w:rPr>
        <w:t>三</w:t>
      </w:r>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lang w:val="en-US" w:eastAsia="zh-CN"/>
        </w:rPr>
        <w:t>强化事故预防。</w:t>
      </w:r>
      <w:r>
        <w:rPr>
          <w:rFonts w:hint="eastAsia" w:ascii="仿宋_GB2312" w:hAnsi="仿宋_GB2312" w:eastAsia="仿宋_GB2312" w:cs="仿宋_GB2312"/>
          <w:color w:val="auto"/>
          <w:kern w:val="2"/>
          <w:sz w:val="32"/>
          <w:szCs w:val="32"/>
          <w:highlight w:val="none"/>
          <w:u w:val="none"/>
        </w:rPr>
        <w:t>保险机构应当保证事故预防服务费用投入，按照不高于实收保费的20%投入事故预防服务费用，制定专门预算，据实支出，不得挤占、挪用</w:t>
      </w:r>
      <w:r>
        <w:rPr>
          <w:rFonts w:hint="eastAsia" w:ascii="仿宋_GB2312" w:hAnsi="仿宋_GB2312" w:eastAsia="仿宋_GB2312" w:cs="仿宋_GB2312"/>
          <w:color w:val="auto"/>
          <w:spacing w:val="0"/>
          <w:kern w:val="2"/>
          <w:sz w:val="32"/>
          <w:szCs w:val="32"/>
          <w:highlight w:val="none"/>
          <w:u w:val="none"/>
          <w:lang w:val="en-US" w:eastAsia="zh-CN" w:bidi="ar-SA"/>
        </w:rPr>
        <w:t>，按照《安全生产责任保险事故预防技术服务规范》（AQ9010-2019）、省交通运输厅有关事故预防服务要求、行业领域安全形势及特点，统筹组织开展好跨地区、基础性、行业性的事故预防服务工作，针对不同参保情形提供个性化事故预防服务，明确事故预防服务内容、方式、程序、标准等，提高服务质量，提升风险防控能力。</w:t>
      </w:r>
    </w:p>
    <w:p w14:paraId="20E09DD3">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lang w:val="zh-CN"/>
        </w:rPr>
        <w:t>三、投保与承保</w:t>
      </w:r>
    </w:p>
    <w:p w14:paraId="38AA85A0">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楷体_GB2312" w:hAnsi="楷体_GB2312" w:eastAsia="楷体_GB2312" w:cs="楷体_GB2312"/>
          <w:b/>
          <w:bCs/>
          <w:color w:val="auto"/>
          <w:spacing w:val="0"/>
          <w:sz w:val="32"/>
          <w:szCs w:val="32"/>
          <w:highlight w:val="none"/>
          <w:u w:val="none"/>
        </w:rPr>
        <w:t>（</w:t>
      </w:r>
      <w:r>
        <w:rPr>
          <w:rFonts w:hint="eastAsia" w:ascii="楷体_GB2312" w:hAnsi="楷体_GB2312" w:eastAsia="楷体_GB2312" w:cs="楷体_GB2312"/>
          <w:b/>
          <w:bCs/>
          <w:color w:val="auto"/>
          <w:spacing w:val="0"/>
          <w:sz w:val="32"/>
          <w:szCs w:val="32"/>
          <w:highlight w:val="none"/>
          <w:u w:val="none"/>
          <w:lang w:val="zh-CN"/>
        </w:rPr>
        <w:t>一</w:t>
      </w:r>
      <w:r>
        <w:rPr>
          <w:rFonts w:hint="eastAsia" w:ascii="楷体_GB2312" w:hAnsi="楷体_GB2312" w:eastAsia="楷体_GB2312" w:cs="楷体_GB2312"/>
          <w:b/>
          <w:bCs/>
          <w:color w:val="auto"/>
          <w:spacing w:val="0"/>
          <w:sz w:val="32"/>
          <w:szCs w:val="32"/>
          <w:highlight w:val="none"/>
          <w:u w:val="none"/>
        </w:rPr>
        <w:t>）</w:t>
      </w:r>
      <w:r>
        <w:rPr>
          <w:rFonts w:hint="eastAsia" w:ascii="楷体_GB2312" w:hAnsi="楷体_GB2312" w:eastAsia="楷体_GB2312" w:cs="楷体_GB2312"/>
          <w:b/>
          <w:bCs/>
          <w:color w:val="auto"/>
          <w:spacing w:val="0"/>
          <w:sz w:val="32"/>
          <w:szCs w:val="32"/>
          <w:highlight w:val="none"/>
          <w:u w:val="none"/>
          <w:lang w:val="zh-CN"/>
        </w:rPr>
        <w:t>投保</w:t>
      </w:r>
      <w:r>
        <w:rPr>
          <w:rFonts w:hint="eastAsia" w:ascii="楷体_GB2312" w:hAnsi="楷体_GB2312" w:eastAsia="楷体_GB2312" w:cs="楷体_GB2312"/>
          <w:b/>
          <w:bCs/>
          <w:color w:val="auto"/>
          <w:spacing w:val="0"/>
          <w:sz w:val="32"/>
          <w:szCs w:val="32"/>
          <w:highlight w:val="none"/>
          <w:u w:val="none"/>
        </w:rPr>
        <w:t>主体</w:t>
      </w:r>
      <w:r>
        <w:rPr>
          <w:rFonts w:hint="eastAsia" w:ascii="楷体_GB2312" w:hAnsi="楷体_GB2312" w:eastAsia="楷体_GB2312" w:cs="楷体_GB2312"/>
          <w:b/>
          <w:bCs/>
          <w:color w:val="auto"/>
          <w:spacing w:val="0"/>
          <w:sz w:val="32"/>
          <w:szCs w:val="32"/>
          <w:highlight w:val="none"/>
          <w:u w:val="none"/>
          <w:lang w:val="zh-CN"/>
        </w:rPr>
        <w:t>。</w:t>
      </w:r>
      <w:r>
        <w:rPr>
          <w:rFonts w:hint="eastAsia" w:ascii="仿宋_GB2312" w:hAnsi="仿宋_GB2312" w:eastAsia="仿宋_GB2312" w:cs="仿宋_GB2312"/>
          <w:color w:val="auto"/>
          <w:kern w:val="2"/>
          <w:sz w:val="32"/>
          <w:szCs w:val="32"/>
          <w:highlight w:val="none"/>
          <w:u w:val="none"/>
        </w:rPr>
        <w:t>在全省范围内从事</w:t>
      </w:r>
      <w:r>
        <w:rPr>
          <w:rFonts w:hint="eastAsia" w:ascii="仿宋_GB2312" w:hAnsi="仿宋_GB2312" w:eastAsia="仿宋_GB2312" w:cs="仿宋_GB2312"/>
          <w:color w:val="auto"/>
          <w:spacing w:val="0"/>
          <w:sz w:val="32"/>
          <w:szCs w:val="32"/>
          <w:highlight w:val="none"/>
          <w:u w:val="none"/>
          <w:lang w:val="en-US" w:eastAsia="zh-CN"/>
        </w:rPr>
        <w:t>公路水运及地方铁路工程建设施工、道路旅客和危险货物道路运输、港口旅客运输服务经营和危险货物港口作业</w:t>
      </w:r>
      <w:r>
        <w:rPr>
          <w:rFonts w:hint="eastAsia" w:ascii="仿宋_GB2312" w:hAnsi="仿宋_GB2312" w:eastAsia="仿宋_GB2312" w:cs="仿宋_GB2312"/>
          <w:color w:val="auto"/>
          <w:kern w:val="2"/>
          <w:sz w:val="32"/>
          <w:szCs w:val="32"/>
          <w:highlight w:val="none"/>
          <w:u w:val="none"/>
        </w:rPr>
        <w:t>的生产经营单位应当投保交通运输安责险。交通运输行业高危领域生产经营单位应足额投保并及时缴纳交通运输安责险保费，保险公司应积极落实</w:t>
      </w:r>
      <w:r>
        <w:rPr>
          <w:rFonts w:hint="eastAsia" w:ascii="仿宋_GB2312" w:hAnsi="仿宋_GB2312" w:eastAsia="仿宋_GB2312" w:cs="仿宋_GB2312"/>
          <w:color w:val="auto"/>
          <w:kern w:val="2"/>
          <w:sz w:val="32"/>
          <w:szCs w:val="32"/>
          <w:highlight w:val="none"/>
          <w:u w:val="none"/>
          <w:lang w:eastAsia="zh-CN"/>
        </w:rPr>
        <w:t>“</w:t>
      </w:r>
      <w:r>
        <w:rPr>
          <w:rFonts w:hint="eastAsia" w:ascii="仿宋_GB2312" w:hAnsi="仿宋_GB2312" w:eastAsia="仿宋_GB2312" w:cs="仿宋_GB2312"/>
          <w:color w:val="auto"/>
          <w:kern w:val="2"/>
          <w:sz w:val="32"/>
          <w:szCs w:val="32"/>
          <w:highlight w:val="none"/>
          <w:u w:val="none"/>
        </w:rPr>
        <w:t>见费出单</w:t>
      </w:r>
      <w:r>
        <w:rPr>
          <w:rFonts w:hint="eastAsia" w:ascii="仿宋_GB2312" w:hAnsi="仿宋_GB2312" w:eastAsia="仿宋_GB2312" w:cs="仿宋_GB2312"/>
          <w:color w:val="auto"/>
          <w:kern w:val="2"/>
          <w:sz w:val="32"/>
          <w:szCs w:val="32"/>
          <w:highlight w:val="none"/>
          <w:u w:val="none"/>
          <w:lang w:eastAsia="zh-CN"/>
        </w:rPr>
        <w:t>”。鼓励普货道路运输、城市客运（含城市轨道交通运营）、铁路专用线运营、</w:t>
      </w:r>
      <w:r>
        <w:rPr>
          <w:rFonts w:hint="eastAsia" w:ascii="仿宋_GB2312" w:hAnsi="仿宋_GB2312" w:eastAsia="仿宋_GB2312" w:cs="仿宋_GB2312"/>
          <w:color w:val="auto"/>
          <w:kern w:val="2"/>
          <w:sz w:val="32"/>
          <w:szCs w:val="32"/>
          <w:highlight w:val="none"/>
          <w:u w:val="none"/>
        </w:rPr>
        <w:t>经营性水路货物运输、普货港口码头</w:t>
      </w:r>
      <w:r>
        <w:rPr>
          <w:rFonts w:hint="eastAsia" w:ascii="仿宋_GB2312" w:hAnsi="仿宋_GB2312" w:eastAsia="仿宋_GB2312" w:cs="仿宋_GB2312"/>
          <w:color w:val="auto"/>
          <w:kern w:val="2"/>
          <w:sz w:val="32"/>
          <w:szCs w:val="32"/>
          <w:highlight w:val="none"/>
          <w:u w:val="none"/>
          <w:lang w:eastAsia="zh-CN"/>
        </w:rPr>
        <w:t>、</w:t>
      </w:r>
      <w:r>
        <w:rPr>
          <w:rFonts w:hint="eastAsia" w:ascii="仿宋_GB2312" w:hAnsi="仿宋_GB2312" w:eastAsia="仿宋_GB2312" w:cs="仿宋_GB2312"/>
          <w:color w:val="auto"/>
          <w:kern w:val="2"/>
          <w:sz w:val="32"/>
          <w:szCs w:val="32"/>
          <w:highlight w:val="none"/>
          <w:u w:val="none"/>
        </w:rPr>
        <w:t>驾驶员培训及汽车维修服务</w:t>
      </w:r>
      <w:r>
        <w:rPr>
          <w:rFonts w:hint="eastAsia" w:ascii="仿宋_GB2312" w:hAnsi="仿宋_GB2312" w:eastAsia="仿宋_GB2312" w:cs="仿宋_GB2312"/>
          <w:color w:val="auto"/>
          <w:kern w:val="2"/>
          <w:sz w:val="32"/>
          <w:szCs w:val="32"/>
          <w:highlight w:val="none"/>
          <w:u w:val="none"/>
          <w:lang w:eastAsia="zh-CN"/>
        </w:rPr>
        <w:t>等生产经营单位投保交通运输安全生产责任保险。</w:t>
      </w:r>
      <w:r>
        <w:rPr>
          <w:rFonts w:hint="eastAsia" w:ascii="仿宋_GB2312" w:hAnsi="仿宋_GB2312" w:eastAsia="仿宋_GB2312" w:cs="仿宋_GB2312"/>
          <w:color w:val="auto"/>
          <w:spacing w:val="0"/>
          <w:kern w:val="2"/>
          <w:sz w:val="32"/>
          <w:szCs w:val="32"/>
          <w:highlight w:val="none"/>
          <w:u w:val="none"/>
          <w:lang w:val="en-US" w:eastAsia="zh-CN"/>
        </w:rPr>
        <w:t>安责险费用从安全经费中列支，不得以任何方式摊派给其他单位或从业人员个人。</w:t>
      </w:r>
    </w:p>
    <w:p w14:paraId="0F5BEEEA">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zh-CN"/>
        </w:rPr>
      </w:pPr>
      <w:r>
        <w:rPr>
          <w:rFonts w:hint="eastAsia" w:ascii="楷体_GB2312" w:hAnsi="楷体_GB2312" w:eastAsia="楷体_GB2312" w:cs="楷体_GB2312"/>
          <w:b/>
          <w:bCs/>
          <w:color w:val="auto"/>
          <w:spacing w:val="0"/>
          <w:sz w:val="32"/>
          <w:szCs w:val="32"/>
          <w:highlight w:val="none"/>
          <w:u w:val="none"/>
          <w:lang w:val="zh-CN"/>
        </w:rPr>
        <w:t>（二）承保</w:t>
      </w:r>
      <w:r>
        <w:rPr>
          <w:rFonts w:hint="eastAsia" w:ascii="楷体_GB2312" w:hAnsi="楷体_GB2312" w:eastAsia="楷体_GB2312" w:cs="楷体_GB2312"/>
          <w:b/>
          <w:bCs/>
          <w:color w:val="auto"/>
          <w:spacing w:val="0"/>
          <w:sz w:val="32"/>
          <w:szCs w:val="32"/>
          <w:highlight w:val="none"/>
          <w:u w:val="none"/>
        </w:rPr>
        <w:t>主体</w:t>
      </w:r>
      <w:r>
        <w:rPr>
          <w:rFonts w:hint="eastAsia" w:ascii="楷体_GB2312" w:hAnsi="楷体_GB2312" w:eastAsia="楷体_GB2312" w:cs="楷体_GB2312"/>
          <w:b/>
          <w:bCs/>
          <w:color w:val="auto"/>
          <w:spacing w:val="0"/>
          <w:sz w:val="32"/>
          <w:szCs w:val="32"/>
          <w:highlight w:val="none"/>
          <w:u w:val="none"/>
          <w:lang w:val="zh-CN"/>
        </w:rPr>
        <w:t>。</w:t>
      </w:r>
      <w:r>
        <w:rPr>
          <w:rFonts w:hint="eastAsia" w:ascii="仿宋_GB2312" w:hAnsi="仿宋_GB2312" w:eastAsia="仿宋_GB2312" w:cs="仿宋_GB2312"/>
          <w:b w:val="0"/>
          <w:bCs w:val="0"/>
          <w:color w:val="auto"/>
          <w:spacing w:val="0"/>
          <w:kern w:val="2"/>
          <w:sz w:val="32"/>
          <w:szCs w:val="32"/>
          <w:highlight w:val="none"/>
          <w:u w:val="none"/>
          <w:lang w:val="en-US"/>
        </w:rPr>
        <w:t>保险机构应当严格执行行业标准条款，不得以签订补充协议等形式改变条款内容。标准条款发布前，使用已备案的交通运输安责险条款，应符合《安全生产责任保险实施办法》有关要求。</w:t>
      </w:r>
      <w:r>
        <w:rPr>
          <w:rFonts w:hint="eastAsia" w:ascii="仿宋_GB2312" w:hAnsi="仿宋_GB2312" w:eastAsia="仿宋_GB2312" w:cs="仿宋_GB2312"/>
          <w:color w:val="auto"/>
          <w:spacing w:val="0"/>
          <w:sz w:val="32"/>
          <w:szCs w:val="32"/>
          <w:highlight w:val="none"/>
          <w:u w:val="none"/>
        </w:rPr>
        <w:t>保险机构</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可组建共保体或独立作为承保机构</w:t>
      </w:r>
      <w:r>
        <w:rPr>
          <w:rFonts w:hint="eastAsia" w:ascii="仿宋_GB2312" w:hAnsi="仿宋_GB2312" w:eastAsia="仿宋_GB2312" w:cs="仿宋_GB2312"/>
          <w:color w:val="auto"/>
          <w:spacing w:val="0"/>
          <w:sz w:val="32"/>
          <w:szCs w:val="32"/>
          <w:highlight w:val="none"/>
          <w:u w:val="none"/>
        </w:rPr>
        <w:t>承保</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rPr>
        <w:t>安责险</w:t>
      </w:r>
      <w:r>
        <w:rPr>
          <w:rFonts w:hint="eastAsia" w:ascii="仿宋_GB2312" w:hAnsi="仿宋_GB2312" w:eastAsia="仿宋_GB2312" w:cs="仿宋_GB2312"/>
          <w:color w:val="auto"/>
          <w:spacing w:val="0"/>
          <w:sz w:val="32"/>
          <w:szCs w:val="32"/>
          <w:highlight w:val="none"/>
          <w:u w:val="none"/>
          <w:lang w:val="en-US" w:eastAsia="zh-CN"/>
        </w:rPr>
        <w:t>。承保机构</w:t>
      </w:r>
      <w:r>
        <w:rPr>
          <w:rFonts w:hint="eastAsia" w:ascii="仿宋_GB2312" w:hAnsi="仿宋_GB2312" w:eastAsia="仿宋_GB2312" w:cs="仿宋_GB2312"/>
          <w:color w:val="auto"/>
          <w:spacing w:val="0"/>
          <w:sz w:val="32"/>
          <w:szCs w:val="32"/>
          <w:highlight w:val="none"/>
          <w:u w:val="none"/>
        </w:rPr>
        <w:t>应符合相关法律法规和标准规范要求，</w:t>
      </w:r>
      <w:r>
        <w:rPr>
          <w:rFonts w:hint="eastAsia" w:ascii="仿宋_GB2312" w:hAnsi="仿宋_GB2312" w:eastAsia="仿宋_GB2312" w:cs="仿宋_GB2312"/>
          <w:color w:val="auto"/>
          <w:spacing w:val="0"/>
          <w:sz w:val="32"/>
          <w:szCs w:val="32"/>
          <w:highlight w:val="none"/>
          <w:u w:val="none"/>
          <w:lang w:val="en-US" w:eastAsia="zh-CN"/>
        </w:rPr>
        <w:t>具有相应的专业资质和能力，</w:t>
      </w:r>
      <w:r>
        <w:rPr>
          <w:rFonts w:hint="eastAsia" w:ascii="仿宋_GB2312" w:hAnsi="仿宋_GB2312" w:eastAsia="仿宋_GB2312" w:cs="仿宋_GB2312"/>
          <w:color w:val="auto"/>
          <w:spacing w:val="0"/>
          <w:sz w:val="32"/>
          <w:szCs w:val="32"/>
          <w:highlight w:val="none"/>
          <w:u w:val="none"/>
        </w:rPr>
        <w:t>并满足以下</w:t>
      </w:r>
      <w:r>
        <w:rPr>
          <w:rFonts w:hint="eastAsia" w:ascii="仿宋_GB2312" w:hAnsi="仿宋_GB2312" w:eastAsia="仿宋_GB2312" w:cs="仿宋_GB2312"/>
          <w:color w:val="auto"/>
          <w:spacing w:val="0"/>
          <w:sz w:val="32"/>
          <w:szCs w:val="32"/>
          <w:highlight w:val="none"/>
          <w:u w:val="none"/>
          <w:lang w:val="en-US" w:eastAsia="zh-CN"/>
        </w:rPr>
        <w:t>条件</w:t>
      </w:r>
      <w:r>
        <w:rPr>
          <w:rFonts w:hint="eastAsia" w:ascii="仿宋_GB2312" w:hAnsi="仿宋_GB2312" w:eastAsia="仿宋_GB2312" w:cs="仿宋_GB2312"/>
          <w:color w:val="auto"/>
          <w:spacing w:val="0"/>
          <w:sz w:val="32"/>
          <w:szCs w:val="32"/>
          <w:highlight w:val="none"/>
          <w:u w:val="none"/>
          <w:lang w:val="zh-CN"/>
        </w:rPr>
        <w:t>：</w:t>
      </w:r>
    </w:p>
    <w:p w14:paraId="798EBB77">
      <w:pPr>
        <w:keepNext w:val="0"/>
        <w:keepLines w:val="0"/>
        <w:pageBreakBefore w:val="0"/>
        <w:widowControl w:val="0"/>
        <w:kinsoku/>
        <w:wordWrap/>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auto"/>
          <w:spacing w:val="0"/>
          <w:sz w:val="32"/>
          <w:szCs w:val="32"/>
          <w:highlight w:val="none"/>
          <w:u w:val="none"/>
          <w:lang w:val="en-US" w:eastAsia="zh-CN"/>
        </w:rPr>
      </w:pPr>
      <w:r>
        <w:rPr>
          <w:rFonts w:hint="eastAsia" w:ascii="仿宋_GB2312" w:hAnsi="仿宋_GB2312" w:eastAsia="仿宋_GB2312" w:cs="仿宋_GB2312"/>
          <w:color w:val="auto"/>
          <w:spacing w:val="0"/>
          <w:sz w:val="32"/>
          <w:szCs w:val="32"/>
          <w:highlight w:val="none"/>
          <w:u w:val="none"/>
        </w:rPr>
        <w:t>1.商业信誉良好，业务开展地的营业机构</w:t>
      </w:r>
      <w:r>
        <w:rPr>
          <w:rFonts w:hint="eastAsia" w:ascii="仿宋_GB2312" w:hAnsi="仿宋_GB2312" w:eastAsia="仿宋_GB2312" w:cs="仿宋_GB2312"/>
          <w:color w:val="auto"/>
          <w:spacing w:val="0"/>
          <w:sz w:val="32"/>
          <w:szCs w:val="32"/>
          <w:highlight w:val="none"/>
          <w:u w:val="none"/>
          <w:lang w:val="en-US" w:eastAsia="zh-CN"/>
        </w:rPr>
        <w:t>近三年安责险经营活动无重大违法违规记录。</w:t>
      </w:r>
    </w:p>
    <w:p w14:paraId="624E486B">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FF0000"/>
          <w:spacing w:val="0"/>
          <w:sz w:val="32"/>
          <w:szCs w:val="32"/>
          <w:highlight w:val="none"/>
          <w:u w:val="none"/>
          <w:lang w:val="en-US" w:eastAsia="zh-CN"/>
        </w:rPr>
      </w:pPr>
      <w:bookmarkStart w:id="2" w:name="OLE_LINK6"/>
      <w:r>
        <w:rPr>
          <w:rFonts w:hint="eastAsia" w:ascii="仿宋_GB2312" w:hAnsi="仿宋_GB2312" w:eastAsia="仿宋_GB2312" w:cs="仿宋_GB2312"/>
          <w:color w:val="auto"/>
          <w:spacing w:val="0"/>
          <w:sz w:val="32"/>
          <w:szCs w:val="32"/>
          <w:highlight w:val="none"/>
          <w:u w:val="none"/>
          <w:lang w:val="en-US" w:eastAsia="zh-CN"/>
        </w:rPr>
        <w:t>2</w:t>
      </w:r>
      <w:r>
        <w:rPr>
          <w:rFonts w:hint="eastAsia" w:ascii="仿宋_GB2312" w:hAnsi="仿宋_GB2312" w:eastAsia="仿宋_GB2312" w:cs="仿宋_GB2312"/>
          <w:color w:val="auto"/>
          <w:spacing w:val="0"/>
          <w:sz w:val="32"/>
          <w:szCs w:val="32"/>
          <w:highlight w:val="none"/>
          <w:u w:val="none"/>
        </w:rPr>
        <w:t>.有配套的营业机构网点</w:t>
      </w:r>
      <w:r>
        <w:rPr>
          <w:rFonts w:hint="eastAsia" w:ascii="仿宋_GB2312" w:hAnsi="仿宋_GB2312" w:eastAsia="仿宋_GB2312" w:cs="仿宋_GB2312"/>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lang w:val="en-US" w:eastAsia="zh-CN"/>
        </w:rPr>
        <w:t>在承保项目所在市州设有营业机构网点</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w:t>
      </w:r>
    </w:p>
    <w:p w14:paraId="08218D2C">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lang w:val="en-US" w:eastAsia="zh-CN"/>
        </w:rPr>
        <w:t>3</w:t>
      </w:r>
      <w:r>
        <w:rPr>
          <w:rFonts w:hint="eastAsia" w:ascii="仿宋_GB2312" w:hAnsi="仿宋_GB2312" w:eastAsia="仿宋_GB2312" w:cs="仿宋_GB2312"/>
          <w:color w:val="auto"/>
          <w:spacing w:val="0"/>
          <w:sz w:val="32"/>
          <w:szCs w:val="32"/>
          <w:highlight w:val="none"/>
          <w:u w:val="none"/>
        </w:rPr>
        <w:t>.</w:t>
      </w:r>
      <w:bookmarkStart w:id="3" w:name="OLE_LINK30"/>
      <w:r>
        <w:rPr>
          <w:rFonts w:hint="eastAsia" w:ascii="仿宋_GB2312" w:hAnsi="仿宋_GB2312" w:eastAsia="仿宋_GB2312" w:cs="仿宋_GB2312"/>
          <w:b w:val="0"/>
          <w:bCs w:val="0"/>
          <w:color w:val="auto"/>
          <w:spacing w:val="0"/>
          <w:kern w:val="2"/>
          <w:sz w:val="32"/>
          <w:szCs w:val="32"/>
          <w:highlight w:val="none"/>
          <w:u w:val="none"/>
          <w:lang w:val="en-US" w:eastAsia="zh-CN" w:bidi="ar-SA"/>
        </w:rPr>
        <w:t>有充足的</w:t>
      </w:r>
      <w:r>
        <w:rPr>
          <w:rFonts w:hint="eastAsia" w:ascii="仿宋_GB2312" w:hAnsi="仿宋_GB2312" w:eastAsia="仿宋_GB2312" w:cs="仿宋_GB2312"/>
          <w:b w:val="0"/>
          <w:bCs w:val="0"/>
          <w:color w:val="auto"/>
          <w:spacing w:val="0"/>
          <w:kern w:val="2"/>
          <w:sz w:val="32"/>
          <w:szCs w:val="32"/>
          <w:highlight w:val="none"/>
          <w:u w:val="none"/>
          <w:lang w:val="zh-CN" w:eastAsia="zh-CN" w:bidi="ar-SA"/>
        </w:rPr>
        <w:t>偿付能力，</w:t>
      </w:r>
      <w:r>
        <w:rPr>
          <w:rFonts w:hint="eastAsia" w:ascii="仿宋_GB2312" w:hAnsi="仿宋_GB2312" w:eastAsia="仿宋_GB2312" w:cs="仿宋_GB2312"/>
          <w:color w:val="auto"/>
          <w:spacing w:val="0"/>
          <w:sz w:val="32"/>
          <w:szCs w:val="32"/>
          <w:highlight w:val="none"/>
          <w:u w:val="none"/>
          <w:lang w:val="zh-CN"/>
        </w:rPr>
        <w:t>具有履行赔付义务的能力</w:t>
      </w:r>
      <w:bookmarkEnd w:id="2"/>
      <w:r>
        <w:rPr>
          <w:rFonts w:hint="eastAsia" w:ascii="仿宋_GB2312" w:hAnsi="仿宋_GB2312" w:eastAsia="仿宋_GB2312" w:cs="仿宋_GB2312"/>
          <w:color w:val="auto"/>
          <w:spacing w:val="0"/>
          <w:sz w:val="32"/>
          <w:szCs w:val="32"/>
          <w:highlight w:val="none"/>
          <w:u w:val="none"/>
          <w:lang w:val="zh-CN"/>
        </w:rPr>
        <w:t>。</w:t>
      </w:r>
      <w:bookmarkEnd w:id="3"/>
    </w:p>
    <w:p w14:paraId="30C3525E">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b w:val="0"/>
          <w:bCs w:val="0"/>
          <w:color w:val="auto"/>
          <w:spacing w:val="0"/>
          <w:kern w:val="2"/>
          <w:sz w:val="32"/>
          <w:szCs w:val="32"/>
          <w:highlight w:val="none"/>
          <w:u w:val="none"/>
          <w:lang w:val="en-US" w:eastAsia="zh-CN" w:bidi="ar-SA"/>
        </w:rPr>
      </w:pPr>
      <w:r>
        <w:rPr>
          <w:rFonts w:hint="eastAsia" w:ascii="仿宋_GB2312" w:hAnsi="仿宋_GB2312" w:eastAsia="仿宋_GB2312" w:cs="仿宋_GB2312"/>
          <w:b w:val="0"/>
          <w:bCs w:val="0"/>
          <w:color w:val="auto"/>
          <w:spacing w:val="0"/>
          <w:kern w:val="2"/>
          <w:sz w:val="32"/>
          <w:szCs w:val="32"/>
          <w:highlight w:val="none"/>
          <w:u w:val="none"/>
          <w:lang w:val="en-US" w:eastAsia="zh-CN" w:bidi="ar-SA"/>
        </w:rPr>
        <w:t>4.配备组织开展事故预防服务的管理人员，</w:t>
      </w:r>
      <w:bookmarkStart w:id="4" w:name="OLE_LINK29"/>
      <w:r>
        <w:rPr>
          <w:rFonts w:hint="eastAsia" w:ascii="仿宋_GB2312" w:hAnsi="仿宋_GB2312" w:eastAsia="仿宋_GB2312" w:cs="仿宋_GB2312"/>
          <w:b w:val="0"/>
          <w:bCs w:val="0"/>
          <w:color w:val="auto"/>
          <w:spacing w:val="0"/>
          <w:kern w:val="2"/>
          <w:sz w:val="32"/>
          <w:szCs w:val="32"/>
          <w:highlight w:val="none"/>
          <w:u w:val="none"/>
          <w:lang w:val="en-US" w:eastAsia="zh-CN" w:bidi="ar-SA"/>
        </w:rPr>
        <w:t>在承保项目所在市州具有事故预防服务风控团队</w:t>
      </w:r>
      <w:bookmarkEnd w:id="4"/>
      <w:r>
        <w:rPr>
          <w:rFonts w:hint="eastAsia" w:ascii="仿宋_GB2312" w:hAnsi="仿宋_GB2312" w:eastAsia="仿宋_GB2312" w:cs="仿宋_GB2312"/>
          <w:b w:val="0"/>
          <w:bCs w:val="0"/>
          <w:color w:val="auto"/>
          <w:spacing w:val="0"/>
          <w:kern w:val="2"/>
          <w:sz w:val="32"/>
          <w:szCs w:val="32"/>
          <w:highlight w:val="none"/>
          <w:u w:val="none"/>
          <w:lang w:val="en-US" w:eastAsia="zh-CN" w:bidi="ar-SA"/>
        </w:rPr>
        <w:t>，</w:t>
      </w:r>
      <w:r>
        <w:rPr>
          <w:rFonts w:hint="eastAsia" w:ascii="仿宋_GB2312" w:hAnsi="仿宋_GB2312" w:eastAsia="仿宋_GB2312" w:cs="仿宋_GB2312"/>
          <w:color w:val="auto"/>
          <w:szCs w:val="32"/>
          <w:highlight w:val="none"/>
          <w:u w:val="none"/>
        </w:rPr>
        <w:t>风控团队应配备不少于1名专职管理人员，团队人员应具备3年以上交通运输行业安全生产管理或风险防控相关工作经验。保险机构可采购具有相应资质或能力且符合以上要求的第三方安全生产技术服务机构开展事故预防服务</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w:t>
      </w:r>
    </w:p>
    <w:p w14:paraId="598BF60F">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lang w:val="en-US" w:eastAsia="zh-CN"/>
        </w:rPr>
        <w:t>5</w:t>
      </w:r>
      <w:r>
        <w:rPr>
          <w:rFonts w:hint="eastAsia" w:ascii="仿宋_GB2312" w:hAnsi="仿宋_GB2312" w:eastAsia="仿宋_GB2312" w:cs="仿宋_GB2312"/>
          <w:color w:val="auto"/>
          <w:spacing w:val="0"/>
          <w:sz w:val="32"/>
          <w:szCs w:val="32"/>
          <w:highlight w:val="none"/>
          <w:u w:val="none"/>
        </w:rPr>
        <w:t>.</w:t>
      </w:r>
      <w:r>
        <w:rPr>
          <w:rFonts w:hint="eastAsia" w:ascii="仿宋_GB2312" w:hAnsi="仿宋_GB2312" w:eastAsia="仿宋_GB2312" w:cs="仿宋_GB2312"/>
          <w:color w:val="auto"/>
          <w:spacing w:val="0"/>
          <w:sz w:val="32"/>
          <w:szCs w:val="32"/>
          <w:highlight w:val="none"/>
          <w:u w:val="none"/>
          <w:lang w:val="zh-CN"/>
        </w:rPr>
        <w:t>具有经金融监管部门备案的</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lang w:val="zh-CN"/>
        </w:rPr>
        <w:t>安责险产品（含保险条款、费率）。</w:t>
      </w:r>
    </w:p>
    <w:p w14:paraId="01AEA07A">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auto"/>
          <w:spacing w:val="0"/>
          <w:sz w:val="32"/>
          <w:szCs w:val="32"/>
          <w:highlight w:val="none"/>
          <w:u w:val="none"/>
          <w:lang w:val="en-US" w:eastAsia="zh-CN"/>
        </w:rPr>
      </w:pPr>
      <w:r>
        <w:rPr>
          <w:rFonts w:hint="eastAsia" w:ascii="仿宋_GB2312" w:hAnsi="仿宋_GB2312" w:eastAsia="仿宋_GB2312" w:cs="仿宋_GB2312"/>
          <w:color w:val="auto"/>
          <w:spacing w:val="0"/>
          <w:sz w:val="32"/>
          <w:szCs w:val="32"/>
          <w:highlight w:val="none"/>
          <w:u w:val="none"/>
          <w:lang w:val="en-US" w:eastAsia="zh-CN"/>
        </w:rPr>
        <w:t>6.满足</w:t>
      </w:r>
      <w:r>
        <w:rPr>
          <w:rFonts w:hint="eastAsia" w:ascii="仿宋_GB2312" w:hAnsi="仿宋_GB2312" w:eastAsia="仿宋_GB2312" w:cs="仿宋_GB2312"/>
          <w:color w:val="auto"/>
          <w:spacing w:val="0"/>
          <w:sz w:val="32"/>
          <w:szCs w:val="32"/>
          <w:highlight w:val="none"/>
          <w:u w:val="none"/>
          <w:lang w:val="zh-CN"/>
        </w:rPr>
        <w:t>金融监管部门</w:t>
      </w:r>
      <w:r>
        <w:rPr>
          <w:rFonts w:hint="eastAsia" w:ascii="仿宋_GB2312" w:hAnsi="仿宋_GB2312" w:eastAsia="仿宋_GB2312" w:cs="仿宋_GB2312"/>
          <w:color w:val="auto"/>
          <w:spacing w:val="0"/>
          <w:sz w:val="32"/>
          <w:szCs w:val="32"/>
          <w:highlight w:val="none"/>
          <w:u w:val="none"/>
          <w:lang w:val="en-US" w:eastAsia="zh-CN"/>
        </w:rPr>
        <w:t>规定的其他条件。</w:t>
      </w:r>
    </w:p>
    <w:p w14:paraId="662BBA62">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b/>
          <w:bCs/>
          <w:color w:val="auto"/>
          <w:spacing w:val="0"/>
          <w:kern w:val="2"/>
          <w:sz w:val="32"/>
          <w:szCs w:val="32"/>
          <w:highlight w:val="yellow"/>
          <w:u w:val="none"/>
          <w:lang w:val="en-US" w:eastAsia="zh-CN"/>
        </w:rPr>
      </w:pPr>
      <w:r>
        <w:rPr>
          <w:rFonts w:hint="eastAsia" w:ascii="楷体_GB2312" w:hAnsi="楷体_GB2312" w:eastAsia="楷体_GB2312" w:cs="楷体_GB2312"/>
          <w:b/>
          <w:bCs/>
          <w:color w:val="auto"/>
          <w:spacing w:val="0"/>
          <w:sz w:val="32"/>
          <w:szCs w:val="32"/>
          <w:highlight w:val="none"/>
          <w:u w:val="none"/>
        </w:rPr>
        <w:t>（三）保障</w:t>
      </w:r>
      <w:r>
        <w:rPr>
          <w:rFonts w:hint="eastAsia" w:ascii="楷体_GB2312" w:hAnsi="楷体_GB2312" w:eastAsia="楷体_GB2312" w:cs="楷体_GB2312"/>
          <w:b/>
          <w:bCs/>
          <w:color w:val="auto"/>
          <w:spacing w:val="0"/>
          <w:sz w:val="32"/>
          <w:szCs w:val="32"/>
          <w:highlight w:val="none"/>
          <w:u w:val="none"/>
          <w:lang w:val="en-US" w:eastAsia="zh-CN"/>
        </w:rPr>
        <w:t>范围</w:t>
      </w:r>
      <w:r>
        <w:rPr>
          <w:rFonts w:hint="eastAsia" w:ascii="楷体_GB2312" w:hAnsi="楷体_GB2312" w:eastAsia="楷体_GB2312" w:cs="楷体_GB2312"/>
          <w:b/>
          <w:bCs/>
          <w:color w:val="auto"/>
          <w:spacing w:val="0"/>
          <w:sz w:val="32"/>
          <w:szCs w:val="32"/>
          <w:highlight w:val="none"/>
          <w:u w:val="none"/>
        </w:rPr>
        <w:t>。</w:t>
      </w:r>
      <w:r>
        <w:rPr>
          <w:rFonts w:hint="eastAsia" w:ascii="仿宋_GB2312" w:hAnsi="仿宋_GB2312" w:eastAsia="仿宋_GB2312" w:cs="仿宋_GB2312"/>
          <w:color w:val="auto"/>
          <w:spacing w:val="0"/>
          <w:sz w:val="32"/>
          <w:szCs w:val="32"/>
          <w:highlight w:val="none"/>
          <w:u w:val="none"/>
        </w:rPr>
        <w:t>安责险保障范围应当覆盖全体从业人员，保险金额实行同一标准，不得因用工方式、工作岗位等差别对待。从业人员及第三者的每人死亡伤残责任限额不得低于40万元，对涉及的各项具体赔偿限额，双方应按照保险条款进行约定并在保单中载明</w:t>
      </w:r>
      <w:r>
        <w:rPr>
          <w:rFonts w:hint="eastAsia" w:ascii="仿宋_GB2312" w:hAnsi="仿宋_GB2312" w:eastAsia="仿宋_GB2312" w:cs="仿宋_GB2312"/>
          <w:color w:val="auto"/>
          <w:spacing w:val="0"/>
          <w:sz w:val="32"/>
          <w:szCs w:val="32"/>
          <w:highlight w:val="none"/>
          <w:u w:val="none"/>
          <w:lang w:eastAsia="zh-CN"/>
        </w:rPr>
        <w:t>，各地区可根据实际情况确定安责险中涉及人员死亡的最低责任限额并按本地区城镇居民人均可支配收入的变化适时调整。法律、行政法规对生产经营单位的赔偿责任限额另有规定的，</w:t>
      </w:r>
      <w:r>
        <w:rPr>
          <w:rFonts w:hint="eastAsia" w:ascii="仿宋_GB2312" w:hAnsi="仿宋_GB2312" w:eastAsia="仿宋_GB2312" w:cs="仿宋_GB2312"/>
          <w:color w:val="auto"/>
          <w:spacing w:val="0"/>
          <w:sz w:val="32"/>
          <w:szCs w:val="32"/>
          <w:highlight w:val="none"/>
          <w:u w:val="none"/>
          <w:lang w:val="en-US" w:eastAsia="zh-CN"/>
        </w:rPr>
        <w:t>从其规定。</w:t>
      </w:r>
    </w:p>
    <w:p w14:paraId="2037576E">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zh-CN"/>
        </w:rPr>
      </w:pPr>
      <w:r>
        <w:rPr>
          <w:rFonts w:hint="eastAsia" w:ascii="楷体_GB2312" w:hAnsi="楷体_GB2312" w:eastAsia="楷体_GB2312" w:cs="楷体_GB2312"/>
          <w:b/>
          <w:bCs/>
          <w:color w:val="auto"/>
          <w:spacing w:val="0"/>
          <w:sz w:val="32"/>
          <w:szCs w:val="32"/>
          <w:highlight w:val="none"/>
          <w:u w:val="none"/>
          <w:lang w:val="zh-CN"/>
        </w:rPr>
        <w:t>（</w:t>
      </w:r>
      <w:r>
        <w:rPr>
          <w:rFonts w:hint="eastAsia" w:ascii="楷体_GB2312" w:hAnsi="楷体_GB2312" w:eastAsia="楷体_GB2312" w:cs="楷体_GB2312"/>
          <w:b/>
          <w:bCs/>
          <w:color w:val="auto"/>
          <w:spacing w:val="0"/>
          <w:sz w:val="32"/>
          <w:szCs w:val="32"/>
          <w:highlight w:val="none"/>
          <w:u w:val="none"/>
        </w:rPr>
        <w:t>四</w:t>
      </w:r>
      <w:r>
        <w:rPr>
          <w:rFonts w:hint="eastAsia" w:ascii="楷体_GB2312" w:hAnsi="楷体_GB2312" w:eastAsia="楷体_GB2312" w:cs="楷体_GB2312"/>
          <w:b/>
          <w:bCs/>
          <w:color w:val="auto"/>
          <w:spacing w:val="0"/>
          <w:sz w:val="32"/>
          <w:szCs w:val="32"/>
          <w:highlight w:val="none"/>
          <w:u w:val="none"/>
          <w:lang w:val="zh-CN"/>
        </w:rPr>
        <w:t>）保险期限。</w:t>
      </w:r>
      <w:r>
        <w:rPr>
          <w:rFonts w:hint="eastAsia" w:ascii="仿宋_GB2312" w:hAnsi="仿宋_GB2312" w:eastAsia="仿宋_GB2312" w:cs="仿宋_GB2312"/>
          <w:color w:val="auto"/>
          <w:spacing w:val="0"/>
          <w:sz w:val="32"/>
          <w:szCs w:val="32"/>
          <w:highlight w:val="none"/>
          <w:u w:val="none"/>
          <w:lang w:val="en-US" w:eastAsia="zh-CN"/>
        </w:rPr>
        <w:t>公路水运及地方铁路工程建设施工安责险</w:t>
      </w:r>
      <w:r>
        <w:rPr>
          <w:rFonts w:hint="eastAsia" w:ascii="仿宋_GB2312" w:hAnsi="仿宋_GB2312" w:eastAsia="仿宋_GB2312" w:cs="仿宋_GB2312"/>
          <w:color w:val="auto"/>
          <w:spacing w:val="0"/>
          <w:kern w:val="2"/>
          <w:sz w:val="32"/>
          <w:szCs w:val="32"/>
          <w:highlight w:val="none"/>
          <w:u w:val="none"/>
          <w:lang w:val="zh-CN"/>
        </w:rPr>
        <w:t>保险期限</w:t>
      </w:r>
      <w:r>
        <w:rPr>
          <w:rFonts w:hint="eastAsia" w:ascii="仿宋_GB2312" w:hAnsi="仿宋_GB2312" w:eastAsia="仿宋_GB2312" w:cs="仿宋_GB2312"/>
          <w:color w:val="auto"/>
          <w:spacing w:val="0"/>
          <w:kern w:val="2"/>
          <w:sz w:val="32"/>
          <w:szCs w:val="32"/>
          <w:highlight w:val="none"/>
          <w:u w:val="none"/>
        </w:rPr>
        <w:t>应</w:t>
      </w:r>
      <w:r>
        <w:rPr>
          <w:rFonts w:hint="eastAsia" w:ascii="仿宋_GB2312" w:hAnsi="仿宋_GB2312" w:eastAsia="仿宋_GB2312" w:cs="仿宋_GB2312"/>
          <w:color w:val="auto"/>
          <w:spacing w:val="0"/>
          <w:kern w:val="2"/>
          <w:sz w:val="32"/>
          <w:szCs w:val="32"/>
          <w:highlight w:val="none"/>
          <w:u w:val="none"/>
          <w:lang w:val="zh-CN"/>
        </w:rPr>
        <w:t>覆盖工程施工全过程，自施工企业投保工程项目安责险之日起至工程项目交工验收合格之日止，</w:t>
      </w:r>
      <w:r>
        <w:rPr>
          <w:rFonts w:hint="eastAsia" w:ascii="仿宋_GB2312" w:hAnsi="仿宋_GB2312" w:eastAsia="仿宋_GB2312" w:cs="仿宋_GB2312"/>
          <w:color w:val="auto"/>
          <w:spacing w:val="0"/>
          <w:kern w:val="2"/>
          <w:sz w:val="32"/>
          <w:szCs w:val="32"/>
          <w:highlight w:val="none"/>
          <w:u w:val="none"/>
          <w:lang w:val="en-US" w:eastAsia="zh-CN"/>
        </w:rPr>
        <w:t>道路运输、水路运输等生产经营单位安责险按年度计算，各项目和生产经营单位</w:t>
      </w:r>
      <w:r>
        <w:rPr>
          <w:rFonts w:hint="eastAsia" w:ascii="仿宋_GB2312" w:hAnsi="仿宋_GB2312" w:eastAsia="仿宋_GB2312" w:cs="仿宋_GB2312"/>
          <w:color w:val="auto"/>
          <w:spacing w:val="0"/>
          <w:kern w:val="2"/>
          <w:sz w:val="32"/>
          <w:szCs w:val="32"/>
          <w:highlight w:val="none"/>
          <w:u w:val="none"/>
          <w:lang w:val="zh-CN"/>
        </w:rPr>
        <w:t>除被依法关闭取缔、完全停止生产经营活动外，不得退保、延迟续保。</w:t>
      </w:r>
    </w:p>
    <w:p w14:paraId="761951BE">
      <w:pPr>
        <w:keepNext w:val="0"/>
        <w:keepLines w:val="0"/>
        <w:pageBreakBefore w:val="0"/>
        <w:widowControl w:val="0"/>
        <w:kinsoku/>
        <w:wordWrap/>
        <w:overflowPunct/>
        <w:topLinePunct w:val="0"/>
        <w:autoSpaceDE/>
        <w:autoSpaceDN/>
        <w:bidi w:val="0"/>
        <w:adjustRightInd/>
        <w:snapToGrid/>
        <w:spacing w:line="240" w:lineRule="auto"/>
        <w:ind w:firstLine="642"/>
        <w:textAlignment w:val="auto"/>
        <w:rPr>
          <w:rFonts w:hint="eastAsia" w:ascii="仿宋_GB2312" w:hAnsi="仿宋_GB2312" w:eastAsia="仿宋_GB2312" w:cs="仿宋_GB2312"/>
          <w:color w:val="auto"/>
          <w:spacing w:val="0"/>
          <w:sz w:val="32"/>
          <w:szCs w:val="32"/>
          <w:highlight w:val="none"/>
          <w:u w:val="none"/>
          <w:lang w:val="en-US" w:eastAsia="zh-CN"/>
        </w:rPr>
      </w:pPr>
      <w:r>
        <w:rPr>
          <w:rFonts w:hint="eastAsia" w:ascii="楷体_GB2312" w:hAnsi="楷体_GB2312" w:eastAsia="楷体_GB2312" w:cs="楷体_GB2312"/>
          <w:b/>
          <w:bCs/>
          <w:color w:val="auto"/>
          <w:spacing w:val="0"/>
          <w:kern w:val="0"/>
          <w:sz w:val="32"/>
          <w:szCs w:val="32"/>
          <w:highlight w:val="none"/>
          <w:u w:val="none"/>
          <w:lang w:val="zh-CN" w:eastAsia="zh-CN" w:bidi="ar-SA"/>
        </w:rPr>
        <w:t>（</w:t>
      </w:r>
      <w:r>
        <w:rPr>
          <w:rFonts w:hint="eastAsia" w:ascii="楷体_GB2312" w:hAnsi="楷体_GB2312" w:eastAsia="楷体_GB2312" w:cs="楷体_GB2312"/>
          <w:b/>
          <w:bCs/>
          <w:color w:val="auto"/>
          <w:spacing w:val="0"/>
          <w:kern w:val="0"/>
          <w:sz w:val="32"/>
          <w:szCs w:val="32"/>
          <w:highlight w:val="none"/>
          <w:u w:val="none"/>
          <w:lang w:val="en-US" w:eastAsia="zh-CN" w:bidi="ar-SA"/>
        </w:rPr>
        <w:t>五</w:t>
      </w:r>
      <w:r>
        <w:rPr>
          <w:rFonts w:hint="eastAsia" w:ascii="楷体_GB2312" w:hAnsi="楷体_GB2312" w:eastAsia="楷体_GB2312" w:cs="楷体_GB2312"/>
          <w:b/>
          <w:bCs/>
          <w:color w:val="auto"/>
          <w:spacing w:val="0"/>
          <w:kern w:val="0"/>
          <w:sz w:val="32"/>
          <w:szCs w:val="32"/>
          <w:highlight w:val="none"/>
          <w:u w:val="none"/>
          <w:lang w:val="zh-CN" w:eastAsia="zh-CN" w:bidi="ar-SA"/>
        </w:rPr>
        <w:t>）</w:t>
      </w:r>
      <w:r>
        <w:rPr>
          <w:rFonts w:hint="eastAsia" w:ascii="楷体_GB2312" w:hAnsi="楷体_GB2312" w:eastAsia="楷体_GB2312" w:cs="楷体_GB2312"/>
          <w:b/>
          <w:bCs/>
          <w:color w:val="auto"/>
          <w:spacing w:val="0"/>
          <w:kern w:val="0"/>
          <w:sz w:val="32"/>
          <w:szCs w:val="32"/>
          <w:highlight w:val="none"/>
          <w:u w:val="none"/>
          <w:lang w:val="en-US" w:eastAsia="zh-CN" w:bidi="ar-SA"/>
        </w:rPr>
        <w:t>保险费率</w:t>
      </w:r>
      <w:r>
        <w:rPr>
          <w:rFonts w:hint="eastAsia" w:ascii="楷体_GB2312" w:hAnsi="楷体_GB2312" w:eastAsia="楷体_GB2312" w:cs="楷体_GB2312"/>
          <w:b/>
          <w:bCs/>
          <w:color w:val="auto"/>
          <w:spacing w:val="0"/>
          <w:kern w:val="0"/>
          <w:sz w:val="32"/>
          <w:szCs w:val="32"/>
          <w:highlight w:val="none"/>
          <w:u w:val="none"/>
          <w:lang w:val="zh-CN" w:eastAsia="zh-CN" w:bidi="ar-SA"/>
        </w:rPr>
        <w:t>。</w:t>
      </w:r>
      <w:bookmarkStart w:id="5" w:name="OLE_LINK31"/>
      <w:r>
        <w:rPr>
          <w:rFonts w:hint="eastAsia" w:ascii="仿宋_GB2312" w:hAnsi="仿宋_GB2312" w:eastAsia="仿宋_GB2312" w:cs="仿宋_GB2312"/>
          <w:b w:val="0"/>
          <w:bCs w:val="0"/>
          <w:color w:val="auto"/>
          <w:spacing w:val="0"/>
          <w:kern w:val="2"/>
          <w:sz w:val="32"/>
          <w:szCs w:val="32"/>
          <w:highlight w:val="none"/>
          <w:u w:val="none"/>
          <w:lang w:val="en-US" w:eastAsia="zh-CN" w:bidi="ar-SA"/>
        </w:rPr>
        <w:t>国家金融监督管理总局湖南监管局会同省交通运输厅</w:t>
      </w:r>
      <w:bookmarkEnd w:id="5"/>
      <w:r>
        <w:rPr>
          <w:rFonts w:hint="eastAsia" w:ascii="仿宋_GB2312" w:hAnsi="仿宋_GB2312" w:eastAsia="仿宋_GB2312" w:cs="仿宋_GB2312"/>
          <w:b w:val="0"/>
          <w:bCs w:val="0"/>
          <w:color w:val="auto"/>
          <w:spacing w:val="0"/>
          <w:kern w:val="2"/>
          <w:sz w:val="32"/>
          <w:szCs w:val="32"/>
          <w:highlight w:val="none"/>
          <w:u w:val="none"/>
          <w:lang w:val="en-US" w:eastAsia="zh-CN" w:bidi="ar-SA"/>
        </w:rPr>
        <w:t>指导省保险行业组织制定发布交通运输安责险纯风险损失率，并根据交通运输安责险业务的总体盈利亏损情况和市场实际风险情况及时调整，供保险机构参考使用；指导保险机构建立费率动态调整机制，</w:t>
      </w:r>
      <w:r>
        <w:rPr>
          <w:rFonts w:hint="eastAsia" w:ascii="仿宋_GB2312" w:hAnsi="仿宋_GB2312" w:eastAsia="仿宋_GB2312" w:cs="仿宋_GB2312"/>
          <w:color w:val="auto"/>
          <w:szCs w:val="32"/>
          <w:highlight w:val="none"/>
          <w:u w:val="none"/>
        </w:rPr>
        <w:t>费率调整应根据被保险人的企业隐患排查整改和近三年生产安全事故情况等因素综合确定</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。安责险费率实行行业差别费率和浮动费率，保险机构应根据安责险纯风险损失率科学应用差别费率和浮动费率，按照公平、合理、充足的原则厘定承保费率，不得恶意低价承保妨碍市场公平竞争，</w:t>
      </w:r>
      <w:r>
        <w:rPr>
          <w:rFonts w:hint="eastAsia" w:ascii="仿宋_GB2312" w:hAnsi="仿宋_GB2312" w:eastAsia="仿宋_GB2312" w:cs="仿宋_GB2312"/>
          <w:color w:val="auto"/>
          <w:spacing w:val="0"/>
          <w:sz w:val="32"/>
          <w:szCs w:val="32"/>
          <w:highlight w:val="none"/>
          <w:u w:val="none"/>
          <w:lang w:val="en-US" w:eastAsia="zh-CN"/>
        </w:rPr>
        <w:t>承保的交通运输安责险佣金比例不得高于5%。</w:t>
      </w:r>
    </w:p>
    <w:p w14:paraId="423CC61C">
      <w:pPr>
        <w:pStyle w:val="2"/>
        <w:ind w:left="0" w:leftChars="0" w:firstLine="624"/>
        <w:rPr>
          <w:rFonts w:hint="eastAsia" w:ascii="楷体_GB2312" w:hAnsi="楷体_GB2312" w:eastAsia="楷体_GB2312" w:cs="楷体_GB2312"/>
          <w:b/>
          <w:bCs/>
          <w:color w:val="auto"/>
          <w:kern w:val="0"/>
          <w:szCs w:val="32"/>
          <w:highlight w:val="none"/>
          <w:u w:val="none"/>
          <w:lang w:val="zh-CN" w:eastAsia="zh-CN"/>
        </w:rPr>
      </w:pPr>
      <w:r>
        <w:rPr>
          <w:rFonts w:hint="eastAsia" w:ascii="楷体_GB2312" w:hAnsi="楷体_GB2312" w:eastAsia="楷体_GB2312" w:cs="楷体_GB2312"/>
          <w:b/>
          <w:bCs/>
          <w:color w:val="auto"/>
          <w:spacing w:val="0"/>
          <w:kern w:val="0"/>
          <w:sz w:val="32"/>
          <w:szCs w:val="32"/>
          <w:highlight w:val="none"/>
          <w:u w:val="none"/>
          <w:lang w:val="zh-CN" w:eastAsia="zh-CN"/>
        </w:rPr>
        <w:t>（六）</w:t>
      </w:r>
      <w:r>
        <w:rPr>
          <w:rFonts w:hint="eastAsia" w:ascii="楷体_GB2312" w:hAnsi="楷体_GB2312" w:eastAsia="楷体_GB2312" w:cs="楷体_GB2312"/>
          <w:b/>
          <w:bCs/>
          <w:i w:val="0"/>
          <w:iCs w:val="0"/>
          <w:color w:val="auto"/>
          <w:spacing w:val="0"/>
          <w:kern w:val="0"/>
          <w:sz w:val="32"/>
          <w:szCs w:val="32"/>
          <w:highlight w:val="none"/>
          <w:u w:val="none"/>
          <w:vertAlign w:val="baseline"/>
          <w:lang w:val="zh-CN" w:eastAsia="zh-CN" w:bidi="ar-SA"/>
        </w:rPr>
        <w:t>保险条款。</w:t>
      </w:r>
      <w:r>
        <w:rPr>
          <w:rFonts w:hint="eastAsia" w:ascii="仿宋_GB2312" w:hAnsi="仿宋_GB2312" w:cs="仿宋_GB2312"/>
          <w:color w:val="auto"/>
          <w:szCs w:val="32"/>
          <w:highlight w:val="none"/>
          <w:u w:val="none"/>
          <w:lang w:val="zh-CN"/>
        </w:rPr>
        <w:t>保险机构应当严格执行经金融监管部门备案的交通运输安责险条款和费率。中国保险行业协会制定发布安责险行业标准条款后，保险机构应当严格执行行业标准条款，不得以签订补充协议等形式改变条款内容。针对未发布标准条款的高危行业、领域，保险机构应当参照已发布的高危行业、领域标准条款内容，报金融监管部门备案专属条款。标准条款发布前，使用已备案的交通运输安责险条款，应当符合《安全生产责任保险实施办法》有关要求。</w:t>
      </w:r>
    </w:p>
    <w:p w14:paraId="4A8A24D4">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lang w:val="en-US" w:eastAsia="zh-CN"/>
        </w:rPr>
      </w:pPr>
      <w:r>
        <w:rPr>
          <w:rFonts w:hint="default" w:ascii="黑体" w:hAnsi="黑体" w:eastAsia="黑体" w:cs="黑体"/>
          <w:color w:val="auto"/>
          <w:spacing w:val="0"/>
          <w:sz w:val="32"/>
          <w:szCs w:val="32"/>
          <w:highlight w:val="none"/>
          <w:u w:val="none"/>
          <w:lang w:val="zh-CN"/>
        </w:rPr>
        <w:t>四、</w:t>
      </w:r>
      <w:r>
        <w:rPr>
          <w:rFonts w:hint="eastAsia" w:ascii="黑体" w:hAnsi="黑体" w:eastAsia="黑体" w:cs="黑体"/>
          <w:color w:val="auto"/>
          <w:spacing w:val="0"/>
          <w:sz w:val="32"/>
          <w:szCs w:val="32"/>
          <w:highlight w:val="none"/>
          <w:u w:val="none"/>
          <w:lang w:val="en-US" w:eastAsia="zh-CN"/>
        </w:rPr>
        <w:t>事故预防服务及理赔</w:t>
      </w:r>
    </w:p>
    <w:p w14:paraId="172AEB49">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color w:val="auto"/>
          <w:spacing w:val="0"/>
          <w:kern w:val="2"/>
          <w:sz w:val="32"/>
          <w:szCs w:val="32"/>
          <w:highlight w:val="none"/>
          <w:u w:val="none"/>
        </w:rPr>
      </w:pPr>
      <w:bookmarkStart w:id="6" w:name="OLE_LINK25"/>
      <w:bookmarkStart w:id="7" w:name="OLE_LINK28"/>
      <w:r>
        <w:rPr>
          <w:rFonts w:hint="eastAsia" w:ascii="楷体_GB2312" w:hAnsi="楷体_GB2312" w:eastAsia="楷体_GB2312" w:cs="楷体_GB2312"/>
          <w:b/>
          <w:bCs/>
          <w:color w:val="auto"/>
          <w:spacing w:val="0"/>
          <w:sz w:val="32"/>
          <w:szCs w:val="32"/>
          <w:highlight w:val="none"/>
          <w:u w:val="none"/>
          <w:lang w:val="zh-CN"/>
        </w:rPr>
        <w:t>（</w:t>
      </w:r>
      <w:r>
        <w:rPr>
          <w:rFonts w:hint="eastAsia" w:ascii="楷体_GB2312" w:hAnsi="楷体_GB2312" w:eastAsia="楷体_GB2312" w:cs="楷体_GB2312"/>
          <w:b/>
          <w:bCs/>
          <w:color w:val="auto"/>
          <w:spacing w:val="0"/>
          <w:sz w:val="32"/>
          <w:szCs w:val="32"/>
          <w:highlight w:val="none"/>
          <w:u w:val="none"/>
          <w:lang w:val="en-US" w:eastAsia="zh-CN"/>
        </w:rPr>
        <w:t>一</w:t>
      </w:r>
      <w:r>
        <w:rPr>
          <w:rFonts w:hint="eastAsia" w:ascii="楷体_GB2312" w:hAnsi="楷体_GB2312" w:eastAsia="楷体_GB2312" w:cs="楷体_GB2312"/>
          <w:b/>
          <w:bCs/>
          <w:color w:val="auto"/>
          <w:spacing w:val="0"/>
          <w:sz w:val="32"/>
          <w:szCs w:val="32"/>
          <w:highlight w:val="none"/>
          <w:u w:val="none"/>
          <w:lang w:val="zh-CN"/>
        </w:rPr>
        <w:t>）</w:t>
      </w:r>
      <w:r>
        <w:rPr>
          <w:rFonts w:hint="eastAsia" w:ascii="楷体_GB2312" w:hAnsi="楷体_GB2312" w:eastAsia="楷体_GB2312" w:cs="楷体_GB2312"/>
          <w:b/>
          <w:bCs/>
          <w:color w:val="auto"/>
          <w:spacing w:val="0"/>
          <w:sz w:val="32"/>
          <w:szCs w:val="32"/>
          <w:highlight w:val="none"/>
          <w:u w:val="none"/>
        </w:rPr>
        <w:t>健全</w:t>
      </w:r>
      <w:r>
        <w:rPr>
          <w:rFonts w:hint="eastAsia" w:ascii="楷体_GB2312" w:hAnsi="楷体_GB2312" w:eastAsia="楷体_GB2312" w:cs="楷体_GB2312"/>
          <w:b/>
          <w:bCs/>
          <w:color w:val="auto"/>
          <w:spacing w:val="0"/>
          <w:sz w:val="32"/>
          <w:szCs w:val="32"/>
          <w:highlight w:val="none"/>
          <w:u w:val="none"/>
          <w:lang w:val="en-US" w:eastAsia="zh-CN"/>
        </w:rPr>
        <w:t>事故</w:t>
      </w:r>
      <w:r>
        <w:rPr>
          <w:rFonts w:hint="eastAsia" w:ascii="楷体_GB2312" w:hAnsi="楷体_GB2312" w:eastAsia="楷体_GB2312" w:cs="楷体_GB2312"/>
          <w:b/>
          <w:bCs/>
          <w:color w:val="auto"/>
          <w:spacing w:val="0"/>
          <w:sz w:val="32"/>
          <w:szCs w:val="32"/>
          <w:highlight w:val="none"/>
          <w:u w:val="none"/>
        </w:rPr>
        <w:t>预防服务机制</w:t>
      </w:r>
      <w:r>
        <w:rPr>
          <w:rFonts w:hint="eastAsia" w:ascii="楷体_GB2312" w:hAnsi="楷体_GB2312" w:eastAsia="楷体_GB2312" w:cs="楷体_GB2312"/>
          <w:b/>
          <w:bCs/>
          <w:color w:val="auto"/>
          <w:spacing w:val="0"/>
          <w:sz w:val="32"/>
          <w:szCs w:val="32"/>
          <w:highlight w:val="none"/>
          <w:u w:val="none"/>
          <w:lang w:val="zh-CN"/>
        </w:rPr>
        <w:t>。</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承保机构应按照安责险事故预防技术规范要求，</w:t>
      </w:r>
      <w:r>
        <w:rPr>
          <w:rFonts w:hint="eastAsia" w:ascii="仿宋_GB2312" w:hAnsi="仿宋_GB2312" w:eastAsia="仿宋_GB2312" w:cs="仿宋_GB2312"/>
          <w:color w:val="auto"/>
          <w:spacing w:val="0"/>
          <w:kern w:val="2"/>
          <w:sz w:val="32"/>
          <w:szCs w:val="32"/>
          <w:highlight w:val="none"/>
          <w:u w:val="none"/>
        </w:rPr>
        <w:t>根据</w:t>
      </w:r>
      <w:r>
        <w:rPr>
          <w:rFonts w:hint="eastAsia" w:ascii="仿宋_GB2312" w:hAnsi="仿宋_GB2312" w:eastAsia="仿宋_GB2312" w:cs="仿宋_GB2312"/>
          <w:color w:val="auto"/>
          <w:spacing w:val="0"/>
          <w:kern w:val="2"/>
          <w:sz w:val="32"/>
          <w:szCs w:val="32"/>
          <w:highlight w:val="none"/>
          <w:u w:val="none"/>
          <w:lang w:val="en-US" w:eastAsia="zh-CN"/>
        </w:rPr>
        <w:t>交通运输</w:t>
      </w:r>
      <w:r>
        <w:rPr>
          <w:rFonts w:hint="eastAsia" w:ascii="仿宋_GB2312" w:hAnsi="仿宋_GB2312" w:eastAsia="仿宋_GB2312" w:cs="仿宋_GB2312"/>
          <w:color w:val="auto"/>
          <w:spacing w:val="0"/>
          <w:kern w:val="2"/>
          <w:sz w:val="32"/>
          <w:szCs w:val="32"/>
          <w:highlight w:val="none"/>
          <w:u w:val="none"/>
        </w:rPr>
        <w:t>行业特点、生产规模、风险分布、人员状况、安全管理基础及历史事故情况等，</w:t>
      </w:r>
      <w:bookmarkStart w:id="8" w:name="OLE_LINK17"/>
      <w:r>
        <w:rPr>
          <w:rFonts w:hint="eastAsia" w:ascii="仿宋_GB2312" w:hAnsi="仿宋_GB2312" w:eastAsia="仿宋_GB2312" w:cs="仿宋_GB2312"/>
          <w:color w:val="auto"/>
          <w:spacing w:val="0"/>
          <w:kern w:val="2"/>
          <w:sz w:val="32"/>
          <w:szCs w:val="32"/>
          <w:highlight w:val="none"/>
          <w:u w:val="none"/>
        </w:rPr>
        <w:t>科学制定事故预防服务</w:t>
      </w:r>
      <w:r>
        <w:rPr>
          <w:rFonts w:hint="eastAsia" w:ascii="仿宋_GB2312" w:hAnsi="仿宋_GB2312" w:eastAsia="仿宋_GB2312" w:cs="仿宋_GB2312"/>
          <w:color w:val="auto"/>
          <w:spacing w:val="0"/>
          <w:sz w:val="32"/>
          <w:szCs w:val="32"/>
          <w:highlight w:val="none"/>
          <w:u w:val="none"/>
        </w:rPr>
        <w:t>方案</w:t>
      </w:r>
      <w:r>
        <w:rPr>
          <w:rFonts w:hint="eastAsia" w:ascii="仿宋_GB2312" w:hAnsi="仿宋_GB2312" w:eastAsia="仿宋_GB2312" w:cs="仿宋_GB2312"/>
          <w:color w:val="auto"/>
          <w:spacing w:val="0"/>
          <w:kern w:val="2"/>
          <w:sz w:val="32"/>
          <w:szCs w:val="32"/>
          <w:highlight w:val="none"/>
          <w:u w:val="none"/>
        </w:rPr>
        <w:t>，</w:t>
      </w:r>
      <w:r>
        <w:rPr>
          <w:rFonts w:hint="eastAsia" w:ascii="仿宋_GB2312" w:hAnsi="仿宋_GB2312" w:eastAsia="仿宋_GB2312" w:cs="仿宋_GB2312"/>
          <w:color w:val="auto"/>
          <w:spacing w:val="0"/>
          <w:kern w:val="2"/>
          <w:sz w:val="32"/>
          <w:szCs w:val="32"/>
          <w:highlight w:val="none"/>
          <w:u w:val="none"/>
          <w:lang w:val="en-US" w:eastAsia="zh-CN"/>
        </w:rPr>
        <w:t>并主动接受交通运输部门监督指导</w:t>
      </w:r>
      <w:bookmarkEnd w:id="8"/>
      <w:r>
        <w:rPr>
          <w:rFonts w:hint="eastAsia" w:ascii="仿宋_GB2312" w:hAnsi="仿宋_GB2312" w:eastAsia="仿宋_GB2312" w:cs="仿宋_GB2312"/>
          <w:color w:val="auto"/>
          <w:spacing w:val="0"/>
          <w:kern w:val="2"/>
          <w:sz w:val="32"/>
          <w:szCs w:val="32"/>
          <w:highlight w:val="none"/>
          <w:u w:val="none"/>
          <w:lang w:val="en-US" w:eastAsia="zh-CN"/>
        </w:rPr>
        <w:t>，</w:t>
      </w:r>
      <w:r>
        <w:rPr>
          <w:rFonts w:hint="eastAsia" w:ascii="仿宋_GB2312" w:hAnsi="仿宋_GB2312" w:eastAsia="仿宋_GB2312" w:cs="仿宋_GB2312"/>
          <w:color w:val="auto"/>
          <w:spacing w:val="0"/>
          <w:sz w:val="32"/>
          <w:szCs w:val="32"/>
          <w:highlight w:val="none"/>
          <w:u w:val="none"/>
        </w:rPr>
        <w:t>开展包括</w:t>
      </w:r>
      <w:r>
        <w:rPr>
          <w:rFonts w:hint="eastAsia" w:ascii="仿宋_GB2312" w:hAnsi="仿宋_GB2312" w:eastAsia="仿宋_GB2312" w:cs="仿宋_GB2312"/>
          <w:color w:val="auto"/>
          <w:spacing w:val="0"/>
          <w:sz w:val="32"/>
          <w:szCs w:val="32"/>
          <w:highlight w:val="none"/>
          <w:u w:val="none"/>
          <w:lang w:eastAsia="zh-CN"/>
        </w:rPr>
        <w:t>但不限于以下</w:t>
      </w:r>
      <w:bookmarkStart w:id="9" w:name="OLE_LINK2"/>
      <w:r>
        <w:rPr>
          <w:rFonts w:hint="eastAsia" w:ascii="仿宋_GB2312" w:hAnsi="仿宋_GB2312" w:eastAsia="仿宋_GB2312" w:cs="仿宋_GB2312"/>
          <w:color w:val="auto"/>
          <w:spacing w:val="0"/>
          <w:kern w:val="2"/>
          <w:sz w:val="32"/>
          <w:szCs w:val="32"/>
          <w:highlight w:val="none"/>
          <w:u w:val="none"/>
        </w:rPr>
        <w:t>事故预防服务工作：</w:t>
      </w:r>
    </w:p>
    <w:p w14:paraId="12083F09">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color w:val="auto"/>
          <w:spacing w:val="0"/>
          <w:kern w:val="2"/>
          <w:sz w:val="32"/>
          <w:szCs w:val="32"/>
          <w:highlight w:val="none"/>
          <w:u w:val="none"/>
        </w:rPr>
      </w:pPr>
      <w:r>
        <w:rPr>
          <w:rFonts w:hint="eastAsia" w:ascii="仿宋_GB2312" w:hAnsi="仿宋_GB2312" w:eastAsia="仿宋_GB2312" w:cs="仿宋_GB2312"/>
          <w:b/>
          <w:bCs/>
          <w:color w:val="auto"/>
          <w:spacing w:val="0"/>
          <w:kern w:val="2"/>
          <w:sz w:val="32"/>
          <w:szCs w:val="32"/>
          <w:highlight w:val="none"/>
          <w:u w:val="none"/>
        </w:rPr>
        <w:t>1.安全生产宣传教育培训。</w:t>
      </w:r>
      <w:r>
        <w:rPr>
          <w:rFonts w:hint="eastAsia" w:ascii="仿宋_GB2312" w:hAnsi="仿宋_GB2312" w:eastAsia="仿宋_GB2312" w:cs="仿宋_GB2312"/>
          <w:color w:val="auto"/>
          <w:spacing w:val="0"/>
          <w:kern w:val="2"/>
          <w:sz w:val="32"/>
          <w:szCs w:val="32"/>
          <w:highlight w:val="none"/>
          <w:u w:val="none"/>
        </w:rPr>
        <w:t>对</w:t>
      </w:r>
      <w:r>
        <w:rPr>
          <w:rFonts w:hint="eastAsia" w:ascii="仿宋_GB2312" w:hAnsi="仿宋_GB2312" w:eastAsia="仿宋_GB2312" w:cs="仿宋_GB2312"/>
          <w:color w:val="auto"/>
          <w:spacing w:val="0"/>
          <w:kern w:val="2"/>
          <w:sz w:val="32"/>
          <w:szCs w:val="32"/>
          <w:highlight w:val="none"/>
          <w:u w:val="none"/>
          <w:lang w:val="en-US" w:eastAsia="zh-CN"/>
        </w:rPr>
        <w:t>建设项目和生产经营</w:t>
      </w:r>
      <w:r>
        <w:rPr>
          <w:rFonts w:hint="eastAsia" w:ascii="仿宋_GB2312" w:hAnsi="仿宋_GB2312" w:eastAsia="仿宋_GB2312" w:cs="仿宋_GB2312"/>
          <w:color w:val="auto"/>
          <w:spacing w:val="0"/>
          <w:kern w:val="2"/>
          <w:sz w:val="32"/>
          <w:szCs w:val="32"/>
          <w:highlight w:val="none"/>
          <w:u w:val="none"/>
        </w:rPr>
        <w:t>单位负责人、安全管理人员、一线工人等从业人员开展培训和技能竞赛；制作宣传教育培训材料、</w:t>
      </w:r>
      <w:r>
        <w:rPr>
          <w:rFonts w:hint="eastAsia" w:ascii="仿宋_GB2312" w:hAnsi="仿宋_GB2312" w:eastAsia="仿宋_GB2312" w:cs="仿宋_GB2312"/>
          <w:color w:val="auto"/>
          <w:spacing w:val="0"/>
          <w:kern w:val="2"/>
          <w:sz w:val="32"/>
          <w:szCs w:val="32"/>
          <w:highlight w:val="none"/>
          <w:u w:val="none"/>
          <w:lang w:val="en-US" w:eastAsia="zh-CN"/>
        </w:rPr>
        <w:t>举办安全生产宣传教育活动、</w:t>
      </w:r>
      <w:r>
        <w:rPr>
          <w:rFonts w:hint="eastAsia" w:ascii="仿宋_GB2312" w:hAnsi="仿宋_GB2312" w:eastAsia="仿宋_GB2312" w:cs="仿宋_GB2312"/>
          <w:color w:val="auto"/>
          <w:spacing w:val="0"/>
          <w:kern w:val="2"/>
          <w:sz w:val="32"/>
          <w:szCs w:val="32"/>
          <w:highlight w:val="none"/>
          <w:u w:val="none"/>
        </w:rPr>
        <w:t>开展安全生产相关法律法规、标准规范、政策文件、安全操作技能、职业病防治等宣传教育培训。</w:t>
      </w:r>
    </w:p>
    <w:p w14:paraId="5363F148">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rPr>
      </w:pPr>
      <w:r>
        <w:rPr>
          <w:rFonts w:hint="eastAsia" w:ascii="仿宋_GB2312" w:hAnsi="仿宋_GB2312" w:eastAsia="仿宋_GB2312" w:cs="仿宋_GB2312"/>
          <w:b/>
          <w:bCs/>
          <w:color w:val="auto"/>
          <w:spacing w:val="0"/>
          <w:kern w:val="2"/>
          <w:sz w:val="32"/>
          <w:szCs w:val="32"/>
          <w:highlight w:val="none"/>
          <w:u w:val="none"/>
        </w:rPr>
        <w:t>2.</w:t>
      </w:r>
      <w:bookmarkStart w:id="10" w:name="OLE_LINK13"/>
      <w:r>
        <w:rPr>
          <w:rFonts w:hint="eastAsia" w:ascii="仿宋_GB2312" w:hAnsi="仿宋_GB2312" w:eastAsia="仿宋_GB2312" w:cs="仿宋_GB2312"/>
          <w:b/>
          <w:bCs/>
          <w:color w:val="auto"/>
          <w:spacing w:val="0"/>
          <w:kern w:val="2"/>
          <w:sz w:val="32"/>
          <w:szCs w:val="32"/>
          <w:highlight w:val="none"/>
          <w:u w:val="none"/>
        </w:rPr>
        <w:t>安全风险辨识、</w:t>
      </w:r>
      <w:r>
        <w:rPr>
          <w:rFonts w:hint="eastAsia" w:ascii="仿宋_GB2312" w:hAnsi="仿宋_GB2312" w:eastAsia="仿宋_GB2312" w:cs="仿宋_GB2312"/>
          <w:b/>
          <w:bCs/>
          <w:color w:val="auto"/>
          <w:spacing w:val="0"/>
          <w:kern w:val="2"/>
          <w:sz w:val="32"/>
          <w:szCs w:val="32"/>
          <w:highlight w:val="none"/>
          <w:u w:val="none"/>
          <w:lang w:val="en-US" w:eastAsia="zh-CN"/>
        </w:rPr>
        <w:t>评价</w:t>
      </w:r>
      <w:bookmarkEnd w:id="10"/>
      <w:r>
        <w:rPr>
          <w:rFonts w:hint="eastAsia" w:ascii="仿宋_GB2312" w:hAnsi="仿宋_GB2312" w:eastAsia="仿宋_GB2312" w:cs="仿宋_GB2312"/>
          <w:b/>
          <w:bCs/>
          <w:color w:val="auto"/>
          <w:spacing w:val="0"/>
          <w:kern w:val="2"/>
          <w:sz w:val="32"/>
          <w:szCs w:val="32"/>
          <w:highlight w:val="none"/>
          <w:u w:val="none"/>
          <w:lang w:val="en-US" w:eastAsia="zh-CN"/>
        </w:rPr>
        <w:t>、管控</w:t>
      </w:r>
      <w:r>
        <w:rPr>
          <w:rFonts w:hint="eastAsia" w:ascii="仿宋_GB2312" w:hAnsi="仿宋_GB2312" w:eastAsia="仿宋_GB2312" w:cs="仿宋_GB2312"/>
          <w:b/>
          <w:bCs/>
          <w:color w:val="auto"/>
          <w:spacing w:val="0"/>
          <w:kern w:val="2"/>
          <w:sz w:val="32"/>
          <w:szCs w:val="32"/>
          <w:highlight w:val="none"/>
          <w:u w:val="none"/>
        </w:rPr>
        <w:t>。</w:t>
      </w:r>
      <w:r>
        <w:rPr>
          <w:rFonts w:hint="eastAsia" w:ascii="仿宋_GB2312" w:hAnsi="仿宋_GB2312" w:eastAsia="仿宋_GB2312" w:cs="仿宋_GB2312"/>
          <w:b/>
          <w:bCs/>
          <w:color w:val="auto"/>
          <w:spacing w:val="0"/>
          <w:kern w:val="2"/>
          <w:sz w:val="32"/>
          <w:szCs w:val="32"/>
          <w:highlight w:val="none"/>
          <w:u w:val="none"/>
          <w:lang w:eastAsia="zh-CN"/>
        </w:rPr>
        <w:t>协助</w:t>
      </w:r>
      <w:r>
        <w:rPr>
          <w:rFonts w:hint="eastAsia" w:ascii="仿宋_GB2312" w:hAnsi="仿宋_GB2312" w:eastAsia="仿宋_GB2312" w:cs="仿宋_GB2312"/>
          <w:color w:val="auto"/>
          <w:spacing w:val="0"/>
          <w:kern w:val="2"/>
          <w:sz w:val="32"/>
          <w:szCs w:val="32"/>
          <w:highlight w:val="none"/>
          <w:u w:val="none"/>
          <w:lang w:eastAsia="zh-CN"/>
        </w:rPr>
        <w:t>投保企业开展安全风险管理</w:t>
      </w:r>
      <w:r>
        <w:rPr>
          <w:rFonts w:hint="eastAsia" w:ascii="仿宋_GB2312" w:hAnsi="仿宋_GB2312" w:eastAsia="仿宋_GB2312" w:cs="仿宋_GB2312"/>
          <w:color w:val="auto"/>
          <w:spacing w:val="0"/>
          <w:kern w:val="2"/>
          <w:sz w:val="32"/>
          <w:szCs w:val="32"/>
          <w:highlight w:val="none"/>
          <w:u w:val="none"/>
        </w:rPr>
        <w:t>；组织专家、</w:t>
      </w:r>
      <w:r>
        <w:rPr>
          <w:rFonts w:hint="eastAsia" w:ascii="仿宋_GB2312" w:hAnsi="仿宋_GB2312" w:eastAsia="仿宋_GB2312" w:cs="仿宋_GB2312"/>
          <w:color w:val="auto"/>
          <w:spacing w:val="0"/>
          <w:kern w:val="2"/>
          <w:sz w:val="32"/>
          <w:szCs w:val="32"/>
          <w:highlight w:val="none"/>
          <w:u w:val="none"/>
          <w:lang w:val="en-US" w:eastAsia="zh-CN"/>
        </w:rPr>
        <w:t>安全生产技术服务机构</w:t>
      </w:r>
      <w:r>
        <w:rPr>
          <w:rFonts w:hint="eastAsia" w:ascii="仿宋_GB2312" w:hAnsi="仿宋_GB2312" w:eastAsia="仿宋_GB2312" w:cs="仿宋_GB2312"/>
          <w:color w:val="auto"/>
          <w:spacing w:val="0"/>
          <w:kern w:val="2"/>
          <w:sz w:val="32"/>
          <w:szCs w:val="32"/>
          <w:highlight w:val="none"/>
          <w:u w:val="none"/>
        </w:rPr>
        <w:t>对重大危险源进行安全风险辨识、评估</w:t>
      </w:r>
      <w:r>
        <w:rPr>
          <w:rFonts w:hint="eastAsia" w:ascii="仿宋_GB2312" w:hAnsi="仿宋_GB2312" w:eastAsia="仿宋_GB2312" w:cs="仿宋_GB2312"/>
          <w:color w:val="auto"/>
          <w:spacing w:val="0"/>
          <w:kern w:val="2"/>
          <w:sz w:val="32"/>
          <w:szCs w:val="32"/>
          <w:highlight w:val="none"/>
          <w:u w:val="none"/>
          <w:lang w:eastAsia="zh-CN"/>
        </w:rPr>
        <w:t>、</w:t>
      </w:r>
      <w:r>
        <w:rPr>
          <w:rFonts w:hint="eastAsia" w:ascii="仿宋_GB2312" w:hAnsi="仿宋_GB2312" w:eastAsia="仿宋_GB2312" w:cs="仿宋_GB2312"/>
          <w:color w:val="auto"/>
          <w:spacing w:val="0"/>
          <w:kern w:val="2"/>
          <w:sz w:val="32"/>
          <w:szCs w:val="32"/>
          <w:highlight w:val="none"/>
          <w:u w:val="none"/>
          <w:lang w:val="en-US" w:eastAsia="zh-CN"/>
        </w:rPr>
        <w:t>评价</w:t>
      </w:r>
      <w:r>
        <w:rPr>
          <w:rFonts w:hint="eastAsia" w:ascii="仿宋_GB2312" w:hAnsi="仿宋_GB2312" w:eastAsia="仿宋_GB2312" w:cs="仿宋_GB2312"/>
          <w:color w:val="auto"/>
          <w:spacing w:val="0"/>
          <w:kern w:val="2"/>
          <w:sz w:val="32"/>
          <w:szCs w:val="32"/>
          <w:highlight w:val="none"/>
          <w:u w:val="none"/>
        </w:rPr>
        <w:t>。</w:t>
      </w:r>
    </w:p>
    <w:p w14:paraId="0012076B">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color w:val="auto"/>
          <w:spacing w:val="0"/>
          <w:kern w:val="2"/>
          <w:sz w:val="32"/>
          <w:szCs w:val="32"/>
          <w:highlight w:val="none"/>
          <w:u w:val="none"/>
        </w:rPr>
      </w:pPr>
      <w:r>
        <w:rPr>
          <w:rFonts w:hint="eastAsia" w:ascii="仿宋_GB2312" w:hAnsi="仿宋_GB2312" w:eastAsia="仿宋_GB2312" w:cs="仿宋_GB2312"/>
          <w:b/>
          <w:bCs/>
          <w:color w:val="auto"/>
          <w:spacing w:val="0"/>
          <w:kern w:val="2"/>
          <w:sz w:val="32"/>
          <w:szCs w:val="32"/>
          <w:highlight w:val="none"/>
          <w:u w:val="none"/>
          <w:lang w:val="en-US" w:eastAsia="zh-CN"/>
        </w:rPr>
        <w:t>3</w:t>
      </w:r>
      <w:r>
        <w:rPr>
          <w:rFonts w:hint="eastAsia" w:ascii="仿宋_GB2312" w:hAnsi="仿宋_GB2312" w:eastAsia="仿宋_GB2312" w:cs="仿宋_GB2312"/>
          <w:b/>
          <w:bCs/>
          <w:color w:val="auto"/>
          <w:spacing w:val="0"/>
          <w:kern w:val="2"/>
          <w:sz w:val="32"/>
          <w:szCs w:val="32"/>
          <w:highlight w:val="none"/>
          <w:u w:val="none"/>
        </w:rPr>
        <w:t>.安全生产标准化</w:t>
      </w:r>
      <w:r>
        <w:rPr>
          <w:rFonts w:hint="eastAsia" w:ascii="仿宋_GB2312" w:hAnsi="仿宋_GB2312" w:eastAsia="仿宋_GB2312" w:cs="仿宋_GB2312"/>
          <w:b/>
          <w:bCs/>
          <w:color w:val="auto"/>
          <w:spacing w:val="0"/>
          <w:kern w:val="2"/>
          <w:sz w:val="32"/>
          <w:szCs w:val="32"/>
          <w:highlight w:val="none"/>
          <w:u w:val="none"/>
          <w:lang w:val="en-US" w:eastAsia="zh-CN"/>
        </w:rPr>
        <w:t>管理体系</w:t>
      </w:r>
      <w:r>
        <w:rPr>
          <w:rFonts w:hint="eastAsia" w:ascii="仿宋_GB2312" w:hAnsi="仿宋_GB2312" w:eastAsia="仿宋_GB2312" w:cs="仿宋_GB2312"/>
          <w:b/>
          <w:bCs/>
          <w:color w:val="auto"/>
          <w:spacing w:val="0"/>
          <w:kern w:val="2"/>
          <w:sz w:val="32"/>
          <w:szCs w:val="32"/>
          <w:highlight w:val="none"/>
          <w:u w:val="none"/>
        </w:rPr>
        <w:t>建设。</w:t>
      </w:r>
      <w:r>
        <w:rPr>
          <w:rFonts w:hint="eastAsia" w:ascii="仿宋_GB2312" w:hAnsi="仿宋_GB2312" w:eastAsia="仿宋_GB2312" w:cs="仿宋_GB2312"/>
          <w:color w:val="auto"/>
          <w:spacing w:val="0"/>
          <w:kern w:val="2"/>
          <w:sz w:val="32"/>
          <w:szCs w:val="32"/>
          <w:highlight w:val="none"/>
          <w:u w:val="none"/>
        </w:rPr>
        <w:t>协助投保企业贯彻</w:t>
      </w:r>
      <w:r>
        <w:rPr>
          <w:rFonts w:hint="eastAsia" w:ascii="仿宋_GB2312" w:hAnsi="仿宋_GB2312" w:eastAsia="仿宋_GB2312" w:cs="仿宋_GB2312"/>
          <w:color w:val="auto"/>
          <w:spacing w:val="0"/>
          <w:kern w:val="2"/>
          <w:sz w:val="32"/>
          <w:szCs w:val="32"/>
          <w:highlight w:val="none"/>
          <w:u w:val="none"/>
          <w:lang w:val="en-US" w:eastAsia="zh-CN"/>
        </w:rPr>
        <w:t>交通运输</w:t>
      </w:r>
      <w:r>
        <w:rPr>
          <w:rFonts w:hint="eastAsia" w:ascii="仿宋_GB2312" w:hAnsi="仿宋_GB2312" w:eastAsia="仿宋_GB2312" w:cs="仿宋_GB2312"/>
          <w:color w:val="auto"/>
          <w:spacing w:val="0"/>
          <w:kern w:val="2"/>
          <w:sz w:val="32"/>
          <w:szCs w:val="32"/>
          <w:highlight w:val="none"/>
          <w:u w:val="none"/>
        </w:rPr>
        <w:t>安全法律法规和标准规范，建立</w:t>
      </w:r>
      <w:r>
        <w:rPr>
          <w:rFonts w:hint="eastAsia" w:ascii="仿宋_GB2312" w:hAnsi="仿宋_GB2312" w:eastAsia="仿宋_GB2312" w:cs="仿宋_GB2312"/>
          <w:color w:val="auto"/>
          <w:spacing w:val="0"/>
          <w:kern w:val="2"/>
          <w:sz w:val="32"/>
          <w:szCs w:val="32"/>
          <w:highlight w:val="none"/>
          <w:u w:val="none"/>
          <w:lang w:val="en-US" w:eastAsia="zh-CN"/>
        </w:rPr>
        <w:t>生产经营单位</w:t>
      </w:r>
      <w:r>
        <w:rPr>
          <w:rFonts w:hint="eastAsia" w:ascii="仿宋_GB2312" w:hAnsi="仿宋_GB2312" w:eastAsia="仿宋_GB2312" w:cs="仿宋_GB2312"/>
          <w:color w:val="auto"/>
          <w:spacing w:val="0"/>
          <w:kern w:val="2"/>
          <w:sz w:val="32"/>
          <w:szCs w:val="32"/>
          <w:highlight w:val="none"/>
          <w:u w:val="none"/>
        </w:rPr>
        <w:t>和项目</w:t>
      </w:r>
      <w:r>
        <w:rPr>
          <w:rFonts w:hint="eastAsia" w:ascii="仿宋_GB2312" w:hAnsi="仿宋_GB2312" w:eastAsia="仿宋_GB2312" w:cs="仿宋_GB2312"/>
          <w:color w:val="auto"/>
          <w:spacing w:val="0"/>
          <w:kern w:val="2"/>
          <w:sz w:val="32"/>
          <w:szCs w:val="32"/>
          <w:highlight w:val="none"/>
          <w:u w:val="none"/>
          <w:lang w:val="en-US" w:eastAsia="zh-CN"/>
        </w:rPr>
        <w:t>全员</w:t>
      </w:r>
      <w:r>
        <w:rPr>
          <w:rFonts w:hint="eastAsia" w:ascii="仿宋_GB2312" w:hAnsi="仿宋_GB2312" w:eastAsia="仿宋_GB2312" w:cs="仿宋_GB2312"/>
          <w:color w:val="auto"/>
          <w:spacing w:val="0"/>
          <w:kern w:val="2"/>
          <w:sz w:val="32"/>
          <w:szCs w:val="32"/>
          <w:highlight w:val="none"/>
          <w:u w:val="none"/>
        </w:rPr>
        <w:t>安全生产责任制</w:t>
      </w:r>
      <w:r>
        <w:rPr>
          <w:rFonts w:hint="eastAsia" w:ascii="仿宋_GB2312" w:hAnsi="仿宋_GB2312" w:eastAsia="仿宋_GB2312" w:cs="仿宋_GB2312"/>
          <w:color w:val="auto"/>
          <w:spacing w:val="0"/>
          <w:kern w:val="2"/>
          <w:sz w:val="32"/>
          <w:szCs w:val="32"/>
          <w:highlight w:val="none"/>
          <w:u w:val="none"/>
          <w:lang w:eastAsia="zh-CN"/>
        </w:rPr>
        <w:t>、</w:t>
      </w:r>
      <w:r>
        <w:rPr>
          <w:rFonts w:hint="eastAsia" w:ascii="仿宋_GB2312" w:hAnsi="仿宋_GB2312" w:eastAsia="仿宋_GB2312" w:cs="仿宋_GB2312"/>
          <w:color w:val="auto"/>
          <w:spacing w:val="0"/>
          <w:kern w:val="2"/>
          <w:sz w:val="32"/>
          <w:szCs w:val="32"/>
          <w:highlight w:val="none"/>
          <w:u w:val="none"/>
        </w:rPr>
        <w:t>“双重”预防体系，制定安全管理制度和操作规程等。</w:t>
      </w:r>
    </w:p>
    <w:p w14:paraId="74A4D63D">
      <w:pPr>
        <w:keepNext w:val="0"/>
        <w:keepLines w:val="0"/>
        <w:widowControl/>
        <w:suppressLineNumbers w:val="0"/>
        <w:ind w:firstLine="624" w:firstLineChars="200"/>
        <w:jc w:val="left"/>
        <w:rPr>
          <w:rFonts w:hint="eastAsia" w:ascii="仿宋_GB2312" w:hAnsi="仿宋_GB2312" w:eastAsia="仿宋_GB2312" w:cs="仿宋_GB2312"/>
          <w:color w:val="auto"/>
          <w:szCs w:val="32"/>
          <w:highlight w:val="none"/>
          <w:u w:val="none"/>
        </w:rPr>
      </w:pPr>
      <w:r>
        <w:rPr>
          <w:rFonts w:hint="eastAsia" w:ascii="仿宋_GB2312" w:hAnsi="仿宋_GB2312" w:eastAsia="仿宋_GB2312" w:cs="仿宋_GB2312"/>
          <w:b/>
          <w:bCs/>
          <w:color w:val="auto"/>
          <w:spacing w:val="0"/>
          <w:kern w:val="2"/>
          <w:sz w:val="32"/>
          <w:szCs w:val="32"/>
          <w:highlight w:val="none"/>
          <w:u w:val="none"/>
          <w:lang w:val="en-US" w:eastAsia="zh-CN"/>
        </w:rPr>
        <w:t>4</w:t>
      </w:r>
      <w:r>
        <w:rPr>
          <w:rFonts w:hint="eastAsia" w:ascii="仿宋_GB2312" w:hAnsi="仿宋_GB2312" w:eastAsia="仿宋_GB2312" w:cs="仿宋_GB2312"/>
          <w:b/>
          <w:bCs/>
          <w:color w:val="auto"/>
          <w:spacing w:val="0"/>
          <w:kern w:val="2"/>
          <w:sz w:val="32"/>
          <w:szCs w:val="32"/>
          <w:highlight w:val="none"/>
          <w:u w:val="none"/>
        </w:rPr>
        <w:t>.生产安全</w:t>
      </w:r>
      <w:r>
        <w:rPr>
          <w:rFonts w:hint="eastAsia" w:ascii="仿宋_GB2312" w:hAnsi="仿宋_GB2312" w:eastAsia="仿宋_GB2312" w:cs="仿宋_GB2312"/>
          <w:b/>
          <w:bCs/>
          <w:color w:val="auto"/>
          <w:spacing w:val="0"/>
          <w:kern w:val="2"/>
          <w:sz w:val="32"/>
          <w:szCs w:val="32"/>
          <w:highlight w:val="none"/>
          <w:u w:val="none"/>
          <w:lang w:val="en-US" w:eastAsia="zh-CN"/>
        </w:rPr>
        <w:t>重大</w:t>
      </w:r>
      <w:r>
        <w:rPr>
          <w:rFonts w:hint="eastAsia" w:ascii="仿宋_GB2312" w:hAnsi="仿宋_GB2312" w:eastAsia="仿宋_GB2312" w:cs="仿宋_GB2312"/>
          <w:b/>
          <w:bCs/>
          <w:color w:val="auto"/>
          <w:spacing w:val="0"/>
          <w:kern w:val="2"/>
          <w:sz w:val="32"/>
          <w:szCs w:val="32"/>
          <w:highlight w:val="none"/>
          <w:u w:val="none"/>
        </w:rPr>
        <w:t>事故隐患排查。</w:t>
      </w:r>
      <w:r>
        <w:rPr>
          <w:rFonts w:hint="eastAsia" w:ascii="仿宋_GB2312" w:hAnsi="仿宋_GB2312" w:eastAsia="仿宋_GB2312" w:cs="仿宋_GB2312"/>
          <w:color w:val="auto"/>
          <w:kern w:val="2"/>
          <w:sz w:val="32"/>
          <w:szCs w:val="32"/>
          <w:highlight w:val="none"/>
          <w:u w:val="none"/>
          <w:lang w:val="en-US" w:eastAsia="zh-CN" w:bidi="ar-SA"/>
        </w:rPr>
        <w:t>重点针对公路水运及地方铁路工程建设施工危大工程；道路水路运输重点车辆、船舶，危险货物运输、储存；港口码头及场站关键设施、危险作业等高风险领域和环节，协助投保企业开展重大事故隐患排查。</w:t>
      </w:r>
    </w:p>
    <w:p w14:paraId="64DEBC71">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default" w:ascii="Times New Roman" w:hAnsi="Times New Roman" w:eastAsia="仿宋" w:cs="Times New Roman"/>
          <w:b/>
          <w:bCs/>
          <w:color w:val="auto"/>
          <w:spacing w:val="0"/>
          <w:kern w:val="2"/>
          <w:sz w:val="32"/>
          <w:szCs w:val="32"/>
          <w:highlight w:val="none"/>
          <w:u w:val="none"/>
        </w:rPr>
      </w:pPr>
      <w:r>
        <w:rPr>
          <w:rFonts w:hint="eastAsia" w:ascii="仿宋_GB2312" w:hAnsi="仿宋_GB2312" w:eastAsia="仿宋_GB2312" w:cs="仿宋_GB2312"/>
          <w:b/>
          <w:bCs/>
          <w:color w:val="auto"/>
          <w:spacing w:val="0"/>
          <w:kern w:val="2"/>
          <w:sz w:val="32"/>
          <w:szCs w:val="32"/>
          <w:highlight w:val="none"/>
          <w:u w:val="none"/>
        </w:rPr>
        <w:t>5.</w:t>
      </w:r>
      <w:r>
        <w:rPr>
          <w:rFonts w:hint="eastAsia" w:ascii="仿宋_GB2312" w:hAnsi="仿宋_GB2312" w:eastAsia="仿宋_GB2312" w:cs="仿宋_GB2312"/>
          <w:b/>
          <w:bCs/>
          <w:color w:val="auto"/>
          <w:spacing w:val="0"/>
          <w:kern w:val="2"/>
          <w:sz w:val="32"/>
          <w:szCs w:val="32"/>
          <w:highlight w:val="none"/>
          <w:u w:val="none"/>
          <w:lang w:val="en-US" w:eastAsia="zh-CN"/>
        </w:rPr>
        <w:t>安全生产应急预案编制和应急救援演练。</w:t>
      </w:r>
      <w:r>
        <w:rPr>
          <w:rFonts w:hint="eastAsia" w:ascii="仿宋_GB2312" w:hAnsi="仿宋_GB2312" w:eastAsia="仿宋_GB2312" w:cs="仿宋_GB2312"/>
          <w:b w:val="0"/>
          <w:bCs w:val="0"/>
          <w:color w:val="auto"/>
          <w:spacing w:val="0"/>
          <w:kern w:val="2"/>
          <w:sz w:val="32"/>
          <w:szCs w:val="32"/>
          <w:highlight w:val="none"/>
          <w:u w:val="none"/>
          <w:lang w:val="en-US" w:eastAsia="zh-CN"/>
        </w:rPr>
        <w:t>协助投保企业或项目，围绕行业高发、频发事故场景针对性编制专项预案：公路水运及地方铁路工程坍塌、高处坠落等预案；道路运输车辆致害、危货泄漏等预案；水路运输船舶倾覆、港口火灾等预案；并协助组织开展实战化应急演练，提升事故应急处置能力。</w:t>
      </w:r>
    </w:p>
    <w:p w14:paraId="444926E3">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color w:val="auto"/>
          <w:spacing w:val="0"/>
          <w:kern w:val="2"/>
          <w:sz w:val="32"/>
          <w:szCs w:val="32"/>
          <w:highlight w:val="none"/>
          <w:u w:val="none"/>
        </w:rPr>
      </w:pPr>
      <w:r>
        <w:rPr>
          <w:rFonts w:hint="default" w:ascii="Times New Roman" w:hAnsi="Times New Roman" w:eastAsia="仿宋" w:cs="Times New Roman"/>
          <w:b/>
          <w:bCs/>
          <w:color w:val="auto"/>
          <w:spacing w:val="0"/>
          <w:kern w:val="2"/>
          <w:sz w:val="32"/>
          <w:szCs w:val="32"/>
          <w:highlight w:val="none"/>
          <w:u w:val="none"/>
        </w:rPr>
        <w:t>6.</w:t>
      </w:r>
      <w:bookmarkStart w:id="11" w:name="OLE_LINK19"/>
      <w:r>
        <w:rPr>
          <w:rFonts w:hint="default" w:ascii="Times New Roman" w:hAnsi="Times New Roman" w:eastAsia="仿宋" w:cs="Times New Roman"/>
          <w:b/>
          <w:bCs/>
          <w:color w:val="auto"/>
          <w:spacing w:val="0"/>
          <w:kern w:val="2"/>
          <w:sz w:val="32"/>
          <w:szCs w:val="32"/>
          <w:highlight w:val="none"/>
          <w:u w:val="none"/>
        </w:rPr>
        <w:t>安全生产科技</w:t>
      </w:r>
      <w:r>
        <w:rPr>
          <w:rFonts w:hint="default" w:ascii="Times New Roman" w:hAnsi="Times New Roman" w:eastAsia="仿宋" w:cs="Times New Roman"/>
          <w:b/>
          <w:bCs/>
          <w:color w:val="auto"/>
          <w:spacing w:val="0"/>
          <w:kern w:val="2"/>
          <w:sz w:val="32"/>
          <w:szCs w:val="32"/>
          <w:highlight w:val="none"/>
          <w:u w:val="none"/>
          <w:lang w:val="en-US" w:eastAsia="zh-CN"/>
        </w:rPr>
        <w:t>创新、装备研发</w:t>
      </w:r>
      <w:r>
        <w:rPr>
          <w:rFonts w:hint="default" w:ascii="Times New Roman" w:hAnsi="Times New Roman" w:eastAsia="仿宋" w:cs="Times New Roman"/>
          <w:b/>
          <w:bCs/>
          <w:color w:val="auto"/>
          <w:spacing w:val="0"/>
          <w:kern w:val="2"/>
          <w:sz w:val="32"/>
          <w:szCs w:val="32"/>
          <w:highlight w:val="none"/>
          <w:u w:val="none"/>
        </w:rPr>
        <w:t>推广应用</w:t>
      </w:r>
      <w:bookmarkEnd w:id="11"/>
      <w:r>
        <w:rPr>
          <w:rFonts w:hint="default" w:ascii="Times New Roman" w:hAnsi="Times New Roman" w:eastAsia="仿宋" w:cs="Times New Roman"/>
          <w:b/>
          <w:bCs/>
          <w:color w:val="auto"/>
          <w:spacing w:val="0"/>
          <w:kern w:val="2"/>
          <w:sz w:val="32"/>
          <w:szCs w:val="32"/>
          <w:highlight w:val="none"/>
          <w:u w:val="none"/>
        </w:rPr>
        <w:t>。</w:t>
      </w:r>
      <w:r>
        <w:rPr>
          <w:rFonts w:hint="eastAsia" w:ascii="Times New Roman" w:hAnsi="Times New Roman" w:cs="Times New Roman"/>
          <w:b/>
          <w:bCs/>
          <w:color w:val="auto"/>
          <w:spacing w:val="0"/>
          <w:kern w:val="2"/>
          <w:sz w:val="32"/>
          <w:szCs w:val="32"/>
          <w:highlight w:val="none"/>
          <w:u w:val="none"/>
          <w:lang w:val="en-US" w:eastAsia="zh-CN"/>
        </w:rPr>
        <w:t>协助投保企业</w:t>
      </w:r>
      <w:r>
        <w:rPr>
          <w:rFonts w:hint="eastAsia" w:ascii="仿宋_GB2312" w:hAnsi="仿宋_GB2312" w:eastAsia="仿宋_GB2312" w:cs="仿宋_GB2312"/>
          <w:color w:val="auto"/>
          <w:spacing w:val="0"/>
          <w:kern w:val="2"/>
          <w:sz w:val="32"/>
          <w:szCs w:val="32"/>
          <w:highlight w:val="none"/>
          <w:u w:val="none"/>
          <w:lang w:val="en-US" w:eastAsia="zh-CN"/>
        </w:rPr>
        <w:t>研发</w:t>
      </w:r>
      <w:r>
        <w:rPr>
          <w:rFonts w:hint="eastAsia" w:ascii="仿宋_GB2312" w:hAnsi="仿宋_GB2312" w:eastAsia="仿宋_GB2312" w:cs="仿宋_GB2312"/>
          <w:color w:val="auto"/>
          <w:spacing w:val="0"/>
          <w:kern w:val="2"/>
          <w:sz w:val="32"/>
          <w:szCs w:val="32"/>
          <w:highlight w:val="none"/>
          <w:u w:val="none"/>
        </w:rPr>
        <w:t>推广</w:t>
      </w:r>
      <w:r>
        <w:rPr>
          <w:rFonts w:hint="eastAsia" w:ascii="仿宋_GB2312" w:hAnsi="仿宋_GB2312" w:eastAsia="仿宋_GB2312" w:cs="仿宋_GB2312"/>
          <w:color w:val="auto"/>
          <w:spacing w:val="0"/>
          <w:kern w:val="2"/>
          <w:sz w:val="32"/>
          <w:szCs w:val="32"/>
          <w:highlight w:val="none"/>
          <w:u w:val="none"/>
          <w:lang w:val="en-US" w:eastAsia="zh-CN"/>
        </w:rPr>
        <w:t>智能建造、智能风险预警模型或平台</w:t>
      </w:r>
      <w:r>
        <w:rPr>
          <w:rFonts w:hint="eastAsia" w:ascii="仿宋_GB2312" w:hAnsi="仿宋_GB2312" w:eastAsia="仿宋_GB2312" w:cs="仿宋_GB2312"/>
          <w:color w:val="auto"/>
          <w:spacing w:val="0"/>
          <w:kern w:val="2"/>
          <w:sz w:val="32"/>
          <w:szCs w:val="32"/>
          <w:highlight w:val="none"/>
          <w:u w:val="none"/>
        </w:rPr>
        <w:t>、</w:t>
      </w:r>
      <w:r>
        <w:rPr>
          <w:rFonts w:hint="eastAsia" w:ascii="仿宋_GB2312" w:hAnsi="仿宋_GB2312" w:eastAsia="仿宋_GB2312" w:cs="仿宋_GB2312"/>
          <w:color w:val="auto"/>
          <w:spacing w:val="0"/>
          <w:kern w:val="2"/>
          <w:sz w:val="32"/>
          <w:szCs w:val="32"/>
          <w:highlight w:val="none"/>
          <w:u w:val="none"/>
          <w:lang w:val="en-US" w:eastAsia="zh-CN"/>
        </w:rPr>
        <w:t>无人机安全巡查</w:t>
      </w:r>
      <w:r>
        <w:rPr>
          <w:rFonts w:hint="eastAsia" w:ascii="仿宋_GB2312" w:hAnsi="仿宋_GB2312" w:eastAsia="仿宋_GB2312" w:cs="仿宋_GB2312"/>
          <w:color w:val="auto"/>
          <w:spacing w:val="0"/>
          <w:kern w:val="2"/>
          <w:sz w:val="32"/>
          <w:szCs w:val="32"/>
          <w:highlight w:val="none"/>
          <w:u w:val="none"/>
        </w:rPr>
        <w:t>等有利于提高安全生产管理水平的</w:t>
      </w:r>
      <w:r>
        <w:rPr>
          <w:rFonts w:hint="eastAsia" w:ascii="仿宋_GB2312" w:hAnsi="仿宋_GB2312" w:eastAsia="仿宋_GB2312" w:cs="仿宋_GB2312"/>
          <w:color w:val="auto"/>
          <w:spacing w:val="0"/>
          <w:kern w:val="2"/>
          <w:sz w:val="32"/>
          <w:szCs w:val="32"/>
          <w:highlight w:val="none"/>
          <w:u w:val="none"/>
          <w:lang w:val="en-US" w:eastAsia="zh-CN"/>
        </w:rPr>
        <w:t>人工智能技术</w:t>
      </w:r>
      <w:r>
        <w:rPr>
          <w:rFonts w:hint="eastAsia" w:ascii="仿宋_GB2312" w:hAnsi="仿宋_GB2312" w:eastAsia="仿宋_GB2312" w:cs="仿宋_GB2312"/>
          <w:color w:val="auto"/>
          <w:spacing w:val="0"/>
          <w:kern w:val="2"/>
          <w:sz w:val="32"/>
          <w:szCs w:val="32"/>
          <w:highlight w:val="none"/>
          <w:u w:val="none"/>
        </w:rPr>
        <w:t>。</w:t>
      </w:r>
      <w:bookmarkEnd w:id="9"/>
    </w:p>
    <w:p w14:paraId="6118C454">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b/>
          <w:bCs/>
          <w:color w:val="auto"/>
          <w:spacing w:val="0"/>
          <w:kern w:val="2"/>
          <w:sz w:val="32"/>
          <w:szCs w:val="32"/>
          <w:highlight w:val="none"/>
          <w:u w:val="none"/>
          <w:lang w:val="en-US" w:eastAsia="zh-CN"/>
        </w:rPr>
      </w:pPr>
      <w:r>
        <w:rPr>
          <w:rFonts w:hint="eastAsia" w:ascii="仿宋_GB2312" w:hAnsi="仿宋_GB2312" w:eastAsia="仿宋_GB2312" w:cs="仿宋_GB2312"/>
          <w:b/>
          <w:bCs/>
          <w:color w:val="auto"/>
          <w:spacing w:val="0"/>
          <w:kern w:val="2"/>
          <w:sz w:val="32"/>
          <w:szCs w:val="32"/>
          <w:highlight w:val="none"/>
          <w:u w:val="none"/>
          <w:lang w:val="en-US" w:eastAsia="zh-CN"/>
        </w:rPr>
        <w:t>7.其他有关事故预防工作。</w:t>
      </w:r>
    </w:p>
    <w:p w14:paraId="0D3366EB">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color w:val="auto"/>
          <w:spacing w:val="0"/>
          <w:kern w:val="2"/>
          <w:sz w:val="32"/>
          <w:szCs w:val="32"/>
          <w:highlight w:val="none"/>
          <w:u w:val="none"/>
          <w:shd w:val="clear" w:color="auto" w:fill="auto"/>
        </w:rPr>
      </w:pPr>
      <w:r>
        <w:rPr>
          <w:rFonts w:hint="eastAsia" w:ascii="仿宋_GB2312" w:hAnsi="仿宋_GB2312" w:eastAsia="仿宋_GB2312" w:cs="仿宋_GB2312"/>
          <w:color w:val="auto"/>
          <w:spacing w:val="0"/>
          <w:kern w:val="2"/>
          <w:sz w:val="32"/>
          <w:szCs w:val="32"/>
          <w:highlight w:val="none"/>
          <w:u w:val="none"/>
          <w:shd w:val="clear" w:color="auto" w:fill="auto"/>
        </w:rPr>
        <w:t>承保机构应委托具有相应资质或能力的安全生产技术服务机构开展事故预防服务工作。</w:t>
      </w:r>
      <w:r>
        <w:rPr>
          <w:rFonts w:hint="eastAsia" w:ascii="仿宋_GB2312" w:hAnsi="仿宋_GB2312" w:eastAsia="仿宋_GB2312" w:cs="仿宋_GB2312"/>
          <w:color w:val="auto"/>
          <w:kern w:val="2"/>
          <w:sz w:val="32"/>
          <w:szCs w:val="32"/>
          <w:highlight w:val="none"/>
          <w:u w:val="none"/>
          <w:shd w:val="clear" w:color="auto" w:fill="auto"/>
        </w:rPr>
        <w:t>承保机构应当与</w:t>
      </w:r>
      <w:r>
        <w:rPr>
          <w:rFonts w:hint="eastAsia" w:ascii="仿宋_GB2312" w:hAnsi="仿宋_GB2312" w:eastAsia="仿宋_GB2312" w:cs="仿宋_GB2312"/>
          <w:color w:val="auto"/>
          <w:kern w:val="2"/>
          <w:sz w:val="32"/>
          <w:szCs w:val="32"/>
          <w:highlight w:val="none"/>
          <w:u w:val="none"/>
          <w:shd w:val="clear" w:color="auto" w:fill="auto"/>
          <w:lang w:val="en-US" w:eastAsia="zh-CN"/>
        </w:rPr>
        <w:t>投保公司</w:t>
      </w:r>
      <w:r>
        <w:rPr>
          <w:rFonts w:hint="eastAsia" w:ascii="仿宋_GB2312" w:hAnsi="仿宋_GB2312" w:eastAsia="仿宋_GB2312" w:cs="仿宋_GB2312"/>
          <w:color w:val="auto"/>
          <w:kern w:val="2"/>
          <w:sz w:val="32"/>
          <w:szCs w:val="32"/>
          <w:highlight w:val="none"/>
          <w:u w:val="none"/>
          <w:shd w:val="clear" w:color="auto" w:fill="auto"/>
        </w:rPr>
        <w:t>在保险合同中或单独签订服务合同约定事故预防服务的具体内容和频次</w:t>
      </w:r>
      <w:r>
        <w:rPr>
          <w:rFonts w:hint="eastAsia" w:ascii="仿宋_GB2312" w:hAnsi="仿宋_GB2312" w:eastAsia="仿宋_GB2312" w:cs="仿宋_GB2312"/>
          <w:color w:val="auto"/>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对于道路运输、水路运输</w:t>
      </w:r>
      <w:r>
        <w:rPr>
          <w:rFonts w:hint="eastAsia" w:ascii="仿宋_GB2312" w:hAnsi="仿宋_GB2312" w:eastAsia="仿宋_GB2312" w:cs="仿宋_GB2312"/>
          <w:color w:val="auto"/>
          <w:spacing w:val="0"/>
          <w:kern w:val="2"/>
          <w:sz w:val="32"/>
          <w:szCs w:val="32"/>
          <w:highlight w:val="none"/>
          <w:u w:val="none"/>
          <w:shd w:val="clear" w:color="auto" w:fill="auto"/>
          <w:lang w:val="en-US" w:eastAsia="zh-CN"/>
        </w:rPr>
        <w:t>等</w:t>
      </w:r>
      <w:r>
        <w:rPr>
          <w:rFonts w:hint="eastAsia" w:ascii="仿宋_GB2312" w:hAnsi="仿宋_GB2312" w:eastAsia="仿宋_GB2312" w:cs="仿宋_GB2312"/>
          <w:color w:val="auto"/>
          <w:spacing w:val="0"/>
          <w:kern w:val="2"/>
          <w:sz w:val="32"/>
          <w:szCs w:val="32"/>
          <w:highlight w:val="none"/>
          <w:u w:val="none"/>
          <w:shd w:val="clear" w:color="auto" w:fill="auto"/>
        </w:rPr>
        <w:t>生产经营单位</w:t>
      </w:r>
      <w:r>
        <w:rPr>
          <w:rFonts w:hint="eastAsia" w:ascii="仿宋_GB2312" w:hAnsi="仿宋_GB2312" w:eastAsia="仿宋_GB2312" w:cs="仿宋_GB2312"/>
          <w:color w:val="auto"/>
          <w:spacing w:val="0"/>
          <w:kern w:val="2"/>
          <w:sz w:val="32"/>
          <w:szCs w:val="32"/>
          <w:highlight w:val="none"/>
          <w:u w:val="none"/>
          <w:shd w:val="clear" w:color="auto" w:fill="auto"/>
          <w:lang w:eastAsia="zh-CN"/>
        </w:rPr>
        <w:t>，在</w:t>
      </w:r>
      <w:r>
        <w:rPr>
          <w:rFonts w:hint="eastAsia" w:ascii="仿宋_GB2312" w:hAnsi="仿宋_GB2312" w:eastAsia="仿宋_GB2312" w:cs="仿宋_GB2312"/>
          <w:color w:val="auto"/>
          <w:spacing w:val="0"/>
          <w:kern w:val="2"/>
          <w:sz w:val="32"/>
          <w:szCs w:val="32"/>
          <w:highlight w:val="none"/>
          <w:u w:val="none"/>
          <w:shd w:val="clear" w:color="auto" w:fill="auto"/>
        </w:rPr>
        <w:t>保险期间内应为投保单位至少提供上述前6项服务中的1</w:t>
      </w:r>
      <w:r>
        <w:rPr>
          <w:rFonts w:hint="eastAsia" w:ascii="仿宋_GB2312" w:hAnsi="仿宋_GB2312" w:eastAsia="仿宋_GB2312" w:cs="仿宋_GB2312"/>
          <w:color w:val="auto"/>
          <w:spacing w:val="0"/>
          <w:kern w:val="2"/>
          <w:sz w:val="32"/>
          <w:szCs w:val="32"/>
          <w:highlight w:val="none"/>
          <w:u w:val="none"/>
          <w:shd w:val="clear" w:color="auto" w:fill="auto"/>
          <w:lang w:val="en-US"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2项服务；</w:t>
      </w:r>
      <w:r>
        <w:rPr>
          <w:rFonts w:hint="eastAsia" w:ascii="仿宋_GB2312" w:hAnsi="仿宋_GB2312" w:eastAsia="仿宋_GB2312" w:cs="仿宋_GB2312"/>
          <w:color w:val="auto"/>
          <w:kern w:val="2"/>
          <w:sz w:val="32"/>
          <w:szCs w:val="32"/>
          <w:highlight w:val="none"/>
          <w:u w:val="none"/>
          <w:shd w:val="clear" w:color="auto" w:fill="auto"/>
        </w:rPr>
        <w:t>投保金额4万元以上的道路运输、水路运输等生产经营单位，应当适当提高事故预防服务频次与服务深度。</w:t>
      </w:r>
      <w:r>
        <w:rPr>
          <w:rFonts w:hint="eastAsia" w:ascii="仿宋_GB2312" w:hAnsi="仿宋_GB2312" w:eastAsia="仿宋_GB2312" w:cs="仿宋_GB2312"/>
          <w:color w:val="auto"/>
          <w:spacing w:val="0"/>
          <w:kern w:val="2"/>
          <w:sz w:val="32"/>
          <w:szCs w:val="32"/>
          <w:highlight w:val="none"/>
          <w:u w:val="none"/>
          <w:shd w:val="clear" w:color="auto" w:fill="auto"/>
        </w:rPr>
        <w:t>对工程造价</w:t>
      </w:r>
      <w:r>
        <w:rPr>
          <w:rFonts w:hint="eastAsia" w:ascii="仿宋_GB2312" w:hAnsi="仿宋_GB2312" w:eastAsia="仿宋_GB2312" w:cs="仿宋_GB2312"/>
          <w:color w:val="auto"/>
          <w:spacing w:val="0"/>
          <w:kern w:val="2"/>
          <w:sz w:val="32"/>
          <w:szCs w:val="32"/>
          <w:highlight w:val="none"/>
          <w:u w:val="none"/>
          <w:shd w:val="clear" w:color="auto" w:fill="auto"/>
          <w:lang w:val="en-US" w:eastAsia="zh-CN"/>
        </w:rPr>
        <w:t>800</w:t>
      </w:r>
      <w:r>
        <w:rPr>
          <w:rFonts w:hint="eastAsia" w:ascii="仿宋_GB2312" w:hAnsi="仿宋_GB2312" w:eastAsia="仿宋_GB2312" w:cs="仿宋_GB2312"/>
          <w:color w:val="auto"/>
          <w:spacing w:val="0"/>
          <w:kern w:val="2"/>
          <w:sz w:val="32"/>
          <w:szCs w:val="32"/>
          <w:highlight w:val="none"/>
          <w:u w:val="none"/>
          <w:shd w:val="clear" w:color="auto" w:fill="auto"/>
        </w:rPr>
        <w:t>万元以上的公路水运及地方铁路工程建设施工项目</w:t>
      </w:r>
      <w:r>
        <w:rPr>
          <w:rFonts w:hint="eastAsia" w:ascii="仿宋_GB2312" w:hAnsi="仿宋_GB2312" w:eastAsia="仿宋_GB2312" w:cs="仿宋_GB2312"/>
          <w:color w:val="auto"/>
          <w:spacing w:val="0"/>
          <w:kern w:val="2"/>
          <w:sz w:val="32"/>
          <w:szCs w:val="32"/>
          <w:highlight w:val="none"/>
          <w:u w:val="none"/>
          <w:shd w:val="clear" w:color="auto" w:fill="auto"/>
          <w:lang w:eastAsia="zh-CN"/>
        </w:rPr>
        <w:t>，在</w:t>
      </w:r>
      <w:r>
        <w:rPr>
          <w:rFonts w:hint="eastAsia" w:ascii="仿宋_GB2312" w:hAnsi="仿宋_GB2312" w:eastAsia="仿宋_GB2312" w:cs="仿宋_GB2312"/>
          <w:color w:val="auto"/>
          <w:spacing w:val="0"/>
          <w:kern w:val="2"/>
          <w:sz w:val="32"/>
          <w:szCs w:val="32"/>
          <w:highlight w:val="none"/>
          <w:u w:val="none"/>
          <w:shd w:val="clear" w:color="auto" w:fill="auto"/>
        </w:rPr>
        <w:t>保险期间内应根据工程施工进度，在关键工序（如危大工程）施工前或施工高峰期，至少提供1次安全风险辨识或隐患排查技术服务，且同一项目每年不少于1次；承保机构在服务中发现存在重大事故隐患的，应当及时告知投保企业落实整改；投保企业未按期完成重大事故隐患整改的，承保机构应及时报告项目属地交通运输主管部门或其委托的交通建设质量安全监督机构，并可依据法律规定和合同约定要求投保企业增加保险费或者解除保险合同。</w:t>
      </w:r>
    </w:p>
    <w:p w14:paraId="4D450A0D">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45"/>
        <w:jc w:val="both"/>
        <w:textAlignment w:val="auto"/>
        <w:rPr>
          <w:rFonts w:hint="eastAsia" w:ascii="仿宋_GB2312" w:hAnsi="仿宋_GB2312" w:eastAsia="仿宋_GB2312" w:cs="仿宋_GB2312"/>
          <w:color w:val="FF0000"/>
          <w:spacing w:val="0"/>
          <w:kern w:val="2"/>
          <w:sz w:val="32"/>
          <w:szCs w:val="32"/>
          <w:highlight w:val="none"/>
          <w:u w:val="none"/>
          <w:lang w:val="zh-CN"/>
        </w:rPr>
      </w:pPr>
      <w:bookmarkStart w:id="12" w:name="OLE_LINK21"/>
      <w:r>
        <w:rPr>
          <w:rFonts w:hint="eastAsia" w:ascii="仿宋_GB2312" w:hAnsi="仿宋_GB2312" w:eastAsia="仿宋_GB2312" w:cs="仿宋_GB2312"/>
          <w:color w:val="auto"/>
          <w:spacing w:val="0"/>
          <w:kern w:val="2"/>
          <w:sz w:val="32"/>
          <w:szCs w:val="32"/>
          <w:highlight w:val="none"/>
          <w:u w:val="none"/>
          <w:lang w:val="zh-CN"/>
        </w:rPr>
        <w:t>从事事故预防服务</w:t>
      </w:r>
      <w:r>
        <w:rPr>
          <w:rFonts w:hint="eastAsia" w:ascii="仿宋_GB2312" w:hAnsi="仿宋_GB2312" w:eastAsia="仿宋_GB2312" w:cs="仿宋_GB2312"/>
          <w:color w:val="auto"/>
          <w:spacing w:val="0"/>
          <w:kern w:val="2"/>
          <w:sz w:val="32"/>
          <w:szCs w:val="32"/>
          <w:highlight w:val="none"/>
          <w:u w:val="none"/>
          <w:lang w:val="en-US" w:eastAsia="zh-CN"/>
        </w:rPr>
        <w:t>的</w:t>
      </w:r>
      <w:r>
        <w:rPr>
          <w:rFonts w:hint="eastAsia" w:ascii="仿宋_GB2312" w:hAnsi="仿宋_GB2312" w:eastAsia="仿宋_GB2312" w:cs="仿宋_GB2312"/>
          <w:color w:val="auto"/>
          <w:spacing w:val="0"/>
          <w:kern w:val="2"/>
          <w:sz w:val="32"/>
          <w:szCs w:val="32"/>
          <w:highlight w:val="none"/>
          <w:u w:val="none"/>
        </w:rPr>
        <w:t>安全生产技术服务机构</w:t>
      </w:r>
      <w:r>
        <w:rPr>
          <w:rFonts w:hint="eastAsia" w:ascii="仿宋_GB2312" w:hAnsi="仿宋_GB2312" w:eastAsia="仿宋_GB2312" w:cs="仿宋_GB2312"/>
          <w:color w:val="auto"/>
          <w:spacing w:val="0"/>
          <w:kern w:val="2"/>
          <w:sz w:val="32"/>
          <w:szCs w:val="32"/>
          <w:highlight w:val="none"/>
          <w:u w:val="none"/>
          <w:lang w:val="zh-CN"/>
        </w:rPr>
        <w:t>应</w:t>
      </w:r>
      <w:bookmarkEnd w:id="12"/>
      <w:bookmarkStart w:id="13" w:name="OLE_LINK4"/>
      <w:r>
        <w:rPr>
          <w:rFonts w:hint="eastAsia" w:ascii="仿宋_GB2312" w:hAnsi="仿宋_GB2312" w:eastAsia="仿宋_GB2312" w:cs="仿宋_GB2312"/>
          <w:color w:val="auto"/>
          <w:spacing w:val="0"/>
          <w:kern w:val="2"/>
          <w:sz w:val="32"/>
          <w:szCs w:val="32"/>
          <w:highlight w:val="none"/>
          <w:u w:val="none"/>
          <w:lang w:val="zh-CN"/>
        </w:rPr>
        <w:t>遵守</w:t>
      </w:r>
      <w:r>
        <w:rPr>
          <w:rFonts w:hint="eastAsia" w:ascii="仿宋_GB2312" w:hAnsi="仿宋_GB2312" w:eastAsia="仿宋_GB2312" w:cs="仿宋_GB2312"/>
          <w:color w:val="auto"/>
          <w:spacing w:val="0"/>
          <w:kern w:val="2"/>
          <w:sz w:val="32"/>
          <w:szCs w:val="32"/>
          <w:highlight w:val="none"/>
          <w:u w:val="none"/>
          <w:lang w:val="en-US" w:eastAsia="zh-CN"/>
        </w:rPr>
        <w:t>有关法律法规</w:t>
      </w:r>
      <w:r>
        <w:rPr>
          <w:rFonts w:hint="eastAsia" w:ascii="仿宋_GB2312" w:hAnsi="仿宋_GB2312" w:eastAsia="仿宋_GB2312" w:cs="仿宋_GB2312"/>
          <w:color w:val="auto"/>
          <w:spacing w:val="0"/>
          <w:kern w:val="2"/>
          <w:sz w:val="32"/>
          <w:szCs w:val="32"/>
          <w:highlight w:val="none"/>
          <w:u w:val="none"/>
          <w:lang w:val="zh-CN"/>
        </w:rPr>
        <w:t>规定</w:t>
      </w:r>
      <w:r>
        <w:rPr>
          <w:rFonts w:hint="eastAsia" w:ascii="仿宋_GB2312" w:hAnsi="仿宋_GB2312" w:eastAsia="仿宋_GB2312" w:cs="仿宋_GB2312"/>
          <w:color w:val="auto"/>
          <w:spacing w:val="0"/>
          <w:kern w:val="2"/>
          <w:sz w:val="32"/>
          <w:szCs w:val="32"/>
          <w:highlight w:val="none"/>
          <w:u w:val="none"/>
          <w:lang w:val="en-US" w:eastAsia="zh-CN"/>
        </w:rPr>
        <w:t>和标准规范要求</w:t>
      </w:r>
      <w:bookmarkEnd w:id="13"/>
      <w:r>
        <w:rPr>
          <w:rFonts w:hint="eastAsia" w:ascii="仿宋_GB2312" w:hAnsi="仿宋_GB2312" w:eastAsia="仿宋_GB2312" w:cs="仿宋_GB2312"/>
          <w:color w:val="auto"/>
          <w:spacing w:val="0"/>
          <w:kern w:val="2"/>
          <w:sz w:val="32"/>
          <w:szCs w:val="32"/>
          <w:highlight w:val="none"/>
          <w:u w:val="none"/>
          <w:lang w:val="zh-CN"/>
        </w:rPr>
        <w:t>，按照合同约定开展服务，不得影响被保险人正常的生产经营活动，不得泄露被保险人的职工信息、技术秘密和商业秘密，不得弄虚作假、出具虚假服务报告。</w:t>
      </w:r>
      <w:bookmarkStart w:id="14" w:name="OLE_LINK8"/>
      <w:r>
        <w:rPr>
          <w:rFonts w:hint="eastAsia" w:ascii="仿宋_GB2312" w:hAnsi="仿宋_GB2312" w:eastAsia="仿宋_GB2312" w:cs="仿宋_GB2312"/>
          <w:color w:val="auto"/>
          <w:spacing w:val="0"/>
          <w:kern w:val="2"/>
          <w:sz w:val="32"/>
          <w:szCs w:val="32"/>
          <w:highlight w:val="none"/>
          <w:u w:val="none"/>
          <w:lang w:val="zh-CN"/>
        </w:rPr>
        <w:t>未按相关规定或委托合同约定开展事故预防服务或事故预防服务报告弄虚作假的，保险机构可以终止委托合同</w:t>
      </w:r>
      <w:r>
        <w:rPr>
          <w:rFonts w:hint="eastAsia" w:ascii="仿宋_GB2312" w:hAnsi="仿宋_GB2312" w:eastAsia="仿宋_GB2312" w:cs="仿宋_GB2312"/>
          <w:color w:val="auto"/>
          <w:spacing w:val="0"/>
          <w:kern w:val="2"/>
          <w:sz w:val="32"/>
          <w:szCs w:val="32"/>
          <w:highlight w:val="none"/>
          <w:u w:val="none"/>
          <w:lang w:val="zh-CN" w:eastAsia="zh-CN"/>
        </w:rPr>
        <w:t>，</w:t>
      </w:r>
      <w:r>
        <w:rPr>
          <w:rFonts w:hint="eastAsia" w:ascii="仿宋_GB2312" w:hAnsi="仿宋_GB2312" w:eastAsia="仿宋_GB2312" w:cs="仿宋_GB2312"/>
          <w:color w:val="auto"/>
          <w:spacing w:val="0"/>
          <w:kern w:val="2"/>
          <w:sz w:val="32"/>
          <w:szCs w:val="32"/>
          <w:highlight w:val="none"/>
          <w:u w:val="none"/>
          <w:lang w:val="en-US" w:eastAsia="zh-CN"/>
        </w:rPr>
        <w:t>并</w:t>
      </w:r>
      <w:r>
        <w:rPr>
          <w:rFonts w:hint="eastAsia" w:ascii="仿宋_GB2312" w:hAnsi="仿宋_GB2312" w:eastAsia="仿宋_GB2312" w:cs="仿宋_GB2312"/>
          <w:color w:val="auto"/>
          <w:spacing w:val="0"/>
          <w:kern w:val="2"/>
          <w:sz w:val="32"/>
          <w:szCs w:val="32"/>
          <w:highlight w:val="none"/>
          <w:u w:val="none"/>
          <w:lang w:val="zh-CN"/>
        </w:rPr>
        <w:t>将相关情形</w:t>
      </w:r>
      <w:r>
        <w:rPr>
          <w:rFonts w:hint="eastAsia" w:ascii="仿宋_GB2312" w:hAnsi="仿宋_GB2312" w:eastAsia="仿宋_GB2312" w:cs="仿宋_GB2312"/>
          <w:color w:val="auto"/>
          <w:spacing w:val="0"/>
          <w:kern w:val="2"/>
          <w:sz w:val="32"/>
          <w:szCs w:val="32"/>
          <w:highlight w:val="none"/>
          <w:u w:val="none"/>
          <w:lang w:val="zh-CN" w:eastAsia="zh-CN"/>
        </w:rPr>
        <w:t>报告</w:t>
      </w:r>
      <w:r>
        <w:rPr>
          <w:rFonts w:hint="eastAsia" w:ascii="仿宋_GB2312" w:hAnsi="仿宋_GB2312" w:eastAsia="仿宋_GB2312" w:cs="仿宋_GB2312"/>
          <w:color w:val="auto"/>
          <w:spacing w:val="0"/>
          <w:kern w:val="2"/>
          <w:sz w:val="32"/>
          <w:szCs w:val="32"/>
          <w:highlight w:val="none"/>
          <w:u w:val="none"/>
          <w:lang w:val="en-US" w:eastAsia="zh-CN"/>
        </w:rPr>
        <w:t>交通运输部门和</w:t>
      </w:r>
      <w:r>
        <w:rPr>
          <w:rFonts w:hint="eastAsia" w:ascii="仿宋_GB2312" w:hAnsi="仿宋_GB2312" w:eastAsia="仿宋_GB2312" w:cs="仿宋_GB2312"/>
          <w:color w:val="auto"/>
          <w:spacing w:val="0"/>
          <w:kern w:val="2"/>
          <w:sz w:val="32"/>
          <w:szCs w:val="32"/>
          <w:highlight w:val="none"/>
          <w:u w:val="none"/>
          <w:lang w:eastAsia="zh-CN"/>
        </w:rPr>
        <w:t>金融</w:t>
      </w:r>
      <w:r>
        <w:rPr>
          <w:rFonts w:hint="default" w:ascii="仿宋_GB2312" w:hAnsi="仿宋_GB2312" w:eastAsia="仿宋_GB2312" w:cs="仿宋_GB2312"/>
          <w:color w:val="auto"/>
          <w:spacing w:val="0"/>
          <w:kern w:val="2"/>
          <w:sz w:val="32"/>
          <w:szCs w:val="32"/>
          <w:highlight w:val="none"/>
          <w:u w:val="none"/>
          <w:lang w:val="en-US" w:eastAsia="zh-CN"/>
        </w:rPr>
        <w:t>监管</w:t>
      </w:r>
      <w:r>
        <w:rPr>
          <w:rFonts w:hint="eastAsia" w:ascii="仿宋_GB2312" w:hAnsi="仿宋_GB2312" w:eastAsia="仿宋_GB2312" w:cs="仿宋_GB2312"/>
          <w:color w:val="auto"/>
          <w:spacing w:val="0"/>
          <w:kern w:val="2"/>
          <w:sz w:val="32"/>
          <w:szCs w:val="32"/>
          <w:highlight w:val="none"/>
          <w:u w:val="none"/>
          <w:lang w:val="en-US" w:eastAsia="zh-CN"/>
        </w:rPr>
        <w:t>部门</w:t>
      </w:r>
      <w:r>
        <w:rPr>
          <w:rFonts w:hint="eastAsia" w:ascii="仿宋_GB2312" w:hAnsi="仿宋_GB2312" w:eastAsia="仿宋_GB2312" w:cs="仿宋_GB2312"/>
          <w:color w:val="auto"/>
          <w:spacing w:val="0"/>
          <w:kern w:val="2"/>
          <w:sz w:val="32"/>
          <w:szCs w:val="32"/>
          <w:highlight w:val="none"/>
          <w:u w:val="none"/>
          <w:lang w:val="zh-CN"/>
        </w:rPr>
        <w:t>。</w:t>
      </w:r>
      <w:bookmarkEnd w:id="6"/>
      <w:bookmarkEnd w:id="14"/>
    </w:p>
    <w:bookmarkEnd w:id="7"/>
    <w:p w14:paraId="29343D38">
      <w:pPr>
        <w:pStyle w:val="12"/>
        <w:keepNext w:val="0"/>
        <w:keepLines w:val="0"/>
        <w:pageBreakBefore w:val="0"/>
        <w:widowControl w:val="0"/>
        <w:numPr>
          <w:ilvl w:val="0"/>
          <w:numId w:val="0"/>
        </w:numPr>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FF0000"/>
          <w:spacing w:val="0"/>
          <w:kern w:val="0"/>
          <w:sz w:val="32"/>
          <w:szCs w:val="32"/>
          <w:highlight w:val="none"/>
          <w:u w:val="none"/>
          <w:lang w:val="zh-CN" w:eastAsia="zh-CN" w:bidi="ar-SA"/>
        </w:rPr>
      </w:pPr>
      <w:bookmarkStart w:id="15" w:name="OLE_LINK10"/>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lang w:val="en-US" w:eastAsia="zh-CN"/>
        </w:rPr>
        <w:t>二</w:t>
      </w:r>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rPr>
        <w:t>健全费用使用机制</w:t>
      </w:r>
      <w:r>
        <w:rPr>
          <w:rFonts w:hint="eastAsia" w:ascii="楷体_GB2312" w:hAnsi="楷体_GB2312" w:eastAsia="楷体_GB2312" w:cs="楷体_GB2312"/>
          <w:b/>
          <w:bCs/>
          <w:color w:val="auto"/>
          <w:spacing w:val="0"/>
          <w:sz w:val="32"/>
          <w:szCs w:val="32"/>
          <w:highlight w:val="none"/>
          <w:u w:val="none"/>
          <w:lang w:val="zh-CN"/>
        </w:rPr>
        <w:t>。</w:t>
      </w:r>
      <w:r>
        <w:rPr>
          <w:rFonts w:hint="eastAsia" w:ascii="仿宋_GB2312" w:hAnsi="仿宋_GB2312" w:eastAsia="仿宋_GB2312" w:cs="仿宋_GB2312"/>
          <w:color w:val="auto"/>
          <w:spacing w:val="0"/>
          <w:sz w:val="32"/>
          <w:szCs w:val="32"/>
          <w:highlight w:val="none"/>
          <w:u w:val="none"/>
          <w:lang w:val="en-US" w:eastAsia="zh-CN"/>
        </w:rPr>
        <w:t>承保机构应建立完善事故预防费用管理制度，保证事故预防服务费用投入满足规定的事故预防服务内容和频次，制定事故预防服务费用专项预算，按照企业会计准则建立费用使用专门台账，</w:t>
      </w:r>
      <w:r>
        <w:rPr>
          <w:rFonts w:hint="eastAsia" w:ascii="仿宋_GB2312" w:hAnsi="仿宋_GB2312" w:eastAsia="仿宋_GB2312" w:cs="仿宋_GB2312"/>
          <w:color w:val="auto"/>
          <w:spacing w:val="0"/>
          <w:kern w:val="2"/>
          <w:sz w:val="32"/>
          <w:szCs w:val="32"/>
          <w:highlight w:val="none"/>
          <w:u w:val="none"/>
          <w:lang w:val="en-US" w:eastAsia="zh-CN"/>
        </w:rPr>
        <w:t>并主动</w:t>
      </w:r>
      <w:r>
        <w:rPr>
          <w:rFonts w:hint="eastAsia" w:ascii="仿宋_GB2312" w:hAnsi="仿宋_GB2312" w:eastAsia="仿宋_GB2312" w:cs="仿宋_GB2312"/>
          <w:color w:val="auto"/>
          <w:spacing w:val="0"/>
          <w:sz w:val="32"/>
          <w:szCs w:val="32"/>
          <w:highlight w:val="none"/>
          <w:u w:val="none"/>
          <w:lang w:val="en-US" w:eastAsia="zh-CN"/>
        </w:rPr>
        <w:t>接受</w:t>
      </w:r>
      <w:r>
        <w:rPr>
          <w:rFonts w:hint="eastAsia" w:ascii="仿宋_GB2312" w:hAnsi="仿宋_GB2312" w:eastAsia="仿宋_GB2312" w:cs="仿宋_GB2312"/>
          <w:color w:val="auto"/>
          <w:spacing w:val="0"/>
          <w:kern w:val="2"/>
          <w:sz w:val="32"/>
          <w:szCs w:val="32"/>
          <w:highlight w:val="none"/>
          <w:u w:val="none"/>
          <w:lang w:val="en-US" w:eastAsia="zh-CN"/>
        </w:rPr>
        <w:t>交通运输部门和金融监管部门的监督。</w:t>
      </w:r>
      <w:bookmarkStart w:id="16" w:name="OLE_LINK20"/>
      <w:r>
        <w:rPr>
          <w:rFonts w:hint="eastAsia" w:ascii="仿宋_GB2312" w:hAnsi="仿宋_GB2312" w:eastAsia="仿宋_GB2312" w:cs="仿宋_GB2312"/>
          <w:color w:val="auto"/>
          <w:spacing w:val="0"/>
          <w:kern w:val="2"/>
          <w:sz w:val="32"/>
          <w:szCs w:val="32"/>
          <w:highlight w:val="none"/>
          <w:u w:val="none"/>
          <w:lang w:val="en-US" w:eastAsia="zh-CN"/>
        </w:rPr>
        <w:t>事故预防服务费用可统筹用于</w:t>
      </w:r>
      <w:r>
        <w:rPr>
          <w:rFonts w:hint="eastAsia" w:ascii="仿宋_GB2312" w:hAnsi="仿宋_GB2312" w:eastAsia="仿宋_GB2312" w:cs="仿宋_GB2312"/>
          <w:color w:val="auto"/>
          <w:spacing w:val="0"/>
          <w:kern w:val="2"/>
          <w:sz w:val="32"/>
          <w:szCs w:val="32"/>
          <w:highlight w:val="none"/>
          <w:u w:val="none"/>
          <w:lang w:val="zh-CN" w:eastAsia="zh-CN"/>
        </w:rPr>
        <w:t>宣传培训、</w:t>
      </w:r>
      <w:r>
        <w:rPr>
          <w:rFonts w:hint="eastAsia" w:ascii="仿宋_GB2312" w:hAnsi="仿宋_GB2312" w:eastAsia="仿宋_GB2312" w:cs="仿宋_GB2312"/>
          <w:color w:val="auto"/>
          <w:spacing w:val="0"/>
          <w:kern w:val="2"/>
          <w:sz w:val="32"/>
          <w:szCs w:val="32"/>
          <w:highlight w:val="none"/>
          <w:u w:val="none"/>
          <w:lang w:val="en-US" w:eastAsia="zh-CN"/>
        </w:rPr>
        <w:t>技能竞赛</w:t>
      </w:r>
      <w:r>
        <w:rPr>
          <w:rFonts w:hint="eastAsia" w:ascii="仿宋_GB2312" w:hAnsi="仿宋_GB2312" w:eastAsia="仿宋_GB2312" w:cs="仿宋_GB2312"/>
          <w:color w:val="auto"/>
          <w:spacing w:val="0"/>
          <w:kern w:val="2"/>
          <w:sz w:val="32"/>
          <w:szCs w:val="32"/>
          <w:highlight w:val="none"/>
          <w:u w:val="none"/>
          <w:lang w:val="zh-CN" w:eastAsia="zh-CN"/>
        </w:rPr>
        <w:t>、</w:t>
      </w:r>
      <w:r>
        <w:rPr>
          <w:rFonts w:hint="eastAsia" w:ascii="仿宋_GB2312" w:hAnsi="仿宋_GB2312" w:eastAsia="仿宋_GB2312" w:cs="仿宋_GB2312"/>
          <w:color w:val="auto"/>
          <w:spacing w:val="0"/>
          <w:kern w:val="2"/>
          <w:sz w:val="32"/>
          <w:szCs w:val="32"/>
          <w:highlight w:val="none"/>
          <w:u w:val="none"/>
          <w:lang w:val="en-US" w:eastAsia="zh-CN"/>
        </w:rPr>
        <w:t>安全评估、隐患排查、监测预警</w:t>
      </w:r>
      <w:r>
        <w:rPr>
          <w:rFonts w:hint="eastAsia" w:ascii="仿宋_GB2312" w:hAnsi="仿宋_GB2312" w:eastAsia="仿宋_GB2312" w:cs="仿宋_GB2312"/>
          <w:color w:val="auto"/>
          <w:spacing w:val="0"/>
          <w:kern w:val="2"/>
          <w:sz w:val="32"/>
          <w:szCs w:val="32"/>
          <w:highlight w:val="none"/>
          <w:u w:val="none"/>
          <w:lang w:val="zh-CN" w:eastAsia="zh-CN"/>
        </w:rPr>
        <w:t>等</w:t>
      </w:r>
      <w:r>
        <w:rPr>
          <w:rFonts w:hint="eastAsia" w:ascii="仿宋_GB2312" w:hAnsi="仿宋_GB2312" w:eastAsia="仿宋_GB2312" w:cs="仿宋_GB2312"/>
          <w:color w:val="auto"/>
          <w:spacing w:val="0"/>
          <w:kern w:val="2"/>
          <w:sz w:val="32"/>
          <w:szCs w:val="32"/>
          <w:highlight w:val="none"/>
          <w:u w:val="none"/>
          <w:lang w:val="en-US" w:eastAsia="zh-CN"/>
        </w:rPr>
        <w:t>事故预防服务工作</w:t>
      </w:r>
      <w:bookmarkEnd w:id="16"/>
      <w:r>
        <w:rPr>
          <w:rFonts w:hint="eastAsia" w:ascii="仿宋_GB2312" w:hAnsi="仿宋_GB2312" w:eastAsia="仿宋_GB2312" w:cs="仿宋_GB2312"/>
          <w:color w:val="auto"/>
          <w:spacing w:val="0"/>
          <w:kern w:val="2"/>
          <w:sz w:val="32"/>
          <w:szCs w:val="32"/>
          <w:highlight w:val="none"/>
          <w:u w:val="none"/>
          <w:lang w:val="en-US" w:eastAsia="zh-CN"/>
        </w:rPr>
        <w:t>，</w:t>
      </w:r>
      <w:r>
        <w:rPr>
          <w:rFonts w:hint="eastAsia" w:ascii="仿宋_GB2312" w:hAnsi="仿宋_GB2312" w:eastAsia="仿宋_GB2312" w:cs="仿宋_GB2312"/>
          <w:color w:val="auto"/>
          <w:spacing w:val="0"/>
          <w:sz w:val="32"/>
          <w:szCs w:val="32"/>
          <w:highlight w:val="none"/>
          <w:u w:val="none"/>
          <w:shd w:val="clear" w:color="auto" w:fill="FFFFFF"/>
          <w:lang w:val="en-US" w:eastAsia="zh-CN"/>
        </w:rPr>
        <w:t>统筹开展的事故预防服务工作由</w:t>
      </w:r>
      <w:r>
        <w:rPr>
          <w:rFonts w:hint="eastAsia" w:ascii="仿宋_GB2312" w:hAnsi="仿宋_GB2312" w:eastAsia="仿宋_GB2312" w:cs="仿宋_GB2312"/>
          <w:color w:val="auto"/>
          <w:spacing w:val="0"/>
          <w:sz w:val="32"/>
          <w:szCs w:val="32"/>
          <w:highlight w:val="none"/>
          <w:u w:val="none"/>
        </w:rPr>
        <w:t>上年度全省承保份额最高的承保机构</w:t>
      </w:r>
      <w:r>
        <w:rPr>
          <w:rFonts w:hint="eastAsia" w:ascii="仿宋_GB2312" w:hAnsi="仿宋_GB2312" w:eastAsia="仿宋_GB2312" w:cs="仿宋_GB2312"/>
          <w:color w:val="auto"/>
          <w:spacing w:val="0"/>
          <w:sz w:val="32"/>
          <w:szCs w:val="32"/>
          <w:highlight w:val="none"/>
          <w:u w:val="none"/>
          <w:lang w:val="en-US" w:eastAsia="zh-CN"/>
        </w:rPr>
        <w:t>牵头制定</w:t>
      </w:r>
      <w:r>
        <w:rPr>
          <w:rFonts w:hint="eastAsia" w:ascii="仿宋_GB2312" w:hAnsi="仿宋_GB2312" w:eastAsia="仿宋_GB2312" w:cs="仿宋_GB2312"/>
          <w:color w:val="auto"/>
          <w:spacing w:val="0"/>
          <w:kern w:val="2"/>
          <w:sz w:val="32"/>
          <w:szCs w:val="32"/>
          <w:highlight w:val="none"/>
          <w:u w:val="none"/>
        </w:rPr>
        <w:t>事故预防服务</w:t>
      </w:r>
      <w:r>
        <w:rPr>
          <w:rFonts w:hint="eastAsia" w:ascii="仿宋_GB2312" w:hAnsi="仿宋_GB2312" w:eastAsia="仿宋_GB2312" w:cs="仿宋_GB2312"/>
          <w:color w:val="auto"/>
          <w:spacing w:val="0"/>
          <w:sz w:val="32"/>
          <w:szCs w:val="32"/>
          <w:highlight w:val="none"/>
          <w:u w:val="none"/>
          <w:lang w:val="en-US" w:eastAsia="zh-CN"/>
        </w:rPr>
        <w:t>方案和专项预算。</w:t>
      </w:r>
      <w:bookmarkEnd w:id="15"/>
      <w:r>
        <w:rPr>
          <w:rFonts w:hint="eastAsia" w:ascii="仿宋_GB2312" w:hAnsi="仿宋_GB2312" w:eastAsia="仿宋_GB2312" w:cs="仿宋_GB2312"/>
          <w:color w:val="auto"/>
          <w:spacing w:val="0"/>
          <w:kern w:val="2"/>
          <w:sz w:val="32"/>
          <w:szCs w:val="32"/>
          <w:highlight w:val="none"/>
          <w:u w:val="none"/>
          <w:lang w:val="en-US" w:eastAsia="zh-CN"/>
        </w:rPr>
        <w:t>事故预防服务费用应</w:t>
      </w:r>
      <w:r>
        <w:rPr>
          <w:rFonts w:hint="eastAsia" w:ascii="仿宋_GB2312" w:hAnsi="仿宋_GB2312" w:eastAsia="仿宋_GB2312" w:cs="仿宋_GB2312"/>
          <w:color w:val="000000"/>
          <w:spacing w:val="0"/>
          <w:kern w:val="0"/>
          <w:sz w:val="32"/>
          <w:szCs w:val="32"/>
          <w:highlight w:val="none"/>
          <w:u w:val="none"/>
          <w:lang w:val="en-US" w:eastAsia="zh-CN" w:bidi="ar-SA"/>
        </w:rPr>
        <w:t>以降低生产安全事故风险或减少事故损失为主要目的，不得随意扩大使用范围，</w:t>
      </w:r>
      <w:r>
        <w:rPr>
          <w:rFonts w:hint="eastAsia" w:ascii="仿宋_GB2312" w:hAnsi="仿宋_GB2312" w:eastAsia="仿宋_GB2312" w:cs="仿宋_GB2312"/>
          <w:color w:val="auto"/>
          <w:spacing w:val="0"/>
          <w:sz w:val="32"/>
          <w:szCs w:val="32"/>
          <w:highlight w:val="none"/>
          <w:u w:val="none"/>
          <w:lang w:val="en-US" w:eastAsia="zh-CN"/>
        </w:rPr>
        <w:t>据实支出，不得挤占、挪用，</w:t>
      </w:r>
      <w:r>
        <w:rPr>
          <w:rFonts w:hint="eastAsia" w:ascii="仿宋_GB2312" w:hAnsi="仿宋_GB2312" w:eastAsia="仿宋_GB2312" w:cs="仿宋_GB2312"/>
          <w:color w:val="auto"/>
          <w:spacing w:val="0"/>
          <w:kern w:val="2"/>
          <w:sz w:val="32"/>
          <w:szCs w:val="32"/>
          <w:highlight w:val="none"/>
          <w:u w:val="none"/>
          <w:lang w:val="en-US" w:eastAsia="zh-CN"/>
        </w:rPr>
        <w:t>费用</w:t>
      </w:r>
      <w:r>
        <w:rPr>
          <w:rFonts w:hint="eastAsia" w:ascii="仿宋_GB2312" w:hAnsi="仿宋_GB2312" w:eastAsia="仿宋_GB2312" w:cs="仿宋_GB2312"/>
          <w:color w:val="auto"/>
          <w:spacing w:val="0"/>
          <w:sz w:val="32"/>
          <w:szCs w:val="32"/>
          <w:highlight w:val="none"/>
          <w:u w:val="none"/>
          <w:lang w:val="en-US" w:eastAsia="zh-CN"/>
        </w:rPr>
        <w:t>使用情况应及时录入</w:t>
      </w:r>
      <w:r>
        <w:rPr>
          <w:rFonts w:hint="eastAsia" w:ascii="仿宋_GB2312" w:hAnsi="仿宋_GB2312" w:eastAsia="仿宋_GB2312" w:cs="仿宋_GB2312"/>
          <w:color w:val="auto"/>
          <w:spacing w:val="0"/>
          <w:kern w:val="2"/>
          <w:sz w:val="32"/>
          <w:szCs w:val="32"/>
          <w:highlight w:val="none"/>
          <w:u w:val="none"/>
          <w:lang w:val="en-US" w:eastAsia="zh-CN" w:bidi="ar-SA"/>
        </w:rPr>
        <w:t>主管部门信息平台</w:t>
      </w:r>
      <w:r>
        <w:rPr>
          <w:rFonts w:hint="eastAsia" w:ascii="仿宋_GB2312" w:hAnsi="仿宋_GB2312" w:eastAsia="仿宋_GB2312" w:cs="仿宋_GB2312"/>
          <w:color w:val="auto"/>
          <w:spacing w:val="0"/>
          <w:sz w:val="32"/>
          <w:szCs w:val="32"/>
          <w:highlight w:val="none"/>
          <w:u w:val="none"/>
          <w:lang w:val="en-US" w:eastAsia="zh-CN"/>
        </w:rPr>
        <w:t>。</w:t>
      </w:r>
    </w:p>
    <w:p w14:paraId="2A45AD66">
      <w:pPr>
        <w:pStyle w:val="2"/>
        <w:keepNext w:val="0"/>
        <w:keepLines w:val="0"/>
        <w:pageBreakBefore w:val="0"/>
        <w:widowControl w:val="0"/>
        <w:kinsoku/>
        <w:overflowPunct/>
        <w:topLinePunct w:val="0"/>
        <w:autoSpaceDE/>
        <w:autoSpaceDN/>
        <w:bidi w:val="0"/>
        <w:adjustRightInd/>
        <w:snapToGrid/>
        <w:spacing w:after="0" w:line="240" w:lineRule="auto"/>
        <w:ind w:left="0" w:leftChars="0" w:firstLine="640" w:firstLineChars="0"/>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楷体_GB2312" w:hAnsi="楷体_GB2312" w:eastAsia="楷体_GB2312" w:cs="楷体_GB2312"/>
          <w:b/>
          <w:bCs/>
          <w:color w:val="auto"/>
          <w:spacing w:val="0"/>
          <w:kern w:val="0"/>
          <w:sz w:val="32"/>
          <w:szCs w:val="32"/>
          <w:highlight w:val="none"/>
          <w:u w:val="none"/>
          <w:lang w:val="zh-CN" w:eastAsia="zh-CN" w:bidi="ar-SA"/>
        </w:rPr>
        <w:t>（</w:t>
      </w:r>
      <w:r>
        <w:rPr>
          <w:rFonts w:hint="eastAsia" w:ascii="楷体_GB2312" w:hAnsi="楷体_GB2312" w:eastAsia="楷体_GB2312" w:cs="楷体_GB2312"/>
          <w:b/>
          <w:bCs/>
          <w:color w:val="auto"/>
          <w:spacing w:val="0"/>
          <w:kern w:val="0"/>
          <w:sz w:val="32"/>
          <w:szCs w:val="32"/>
          <w:highlight w:val="none"/>
          <w:u w:val="none"/>
          <w:lang w:val="en-US" w:eastAsia="zh-CN" w:bidi="ar-SA"/>
        </w:rPr>
        <w:t>三</w:t>
      </w:r>
      <w:r>
        <w:rPr>
          <w:rFonts w:hint="eastAsia" w:ascii="楷体_GB2312" w:hAnsi="楷体_GB2312" w:eastAsia="楷体_GB2312" w:cs="楷体_GB2312"/>
          <w:b/>
          <w:bCs/>
          <w:color w:val="auto"/>
          <w:spacing w:val="0"/>
          <w:kern w:val="0"/>
          <w:sz w:val="32"/>
          <w:szCs w:val="32"/>
          <w:highlight w:val="none"/>
          <w:u w:val="none"/>
          <w:lang w:val="zh-CN" w:eastAsia="zh-CN" w:bidi="ar-SA"/>
        </w:rPr>
        <w:t>）完善理赔服务机制。</w:t>
      </w:r>
      <w:r>
        <w:rPr>
          <w:rFonts w:hint="eastAsia" w:ascii="仿宋_GB2312" w:hAnsi="仿宋_GB2312" w:eastAsia="仿宋_GB2312" w:cs="仿宋_GB2312"/>
          <w:color w:val="auto"/>
          <w:spacing w:val="0"/>
          <w:sz w:val="32"/>
          <w:szCs w:val="32"/>
          <w:highlight w:val="none"/>
          <w:u w:val="none"/>
        </w:rPr>
        <w:t>承保机构</w:t>
      </w:r>
      <w:r>
        <w:rPr>
          <w:rFonts w:hint="eastAsia" w:ascii="仿宋_GB2312" w:hAnsi="仿宋_GB2312" w:eastAsia="仿宋_GB2312" w:cs="仿宋_GB2312"/>
          <w:color w:val="auto"/>
          <w:spacing w:val="0"/>
          <w:sz w:val="32"/>
          <w:szCs w:val="32"/>
          <w:highlight w:val="none"/>
          <w:u w:val="none"/>
          <w:lang w:val="en-US" w:eastAsia="zh-CN"/>
        </w:rPr>
        <w:t>应</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严格</w:t>
      </w:r>
      <w:bookmarkStart w:id="17" w:name="OLE_LINK5"/>
      <w:r>
        <w:rPr>
          <w:rFonts w:hint="eastAsia" w:ascii="仿宋_GB2312" w:hAnsi="仿宋_GB2312" w:eastAsia="仿宋_GB2312" w:cs="仿宋_GB2312"/>
          <w:b w:val="0"/>
          <w:bCs w:val="0"/>
          <w:color w:val="auto"/>
          <w:spacing w:val="0"/>
          <w:kern w:val="2"/>
          <w:sz w:val="32"/>
          <w:szCs w:val="32"/>
          <w:highlight w:val="none"/>
          <w:u w:val="none"/>
          <w:lang w:val="en-US" w:eastAsia="zh-CN" w:bidi="ar-SA"/>
        </w:rPr>
        <w:t>按照法律规定和合同约定及时赔偿保险金</w:t>
      </w:r>
      <w:bookmarkEnd w:id="17"/>
      <w:r>
        <w:rPr>
          <w:rFonts w:hint="eastAsia" w:ascii="仿宋_GB2312" w:hAnsi="仿宋_GB2312" w:eastAsia="仿宋_GB2312" w:cs="仿宋_GB2312"/>
          <w:b w:val="0"/>
          <w:bCs w:val="0"/>
          <w:color w:val="auto"/>
          <w:spacing w:val="0"/>
          <w:kern w:val="2"/>
          <w:sz w:val="32"/>
          <w:szCs w:val="32"/>
          <w:highlight w:val="none"/>
          <w:u w:val="none"/>
          <w:lang w:val="en-US" w:eastAsia="zh-CN" w:bidi="ar-SA"/>
        </w:rPr>
        <w:t>，</w:t>
      </w:r>
      <w:r>
        <w:rPr>
          <w:rFonts w:hint="eastAsia" w:ascii="仿宋_GB2312" w:hAnsi="仿宋_GB2312" w:eastAsia="仿宋_GB2312" w:cs="仿宋_GB2312"/>
          <w:color w:val="auto"/>
          <w:spacing w:val="0"/>
          <w:sz w:val="32"/>
          <w:szCs w:val="32"/>
          <w:highlight w:val="none"/>
          <w:u w:val="none"/>
          <w:lang w:val="en-US" w:eastAsia="zh-CN"/>
        </w:rPr>
        <w:t>需优化报案、查勘、定损、赔付全流程，设置快速理赔通道，明确小额案件的即时赔付时限，提升理赔服务效率，并建立快速理赔机制和预付赔款机制，在事故发生后严格按照法律规定和合同约定快速支付或先行支付已确定的赔偿保险金</w:t>
      </w:r>
      <w:r>
        <w:rPr>
          <w:rFonts w:hint="eastAsia" w:ascii="仿宋_GB2312" w:hAnsi="仿宋_GB2312" w:eastAsia="仿宋_GB2312" w:cs="仿宋_GB2312"/>
          <w:color w:val="auto"/>
          <w:spacing w:val="0"/>
          <w:sz w:val="32"/>
          <w:szCs w:val="32"/>
          <w:highlight w:val="none"/>
          <w:u w:val="none"/>
          <w:lang w:val="zh-CN"/>
        </w:rPr>
        <w:t>；合理布局服务网点，公开</w:t>
      </w:r>
      <w:r>
        <w:rPr>
          <w:rFonts w:hint="eastAsia" w:ascii="仿宋_GB2312" w:hAnsi="仿宋_GB2312" w:eastAsia="仿宋_GB2312" w:cs="仿宋_GB2312"/>
          <w:color w:val="auto"/>
          <w:spacing w:val="0"/>
          <w:sz w:val="32"/>
          <w:szCs w:val="32"/>
          <w:highlight w:val="none"/>
          <w:u w:val="none"/>
        </w:rPr>
        <w:t>理赔</w:t>
      </w:r>
      <w:r>
        <w:rPr>
          <w:rFonts w:hint="eastAsia" w:ascii="仿宋_GB2312" w:hAnsi="仿宋_GB2312" w:eastAsia="仿宋_GB2312" w:cs="仿宋_GB2312"/>
          <w:color w:val="auto"/>
          <w:spacing w:val="0"/>
          <w:sz w:val="32"/>
          <w:szCs w:val="32"/>
          <w:highlight w:val="none"/>
          <w:u w:val="none"/>
          <w:lang w:val="zh-CN"/>
        </w:rPr>
        <w:t>报案电话，并向投保企业公示，</w:t>
      </w:r>
      <w:bookmarkStart w:id="18" w:name="OLE_LINK27"/>
      <w:r>
        <w:rPr>
          <w:rFonts w:hint="eastAsia" w:ascii="仿宋_GB2312" w:hAnsi="仿宋_GB2312" w:eastAsia="仿宋_GB2312" w:cs="仿宋_GB2312"/>
          <w:color w:val="auto"/>
          <w:spacing w:val="0"/>
          <w:sz w:val="32"/>
          <w:szCs w:val="32"/>
          <w:highlight w:val="none"/>
          <w:u w:val="none"/>
          <w:lang w:val="zh-CN"/>
        </w:rPr>
        <w:t>严格落实全天候</w:t>
      </w:r>
      <w:r>
        <w:rPr>
          <w:rFonts w:hint="eastAsia" w:ascii="仿宋_GB2312" w:hAnsi="仿宋_GB2312" w:eastAsia="仿宋_GB2312" w:cs="仿宋_GB2312"/>
          <w:color w:val="auto"/>
          <w:spacing w:val="0"/>
          <w:sz w:val="32"/>
          <w:szCs w:val="32"/>
          <w:highlight w:val="none"/>
          <w:u w:val="none"/>
        </w:rPr>
        <w:t>受理报案</w:t>
      </w:r>
      <w:r>
        <w:rPr>
          <w:rFonts w:hint="eastAsia" w:ascii="仿宋_GB2312" w:hAnsi="仿宋_GB2312" w:eastAsia="仿宋_GB2312" w:cs="仿宋_GB2312"/>
          <w:color w:val="auto"/>
          <w:spacing w:val="0"/>
          <w:sz w:val="32"/>
          <w:szCs w:val="32"/>
          <w:highlight w:val="none"/>
          <w:u w:val="none"/>
          <w:lang w:val="zh-CN"/>
        </w:rPr>
        <w:t>制度</w:t>
      </w:r>
      <w:bookmarkEnd w:id="18"/>
      <w:r>
        <w:rPr>
          <w:rFonts w:hint="eastAsia" w:ascii="仿宋_GB2312" w:hAnsi="仿宋_GB2312" w:eastAsia="仿宋_GB2312" w:cs="仿宋_GB2312"/>
          <w:color w:val="auto"/>
          <w:spacing w:val="0"/>
          <w:sz w:val="32"/>
          <w:szCs w:val="32"/>
          <w:highlight w:val="none"/>
          <w:u w:val="none"/>
          <w:lang w:val="zh-CN"/>
        </w:rPr>
        <w:t>，及时提供出险理赔服务；对</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lang w:val="zh-CN"/>
        </w:rPr>
        <w:t>安责险发生的经济赔偿，不得影响依法请求其他种类保险赔偿的权利。</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各级交通运输部门应为生产安全事故的认定、保险机构赔偿保险金或先行支付赔偿保险金等有关工作提供必要的条件支持。</w:t>
      </w:r>
    </w:p>
    <w:p w14:paraId="3EA206C2">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lang w:val="en-US" w:eastAsia="zh-CN"/>
        </w:rPr>
      </w:pPr>
      <w:r>
        <w:rPr>
          <w:rFonts w:hint="default" w:ascii="黑体" w:hAnsi="黑体" w:eastAsia="黑体" w:cs="黑体"/>
          <w:color w:val="auto"/>
          <w:spacing w:val="0"/>
          <w:sz w:val="32"/>
          <w:szCs w:val="32"/>
          <w:highlight w:val="none"/>
          <w:u w:val="none"/>
          <w:lang w:val="zh-CN"/>
        </w:rPr>
        <w:t>五、</w:t>
      </w:r>
      <w:r>
        <w:rPr>
          <w:rFonts w:hint="eastAsia" w:ascii="黑体" w:hAnsi="黑体" w:eastAsia="黑体" w:cs="黑体"/>
          <w:color w:val="auto"/>
          <w:spacing w:val="0"/>
          <w:sz w:val="32"/>
          <w:szCs w:val="32"/>
          <w:highlight w:val="none"/>
          <w:u w:val="none"/>
          <w:lang w:val="en-US" w:eastAsia="zh-CN"/>
        </w:rPr>
        <w:t>监督与管理</w:t>
      </w:r>
    </w:p>
    <w:p w14:paraId="5E1632AF">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楷体_GB2312" w:hAnsi="楷体_GB2312" w:eastAsia="楷体_GB2312" w:cs="楷体_GB2312"/>
          <w:b/>
          <w:bCs/>
          <w:color w:val="auto"/>
          <w:spacing w:val="0"/>
          <w:sz w:val="32"/>
          <w:szCs w:val="32"/>
          <w:highlight w:val="none"/>
          <w:u w:val="none"/>
          <w:lang w:val="zh-CN"/>
        </w:rPr>
        <w:t>（一）</w:t>
      </w:r>
      <w:r>
        <w:rPr>
          <w:rFonts w:hint="eastAsia" w:ascii="楷体_GB2312" w:hAnsi="楷体_GB2312" w:eastAsia="楷体_GB2312" w:cs="楷体_GB2312"/>
          <w:b/>
          <w:bCs/>
          <w:color w:val="auto"/>
          <w:spacing w:val="0"/>
          <w:sz w:val="32"/>
          <w:szCs w:val="32"/>
          <w:highlight w:val="none"/>
          <w:u w:val="none"/>
        </w:rPr>
        <w:t>加强</w:t>
      </w:r>
      <w:r>
        <w:rPr>
          <w:rFonts w:hint="eastAsia" w:ascii="楷体_GB2312" w:hAnsi="楷体_GB2312" w:eastAsia="楷体_GB2312" w:cs="楷体_GB2312"/>
          <w:b/>
          <w:bCs/>
          <w:color w:val="auto"/>
          <w:spacing w:val="0"/>
          <w:sz w:val="32"/>
          <w:szCs w:val="32"/>
          <w:highlight w:val="none"/>
          <w:u w:val="none"/>
          <w:lang w:val="en-US" w:eastAsia="zh-CN"/>
        </w:rPr>
        <w:t>政府监管</w:t>
      </w:r>
      <w:r>
        <w:rPr>
          <w:rFonts w:hint="eastAsia" w:ascii="楷体_GB2312" w:hAnsi="楷体_GB2312" w:eastAsia="楷体_GB2312" w:cs="楷体_GB2312"/>
          <w:b/>
          <w:bCs/>
          <w:color w:val="auto"/>
          <w:spacing w:val="0"/>
          <w:sz w:val="32"/>
          <w:szCs w:val="32"/>
          <w:highlight w:val="none"/>
          <w:u w:val="none"/>
          <w:lang w:val="zh-CN"/>
        </w:rPr>
        <w:t>。</w:t>
      </w:r>
      <w:r>
        <w:rPr>
          <w:rFonts w:hint="eastAsia" w:ascii="仿宋_GB2312" w:hAnsi="仿宋_GB2312" w:eastAsia="仿宋_GB2312" w:cs="仿宋_GB2312"/>
          <w:color w:val="auto"/>
          <w:spacing w:val="0"/>
          <w:kern w:val="2"/>
          <w:sz w:val="32"/>
          <w:szCs w:val="32"/>
          <w:highlight w:val="none"/>
          <w:u w:val="none"/>
          <w:lang w:val="en-US"/>
        </w:rPr>
        <w:t>各级</w:t>
      </w:r>
      <w:r>
        <w:rPr>
          <w:rFonts w:hint="eastAsia" w:ascii="仿宋_GB2312" w:hAnsi="仿宋_GB2312" w:eastAsia="仿宋_GB2312" w:cs="仿宋_GB2312"/>
          <w:color w:val="auto"/>
          <w:spacing w:val="0"/>
          <w:kern w:val="2"/>
          <w:sz w:val="32"/>
          <w:szCs w:val="32"/>
          <w:highlight w:val="none"/>
          <w:u w:val="none"/>
          <w:lang w:val="en-US" w:eastAsia="zh-CN"/>
        </w:rPr>
        <w:t>交通运输</w:t>
      </w:r>
      <w:r>
        <w:rPr>
          <w:rFonts w:hint="eastAsia" w:ascii="仿宋_GB2312" w:hAnsi="仿宋_GB2312" w:eastAsia="仿宋_GB2312" w:cs="仿宋_GB2312"/>
          <w:color w:val="auto"/>
          <w:spacing w:val="0"/>
          <w:kern w:val="2"/>
          <w:sz w:val="32"/>
          <w:szCs w:val="32"/>
          <w:highlight w:val="none"/>
          <w:u w:val="none"/>
        </w:rPr>
        <w:t>部门</w:t>
      </w:r>
      <w:r>
        <w:rPr>
          <w:rFonts w:hint="eastAsia" w:ascii="仿宋_GB2312" w:hAnsi="仿宋_GB2312" w:eastAsia="仿宋_GB2312" w:cs="仿宋_GB2312"/>
          <w:color w:val="auto"/>
          <w:spacing w:val="0"/>
          <w:kern w:val="2"/>
          <w:sz w:val="32"/>
          <w:szCs w:val="32"/>
          <w:highlight w:val="none"/>
          <w:u w:val="none"/>
          <w:lang w:val="en-US" w:eastAsia="zh-CN"/>
        </w:rPr>
        <w:t>和</w:t>
      </w:r>
      <w:r>
        <w:rPr>
          <w:rFonts w:hint="eastAsia" w:ascii="仿宋_GB2312" w:hAnsi="仿宋_GB2312" w:eastAsia="仿宋_GB2312" w:cs="仿宋_GB2312"/>
          <w:color w:val="auto"/>
          <w:spacing w:val="0"/>
          <w:kern w:val="2"/>
          <w:sz w:val="32"/>
          <w:szCs w:val="32"/>
          <w:highlight w:val="none"/>
          <w:u w:val="none"/>
          <w:lang w:eastAsia="zh-CN"/>
        </w:rPr>
        <w:t>金融监管部门</w:t>
      </w:r>
      <w:r>
        <w:rPr>
          <w:rFonts w:hint="eastAsia" w:ascii="仿宋_GB2312" w:hAnsi="仿宋_GB2312" w:eastAsia="仿宋_GB2312" w:cs="仿宋_GB2312"/>
          <w:color w:val="auto"/>
          <w:spacing w:val="0"/>
          <w:kern w:val="2"/>
          <w:sz w:val="32"/>
          <w:szCs w:val="32"/>
          <w:highlight w:val="none"/>
          <w:u w:val="none"/>
        </w:rPr>
        <w:t>应</w:t>
      </w:r>
      <w:r>
        <w:rPr>
          <w:rFonts w:hint="eastAsia" w:ascii="仿宋_GB2312" w:hAnsi="仿宋_GB2312" w:eastAsia="仿宋_GB2312" w:cs="仿宋_GB2312"/>
          <w:color w:val="auto"/>
          <w:spacing w:val="0"/>
          <w:kern w:val="2"/>
          <w:sz w:val="32"/>
          <w:szCs w:val="32"/>
          <w:highlight w:val="none"/>
          <w:u w:val="none"/>
          <w:lang w:val="en-US" w:eastAsia="zh-CN"/>
        </w:rPr>
        <w:t>根据职责</w:t>
      </w:r>
      <w:r>
        <w:rPr>
          <w:rFonts w:hint="eastAsia" w:ascii="仿宋_GB2312" w:hAnsi="仿宋_GB2312" w:eastAsia="仿宋_GB2312" w:cs="仿宋_GB2312"/>
          <w:color w:val="auto"/>
          <w:spacing w:val="0"/>
          <w:kern w:val="2"/>
          <w:sz w:val="32"/>
          <w:szCs w:val="32"/>
          <w:highlight w:val="none"/>
          <w:u w:val="none"/>
        </w:rPr>
        <w:t>加强对</w:t>
      </w:r>
      <w:r>
        <w:rPr>
          <w:rFonts w:hint="eastAsia" w:ascii="仿宋_GB2312" w:hAnsi="仿宋_GB2312" w:eastAsia="仿宋_GB2312" w:cs="仿宋_GB2312"/>
          <w:color w:val="auto"/>
          <w:spacing w:val="0"/>
          <w:kern w:val="2"/>
          <w:sz w:val="32"/>
          <w:szCs w:val="32"/>
          <w:highlight w:val="none"/>
          <w:u w:val="none"/>
          <w:lang w:val="en-US" w:eastAsia="zh-CN"/>
        </w:rPr>
        <w:t>承保机构依法承保、开展事故预防服务、事故预防服务费用投入等行为的监督管理，建立安责险信息共享机制，对交通运输领域投保单位、安全生产技术服务机构信息、保险机构承保赔款信息、事故预防服务信息、事故预防服务费用支出信息、理赔等进行数据交互共享。各级交通运输部门应将安责险制度实施情况列入有关部门安全生产工作重点并督促落实到位，在以下业务环节加强监管：</w:t>
      </w:r>
    </w:p>
    <w:p w14:paraId="55937C4B">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1.公路水运（含新、改、扩及养护工程）</w:t>
      </w:r>
      <w:r>
        <w:rPr>
          <w:rFonts w:hint="eastAsia" w:ascii="仿宋_GB2312" w:hAnsi="仿宋_GB2312" w:eastAsia="仿宋_GB2312" w:cs="仿宋_GB2312"/>
          <w:color w:val="auto"/>
          <w:spacing w:val="0"/>
          <w:sz w:val="32"/>
          <w:szCs w:val="32"/>
          <w:highlight w:val="none"/>
          <w:u w:val="none"/>
          <w:lang w:val="en-US" w:eastAsia="zh-CN"/>
        </w:rPr>
        <w:t>及地方铁路工程建设施工</w:t>
      </w:r>
      <w:r>
        <w:rPr>
          <w:rFonts w:hint="eastAsia" w:ascii="仿宋_GB2312" w:hAnsi="仿宋_GB2312" w:eastAsia="仿宋_GB2312" w:cs="仿宋_GB2312"/>
          <w:color w:val="auto"/>
          <w:spacing w:val="0"/>
          <w:kern w:val="2"/>
          <w:sz w:val="32"/>
          <w:szCs w:val="32"/>
          <w:highlight w:val="none"/>
          <w:u w:val="none"/>
          <w:lang w:val="en-US" w:eastAsia="zh-CN"/>
        </w:rPr>
        <w:t>办理质量安全报监环节，在办理施工许可或质量安全监督手续前，提交安责险保单或有效投保凭证。未按规定投保的，不予办理施工许可或质量安全监督手续；</w:t>
      </w:r>
    </w:p>
    <w:p w14:paraId="4B457EF5">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2.道路运输行业领域道路旅客运输和危险货物道路运输行业领域企业经营许可审批、年度质量信誉考核及车辆年审环节；</w:t>
      </w:r>
    </w:p>
    <w:p w14:paraId="54106921">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3.水路运输行业领域旅客和危险货物港口作业企业营运许可审批、经营资质年度核查、船舶年度核查环节。</w:t>
      </w:r>
    </w:p>
    <w:p w14:paraId="37FEDFEF">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楷体_GB2312" w:hAnsi="楷体_GB2312" w:eastAsia="楷体_GB2312" w:cs="楷体_GB2312"/>
          <w:b/>
          <w:bCs/>
          <w:color w:val="auto"/>
          <w:spacing w:val="0"/>
          <w:sz w:val="32"/>
          <w:szCs w:val="32"/>
          <w:highlight w:val="none"/>
          <w:u w:val="none"/>
          <w:lang w:val="en-US" w:eastAsia="zh-CN"/>
        </w:rPr>
        <w:t>（二）加强违法违规行为处罚。</w:t>
      </w:r>
      <w:r>
        <w:rPr>
          <w:rFonts w:hint="eastAsia" w:ascii="仿宋_GB2312" w:hAnsi="仿宋_GB2312" w:eastAsia="仿宋_GB2312" w:cs="仿宋_GB2312"/>
          <w:color w:val="auto"/>
          <w:spacing w:val="0"/>
          <w:kern w:val="2"/>
          <w:sz w:val="32"/>
          <w:szCs w:val="32"/>
          <w:highlight w:val="none"/>
          <w:u w:val="none"/>
          <w:lang w:val="en-US" w:eastAsia="zh-CN"/>
        </w:rPr>
        <w:t>保险机构在经营安责险业务中，违反本办法相关规定，有下列情形之一的，金融监管部门可以依法采取监管谈话、限期整改、行政处罚等监管措施。各级交通运输部门发现保险机构开展事故预防服务有下列有关情形的，应当及时通报金融监管部门，并可以视严重程度和危害程度采取约谈、限期整改、向社会发布风险提示公告等措施，存在违法违规行为的，依法依规予以处罚：</w:t>
      </w:r>
    </w:p>
    <w:p w14:paraId="5320FC64">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1.违反《中华人民共和国保险法》规定无正当理由拖延承保、拒绝承保、解除安责险合同的；</w:t>
      </w:r>
    </w:p>
    <w:p w14:paraId="0A2F41CD">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2.为谋取交易机会或竞争优势，存在超出佣金比例上限、返还手续费、恶意低价承保、商业贿赂、虚假宣传等扰乱市场秩序行为的；</w:t>
      </w:r>
    </w:p>
    <w:p w14:paraId="476EFB84">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3.以故意夸大事故隐患引诱生产经营单位与其签订安责险合同的；</w:t>
      </w:r>
    </w:p>
    <w:p w14:paraId="485B63C4">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4.未依据合同约定及时支付或预付赔偿保险金的；</w:t>
      </w:r>
    </w:p>
    <w:p w14:paraId="219CE56F">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5.未依据相关规定或合同约定足额投入事故预防费用的，事故预防服务费用管理和使用不规范的；</w:t>
      </w:r>
    </w:p>
    <w:p w14:paraId="2340ECC8">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6.未按相关规定或合同约定开展事故预防服务，无正当理由拖欠委托机构事故预防服务费用的；</w:t>
      </w:r>
    </w:p>
    <w:p w14:paraId="5E4355CF">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7.不如实提供安责险相关业务数据或档案资料的；</w:t>
      </w:r>
    </w:p>
    <w:p w14:paraId="0D723D39">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8.泄露被保险人职工信息或技术秘密、商业秘密的；</w:t>
      </w:r>
    </w:p>
    <w:p w14:paraId="73585E0B">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en-US" w:eastAsia="zh-CN"/>
        </w:rPr>
        <w:t>9.违反相关法律、行政法规的其他情形。</w:t>
      </w:r>
    </w:p>
    <w:p w14:paraId="652B5698">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color w:val="auto"/>
          <w:spacing w:val="0"/>
          <w:kern w:val="2"/>
          <w:sz w:val="32"/>
          <w:szCs w:val="32"/>
          <w:highlight w:val="none"/>
          <w:u w:val="none"/>
          <w:lang w:val="en-US" w:eastAsia="zh-CN"/>
        </w:rPr>
      </w:pPr>
      <w:r>
        <w:rPr>
          <w:rFonts w:hint="eastAsia" w:ascii="仿宋_GB2312" w:hAnsi="仿宋_GB2312" w:eastAsia="仿宋_GB2312" w:cs="仿宋_GB2312"/>
          <w:color w:val="auto"/>
          <w:spacing w:val="0"/>
          <w:kern w:val="2"/>
          <w:sz w:val="32"/>
          <w:szCs w:val="32"/>
          <w:highlight w:val="none"/>
          <w:u w:val="none"/>
          <w:lang w:val="zh-CN"/>
        </w:rPr>
        <w:t>各级</w:t>
      </w:r>
      <w:r>
        <w:rPr>
          <w:rFonts w:hint="eastAsia" w:ascii="仿宋_GB2312" w:hAnsi="仿宋_GB2312" w:eastAsia="仿宋_GB2312" w:cs="仿宋_GB2312"/>
          <w:color w:val="auto"/>
          <w:spacing w:val="0"/>
          <w:kern w:val="2"/>
          <w:sz w:val="32"/>
          <w:szCs w:val="32"/>
          <w:highlight w:val="none"/>
          <w:u w:val="none"/>
          <w:lang w:val="en-US" w:eastAsia="zh-CN"/>
        </w:rPr>
        <w:t>交通运输</w:t>
      </w:r>
      <w:r>
        <w:rPr>
          <w:rFonts w:hint="eastAsia" w:ascii="仿宋_GB2312" w:hAnsi="仿宋_GB2312" w:eastAsia="仿宋_GB2312" w:cs="仿宋_GB2312"/>
          <w:color w:val="auto"/>
          <w:spacing w:val="0"/>
          <w:kern w:val="2"/>
          <w:sz w:val="32"/>
          <w:szCs w:val="32"/>
          <w:highlight w:val="none"/>
          <w:u w:val="none"/>
        </w:rPr>
        <w:t>部门应</w:t>
      </w:r>
      <w:r>
        <w:rPr>
          <w:rFonts w:hint="eastAsia" w:ascii="仿宋_GB2312" w:hAnsi="仿宋_GB2312" w:eastAsia="仿宋_GB2312" w:cs="仿宋_GB2312"/>
          <w:color w:val="auto"/>
          <w:spacing w:val="0"/>
          <w:kern w:val="2"/>
          <w:sz w:val="32"/>
          <w:szCs w:val="32"/>
          <w:highlight w:val="none"/>
          <w:u w:val="none"/>
          <w:lang w:val="en-US" w:eastAsia="zh-CN"/>
        </w:rPr>
        <w:t>加强对企业依法投保、</w:t>
      </w:r>
      <w:bookmarkStart w:id="19" w:name="OLE_LINK3"/>
      <w:r>
        <w:rPr>
          <w:rFonts w:hint="eastAsia" w:ascii="仿宋_GB2312" w:hAnsi="仿宋_GB2312" w:eastAsia="仿宋_GB2312" w:cs="仿宋_GB2312"/>
          <w:color w:val="auto"/>
          <w:spacing w:val="0"/>
          <w:kern w:val="2"/>
          <w:sz w:val="32"/>
          <w:szCs w:val="32"/>
          <w:highlight w:val="none"/>
          <w:u w:val="none"/>
          <w:lang w:val="en-US" w:eastAsia="zh-CN"/>
        </w:rPr>
        <w:t>配合</w:t>
      </w:r>
      <w:bookmarkEnd w:id="19"/>
      <w:r>
        <w:rPr>
          <w:rFonts w:hint="eastAsia" w:ascii="仿宋_GB2312" w:hAnsi="仿宋_GB2312" w:eastAsia="仿宋_GB2312" w:cs="仿宋_GB2312"/>
          <w:color w:val="auto"/>
          <w:spacing w:val="0"/>
          <w:kern w:val="2"/>
          <w:sz w:val="32"/>
          <w:szCs w:val="32"/>
          <w:highlight w:val="none"/>
          <w:u w:val="none"/>
          <w:lang w:val="en-US" w:eastAsia="zh-CN"/>
        </w:rPr>
        <w:t>开展事故预防服务等行为的监督管理，</w:t>
      </w:r>
      <w:r>
        <w:rPr>
          <w:rFonts w:hint="eastAsia" w:ascii="仿宋_GB2312" w:hAnsi="仿宋_GB2312" w:eastAsia="仿宋_GB2312" w:cs="仿宋_GB2312"/>
          <w:color w:val="auto"/>
          <w:spacing w:val="0"/>
          <w:sz w:val="32"/>
          <w:szCs w:val="32"/>
          <w:highlight w:val="none"/>
          <w:u w:val="none"/>
        </w:rPr>
        <w:t>对存在应保未保、</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未足额投保、</w:t>
      </w:r>
      <w:r>
        <w:rPr>
          <w:rFonts w:hint="eastAsia" w:ascii="仿宋_GB2312" w:hAnsi="仿宋_GB2312" w:eastAsia="仿宋_GB2312" w:cs="仿宋_GB2312"/>
          <w:color w:val="auto"/>
          <w:spacing w:val="0"/>
          <w:sz w:val="32"/>
          <w:szCs w:val="32"/>
          <w:highlight w:val="none"/>
          <w:u w:val="none"/>
          <w:lang w:val="en-US" w:eastAsia="zh-CN"/>
        </w:rPr>
        <w:t>选取未</w:t>
      </w:r>
      <w:r>
        <w:rPr>
          <w:rFonts w:hint="eastAsia" w:ascii="仿宋_GB2312" w:hAnsi="仿宋_GB2312" w:eastAsia="仿宋_GB2312" w:cs="仿宋_GB2312"/>
          <w:color w:val="auto"/>
          <w:spacing w:val="0"/>
          <w:sz w:val="32"/>
          <w:szCs w:val="32"/>
          <w:highlight w:val="none"/>
          <w:u w:val="none"/>
          <w:lang w:eastAsia="zh-CN"/>
        </w:rPr>
        <w:t>按规定向</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lang w:eastAsia="zh-CN"/>
        </w:rPr>
        <w:t>部门报送信息</w:t>
      </w:r>
      <w:r>
        <w:rPr>
          <w:rFonts w:hint="eastAsia" w:ascii="仿宋_GB2312" w:hAnsi="仿宋_GB2312" w:eastAsia="仿宋_GB2312" w:cs="仿宋_GB2312"/>
          <w:color w:val="auto"/>
          <w:spacing w:val="0"/>
          <w:sz w:val="32"/>
          <w:szCs w:val="32"/>
          <w:highlight w:val="none"/>
          <w:u w:val="none"/>
          <w:lang w:val="en-US" w:eastAsia="zh-CN"/>
        </w:rPr>
        <w:t>的保险机构投保</w:t>
      </w:r>
      <w:r>
        <w:rPr>
          <w:rFonts w:hint="eastAsia" w:ascii="仿宋_GB2312" w:hAnsi="仿宋_GB2312" w:eastAsia="仿宋_GB2312" w:cs="仿宋_GB2312"/>
          <w:color w:val="auto"/>
          <w:spacing w:val="0"/>
          <w:sz w:val="32"/>
          <w:szCs w:val="32"/>
          <w:highlight w:val="none"/>
          <w:u w:val="none"/>
          <w:lang w:eastAsia="zh-CN"/>
        </w:rPr>
        <w:t>、选取被发布风险提示公告的保险机构投保、</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事故预防服务不予配合等行为</w:t>
      </w:r>
      <w:r>
        <w:rPr>
          <w:rFonts w:hint="eastAsia" w:ascii="仿宋_GB2312" w:hAnsi="仿宋_GB2312" w:eastAsia="仿宋_GB2312" w:cs="仿宋_GB2312"/>
          <w:color w:val="auto"/>
          <w:spacing w:val="0"/>
          <w:sz w:val="32"/>
          <w:szCs w:val="32"/>
          <w:highlight w:val="none"/>
          <w:u w:val="none"/>
        </w:rPr>
        <w:t>的企业，</w:t>
      </w:r>
      <w:r>
        <w:rPr>
          <w:rFonts w:hint="eastAsia" w:ascii="仿宋_GB2312" w:hAnsi="仿宋_GB2312" w:eastAsia="仿宋_GB2312" w:cs="仿宋_GB2312"/>
          <w:color w:val="auto"/>
          <w:spacing w:val="0"/>
          <w:sz w:val="32"/>
          <w:szCs w:val="32"/>
          <w:highlight w:val="none"/>
          <w:u w:val="none"/>
          <w:lang w:val="en-US" w:eastAsia="zh-CN"/>
        </w:rPr>
        <w:t>采取</w:t>
      </w:r>
      <w:r>
        <w:rPr>
          <w:rFonts w:hint="eastAsia" w:ascii="仿宋_GB2312" w:hAnsi="仿宋_GB2312" w:eastAsia="仿宋_GB2312" w:cs="仿宋_GB2312"/>
          <w:color w:val="auto"/>
          <w:spacing w:val="0"/>
          <w:sz w:val="32"/>
          <w:szCs w:val="32"/>
          <w:highlight w:val="none"/>
          <w:u w:val="none"/>
        </w:rPr>
        <w:t>实施</w:t>
      </w:r>
      <w:r>
        <w:rPr>
          <w:rFonts w:hint="eastAsia" w:ascii="仿宋_GB2312" w:hAnsi="仿宋_GB2312" w:eastAsia="仿宋_GB2312" w:cs="仿宋_GB2312"/>
          <w:color w:val="auto"/>
          <w:spacing w:val="0"/>
          <w:sz w:val="32"/>
          <w:szCs w:val="32"/>
          <w:highlight w:val="none"/>
          <w:u w:val="none"/>
          <w:lang w:val="en-US" w:eastAsia="zh-CN"/>
        </w:rPr>
        <w:t>差别</w:t>
      </w:r>
      <w:r>
        <w:rPr>
          <w:rFonts w:hint="eastAsia" w:ascii="仿宋_GB2312" w:hAnsi="仿宋_GB2312" w:eastAsia="仿宋_GB2312" w:cs="仿宋_GB2312"/>
          <w:color w:val="auto"/>
          <w:spacing w:val="0"/>
          <w:sz w:val="32"/>
          <w:szCs w:val="32"/>
          <w:highlight w:val="none"/>
          <w:u w:val="none"/>
        </w:rPr>
        <w:t>化监管</w:t>
      </w:r>
      <w:r>
        <w:rPr>
          <w:rFonts w:hint="eastAsia"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color w:val="auto"/>
          <w:spacing w:val="0"/>
          <w:sz w:val="32"/>
          <w:szCs w:val="32"/>
          <w:highlight w:val="none"/>
          <w:u w:val="none"/>
          <w:lang w:val="en-US" w:eastAsia="zh-CN"/>
        </w:rPr>
        <w:t>提高</w:t>
      </w:r>
      <w:r>
        <w:rPr>
          <w:rFonts w:hint="eastAsia" w:ascii="仿宋_GB2312" w:hAnsi="仿宋_GB2312" w:eastAsia="仿宋_GB2312" w:cs="仿宋_GB2312"/>
          <w:color w:val="auto"/>
          <w:spacing w:val="0"/>
          <w:sz w:val="32"/>
          <w:szCs w:val="32"/>
          <w:highlight w:val="none"/>
          <w:u w:val="none"/>
        </w:rPr>
        <w:t>安全生产监督检查和安全许可证动态核查频次</w:t>
      </w:r>
      <w:r>
        <w:rPr>
          <w:rFonts w:hint="eastAsia" w:ascii="仿宋_GB2312" w:hAnsi="仿宋_GB2312" w:eastAsia="仿宋_GB2312" w:cs="仿宋_GB2312"/>
          <w:color w:val="auto"/>
          <w:spacing w:val="0"/>
          <w:sz w:val="32"/>
          <w:szCs w:val="32"/>
          <w:highlight w:val="none"/>
          <w:u w:val="none"/>
          <w:lang w:val="en-US" w:eastAsia="zh-CN"/>
        </w:rPr>
        <w:t>等措施</w:t>
      </w:r>
      <w:r>
        <w:rPr>
          <w:rFonts w:hint="eastAsia" w:ascii="仿宋_GB2312" w:hAnsi="仿宋_GB2312" w:eastAsia="仿宋_GB2312" w:cs="仿宋_GB2312"/>
          <w:color w:val="auto"/>
          <w:spacing w:val="0"/>
          <w:sz w:val="32"/>
          <w:szCs w:val="32"/>
          <w:highlight w:val="none"/>
          <w:u w:val="none"/>
        </w:rPr>
        <w:t>，存在违法违规行为的</w:t>
      </w:r>
      <w:r>
        <w:rPr>
          <w:rFonts w:hint="eastAsia"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color w:val="auto"/>
          <w:spacing w:val="0"/>
          <w:sz w:val="32"/>
          <w:szCs w:val="32"/>
          <w:highlight w:val="none"/>
          <w:u w:val="none"/>
        </w:rPr>
        <w:t>依法依规</w:t>
      </w:r>
      <w:r>
        <w:rPr>
          <w:rFonts w:hint="eastAsia" w:ascii="仿宋_GB2312" w:hAnsi="仿宋_GB2312" w:eastAsia="仿宋_GB2312" w:cs="仿宋_GB2312"/>
          <w:color w:val="auto"/>
          <w:spacing w:val="0"/>
          <w:sz w:val="32"/>
          <w:szCs w:val="32"/>
          <w:highlight w:val="none"/>
          <w:u w:val="none"/>
          <w:lang w:val="en-US" w:eastAsia="zh-CN"/>
        </w:rPr>
        <w:t>予以处罚</w:t>
      </w:r>
      <w:r>
        <w:rPr>
          <w:rFonts w:hint="eastAsia" w:ascii="仿宋_GB2312" w:hAnsi="仿宋_GB2312" w:eastAsia="仿宋_GB2312" w:cs="仿宋_GB2312"/>
          <w:color w:val="auto"/>
          <w:spacing w:val="0"/>
          <w:kern w:val="2"/>
          <w:sz w:val="32"/>
          <w:szCs w:val="32"/>
          <w:highlight w:val="none"/>
          <w:u w:val="none"/>
          <w:lang w:val="en-US" w:eastAsia="zh-CN"/>
        </w:rPr>
        <w:t>。</w:t>
      </w:r>
    </w:p>
    <w:p w14:paraId="0C6A6524">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b w:val="0"/>
          <w:bCs w:val="0"/>
          <w:color w:val="auto"/>
          <w:spacing w:val="0"/>
          <w:kern w:val="2"/>
          <w:sz w:val="32"/>
          <w:szCs w:val="32"/>
          <w:highlight w:val="none"/>
          <w:u w:val="none"/>
          <w:lang w:val="zh-CN"/>
        </w:rPr>
      </w:pPr>
      <w:r>
        <w:rPr>
          <w:rFonts w:hint="eastAsia" w:ascii="仿宋_GB2312" w:hAnsi="仿宋_GB2312" w:eastAsia="仿宋_GB2312" w:cs="仿宋_GB2312"/>
          <w:color w:val="auto"/>
          <w:spacing w:val="0"/>
          <w:kern w:val="2"/>
          <w:sz w:val="32"/>
          <w:szCs w:val="32"/>
          <w:highlight w:val="none"/>
          <w:u w:val="none"/>
          <w:lang w:val="zh-CN"/>
        </w:rPr>
        <w:t>各级</w:t>
      </w:r>
      <w:r>
        <w:rPr>
          <w:rFonts w:hint="eastAsia" w:ascii="仿宋_GB2312" w:hAnsi="仿宋_GB2312" w:eastAsia="仿宋_GB2312" w:cs="仿宋_GB2312"/>
          <w:color w:val="auto"/>
          <w:spacing w:val="0"/>
          <w:kern w:val="2"/>
          <w:sz w:val="32"/>
          <w:szCs w:val="32"/>
          <w:highlight w:val="none"/>
          <w:u w:val="none"/>
          <w:lang w:val="en-US" w:eastAsia="zh-CN"/>
        </w:rPr>
        <w:t>交通运输</w:t>
      </w:r>
      <w:r>
        <w:rPr>
          <w:rFonts w:hint="eastAsia" w:ascii="仿宋_GB2312" w:hAnsi="仿宋_GB2312" w:eastAsia="仿宋_GB2312" w:cs="仿宋_GB2312"/>
          <w:color w:val="auto"/>
          <w:spacing w:val="0"/>
          <w:kern w:val="2"/>
          <w:sz w:val="32"/>
          <w:szCs w:val="32"/>
          <w:highlight w:val="none"/>
          <w:u w:val="none"/>
        </w:rPr>
        <w:t>部门应</w:t>
      </w:r>
      <w:r>
        <w:rPr>
          <w:rFonts w:hint="eastAsia" w:ascii="仿宋_GB2312" w:hAnsi="仿宋_GB2312" w:eastAsia="仿宋_GB2312" w:cs="仿宋_GB2312"/>
          <w:color w:val="auto"/>
          <w:spacing w:val="0"/>
          <w:kern w:val="2"/>
          <w:sz w:val="32"/>
          <w:szCs w:val="32"/>
          <w:highlight w:val="none"/>
          <w:u w:val="none"/>
          <w:lang w:val="en-US" w:eastAsia="zh-CN"/>
        </w:rPr>
        <w:t>加强对安全生产技术服务机构开展事故预防服务的监督管理，</w:t>
      </w:r>
      <w:r>
        <w:rPr>
          <w:rFonts w:hint="eastAsia" w:ascii="仿宋_GB2312" w:hAnsi="仿宋_GB2312" w:eastAsia="仿宋_GB2312" w:cs="仿宋_GB2312"/>
          <w:color w:val="auto"/>
          <w:spacing w:val="0"/>
          <w:sz w:val="32"/>
          <w:szCs w:val="32"/>
          <w:highlight w:val="none"/>
          <w:u w:val="none"/>
          <w:lang w:val="en-US" w:eastAsia="zh-CN"/>
        </w:rPr>
        <w:t>对存在未按合同约定开展事故预防服务、事故预防服务报告弄虚作假等行为的</w:t>
      </w:r>
      <w:r>
        <w:rPr>
          <w:rFonts w:hint="eastAsia" w:ascii="仿宋_GB2312" w:hAnsi="仿宋_GB2312" w:eastAsia="仿宋_GB2312" w:cs="仿宋_GB2312"/>
          <w:b w:val="0"/>
          <w:bCs w:val="0"/>
          <w:color w:val="auto"/>
          <w:spacing w:val="0"/>
          <w:kern w:val="2"/>
          <w:sz w:val="32"/>
          <w:szCs w:val="32"/>
          <w:highlight w:val="none"/>
          <w:u w:val="none"/>
          <w:lang w:val="en-US" w:eastAsia="zh-CN"/>
        </w:rPr>
        <w:t>安全生产技术服务机构</w:t>
      </w:r>
      <w:r>
        <w:rPr>
          <w:rFonts w:hint="eastAsia" w:ascii="仿宋_GB2312" w:hAnsi="仿宋_GB2312" w:eastAsia="仿宋_GB2312" w:cs="仿宋_GB2312"/>
          <w:b w:val="0"/>
          <w:bCs w:val="0"/>
          <w:color w:val="auto"/>
          <w:spacing w:val="0"/>
          <w:kern w:val="2"/>
          <w:sz w:val="32"/>
          <w:szCs w:val="32"/>
          <w:highlight w:val="none"/>
          <w:u w:val="none"/>
          <w:lang w:val="zh-CN"/>
        </w:rPr>
        <w:t>，采取约谈、限期整改等措施，违反相关法律法规的，依法追究其法律责任。</w:t>
      </w:r>
    </w:p>
    <w:p w14:paraId="58F041FF">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b w:val="0"/>
          <w:bCs w:val="0"/>
          <w:color w:val="FF0000"/>
          <w:spacing w:val="0"/>
          <w:kern w:val="2"/>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rPr>
        <w:t>各级</w:t>
      </w:r>
      <w:r>
        <w:rPr>
          <w:rFonts w:hint="eastAsia" w:ascii="仿宋_GB2312" w:hAnsi="仿宋_GB2312" w:eastAsia="仿宋_GB2312" w:cs="仿宋_GB2312"/>
          <w:color w:val="auto"/>
          <w:spacing w:val="0"/>
          <w:kern w:val="2"/>
          <w:sz w:val="32"/>
          <w:szCs w:val="32"/>
          <w:highlight w:val="none"/>
          <w:u w:val="none"/>
          <w:lang w:val="en-US" w:eastAsia="zh-CN"/>
        </w:rPr>
        <w:t>交通运输</w:t>
      </w:r>
      <w:r>
        <w:rPr>
          <w:rFonts w:hint="eastAsia" w:ascii="仿宋_GB2312" w:hAnsi="仿宋_GB2312" w:eastAsia="仿宋_GB2312" w:cs="仿宋_GB2312"/>
          <w:color w:val="auto"/>
          <w:spacing w:val="0"/>
          <w:kern w:val="2"/>
          <w:sz w:val="32"/>
          <w:szCs w:val="32"/>
          <w:highlight w:val="none"/>
          <w:u w:val="none"/>
        </w:rPr>
        <w:t>部门</w:t>
      </w:r>
      <w:r>
        <w:rPr>
          <w:rFonts w:hint="eastAsia" w:ascii="仿宋_GB2312" w:hAnsi="仿宋_GB2312" w:eastAsia="仿宋_GB2312" w:cs="仿宋_GB2312"/>
          <w:color w:val="auto"/>
          <w:spacing w:val="0"/>
          <w:sz w:val="32"/>
          <w:szCs w:val="32"/>
          <w:highlight w:val="none"/>
          <w:u w:val="none"/>
        </w:rPr>
        <w:t>和金融监管部门</w:t>
      </w:r>
      <w:r>
        <w:rPr>
          <w:rFonts w:hint="eastAsia" w:ascii="仿宋_GB2312" w:hAnsi="仿宋_GB2312" w:eastAsia="仿宋_GB2312" w:cs="仿宋_GB2312"/>
          <w:color w:val="auto"/>
          <w:spacing w:val="0"/>
          <w:sz w:val="32"/>
          <w:szCs w:val="32"/>
          <w:highlight w:val="none"/>
          <w:u w:val="none"/>
          <w:lang w:val="en-US" w:eastAsia="zh-CN"/>
        </w:rPr>
        <w:t>不得排斥、限制市场公平竞争或对市场份额进行分割、分配，不得违规干预交通运输安责险市场经营活动，不得违规挪用、占用事故预防服务费用。对发现监管过程中存在收取贿赂、滥用职权、玩忽职守、徇私舞弊的，省交通运输厅将会同</w:t>
      </w:r>
      <w:r>
        <w:rPr>
          <w:rFonts w:hint="eastAsia" w:ascii="仿宋_GB2312" w:hAnsi="仿宋_GB2312" w:eastAsia="仿宋_GB2312" w:cs="仿宋_GB2312"/>
          <w:b w:val="0"/>
          <w:bCs w:val="0"/>
          <w:color w:val="auto"/>
          <w:spacing w:val="0"/>
          <w:kern w:val="2"/>
          <w:sz w:val="32"/>
          <w:szCs w:val="32"/>
          <w:highlight w:val="none"/>
          <w:u w:val="none"/>
          <w:lang w:val="en-US" w:eastAsia="zh-CN" w:bidi="ar-SA"/>
        </w:rPr>
        <w:t>国家金融监督管理总局湖南监管局</w:t>
      </w:r>
      <w:r>
        <w:rPr>
          <w:rFonts w:hint="eastAsia" w:ascii="仿宋_GB2312" w:hAnsi="仿宋_GB2312" w:eastAsia="仿宋_GB2312" w:cs="仿宋_GB2312"/>
          <w:color w:val="auto"/>
          <w:spacing w:val="0"/>
          <w:sz w:val="32"/>
          <w:szCs w:val="32"/>
          <w:highlight w:val="none"/>
          <w:u w:val="none"/>
          <w:lang w:val="en-US" w:eastAsia="zh-CN"/>
        </w:rPr>
        <w:t>依法依规对相关责任人员严肃追责；涉嫌犯罪的，移交司法机关依法处理。</w:t>
      </w:r>
    </w:p>
    <w:p w14:paraId="4F786B0D">
      <w:pPr>
        <w:pStyle w:val="12"/>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firstLine="624" w:firstLineChars="200"/>
        <w:jc w:val="both"/>
        <w:textAlignment w:val="auto"/>
        <w:rPr>
          <w:rFonts w:hint="eastAsia" w:ascii="仿宋_GB2312" w:hAnsi="仿宋_GB2312" w:eastAsia="仿宋_GB2312" w:cs="仿宋_GB2312"/>
          <w:b/>
          <w:bCs/>
          <w:color w:val="auto"/>
          <w:spacing w:val="0"/>
          <w:sz w:val="32"/>
          <w:szCs w:val="32"/>
          <w:highlight w:val="none"/>
          <w:u w:val="none"/>
        </w:rPr>
      </w:pPr>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lang w:val="en-US" w:eastAsia="zh-CN"/>
        </w:rPr>
        <w:t>三</w:t>
      </w:r>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rPr>
        <w:t>加强服务</w:t>
      </w:r>
      <w:r>
        <w:rPr>
          <w:rFonts w:hint="eastAsia" w:ascii="楷体_GB2312" w:hAnsi="楷体_GB2312" w:eastAsia="楷体_GB2312" w:cs="楷体_GB2312"/>
          <w:b/>
          <w:bCs/>
          <w:color w:val="auto"/>
          <w:spacing w:val="0"/>
          <w:sz w:val="32"/>
          <w:szCs w:val="32"/>
          <w:highlight w:val="none"/>
          <w:u w:val="none"/>
          <w:lang w:val="en-US" w:eastAsia="zh-CN"/>
        </w:rPr>
        <w:t>评价体系建设</w:t>
      </w:r>
      <w:r>
        <w:rPr>
          <w:rFonts w:hint="eastAsia" w:ascii="楷体_GB2312" w:hAnsi="楷体_GB2312" w:eastAsia="楷体_GB2312" w:cs="楷体_GB2312"/>
          <w:b/>
          <w:bCs/>
          <w:color w:val="auto"/>
          <w:spacing w:val="0"/>
          <w:sz w:val="32"/>
          <w:szCs w:val="32"/>
          <w:highlight w:val="none"/>
          <w:u w:val="none"/>
        </w:rPr>
        <w:t>。</w:t>
      </w:r>
      <w:r>
        <w:rPr>
          <w:rFonts w:hint="eastAsia" w:ascii="仿宋_GB2312" w:hAnsi="仿宋_GB2312" w:eastAsia="仿宋_GB2312" w:cs="仿宋_GB2312"/>
          <w:b w:val="0"/>
          <w:bCs w:val="0"/>
          <w:color w:val="auto"/>
          <w:spacing w:val="0"/>
          <w:sz w:val="32"/>
          <w:szCs w:val="32"/>
          <w:highlight w:val="none"/>
          <w:u w:val="none"/>
        </w:rPr>
        <w:t>承保机构应当为被保险人建立事故预防服务档案，完整归集保险合同、服务方案、服务记录、隐患处置、服务报告等资料，确保事故预防服务全过程可追溯。承保机构应当规范开展承保、事故预防服务及理赔工作，于对应业务事项办结后</w:t>
      </w:r>
      <w:r>
        <w:rPr>
          <w:rFonts w:hint="eastAsia" w:ascii="仿宋_GB2312" w:hAnsi="仿宋_GB2312" w:eastAsia="仿宋_GB2312" w:cs="仿宋_GB2312"/>
          <w:b w:val="0"/>
          <w:bCs w:val="0"/>
          <w:color w:val="auto"/>
          <w:spacing w:val="0"/>
          <w:sz w:val="32"/>
          <w:szCs w:val="32"/>
          <w:highlight w:val="none"/>
          <w:u w:val="none"/>
          <w:lang w:eastAsia="zh-CN"/>
        </w:rPr>
        <w:t>1</w:t>
      </w:r>
      <w:r>
        <w:rPr>
          <w:rFonts w:hint="eastAsia" w:ascii="仿宋_GB2312" w:hAnsi="仿宋_GB2312" w:eastAsia="仿宋_GB2312" w:cs="仿宋_GB2312"/>
          <w:b w:val="0"/>
          <w:bCs w:val="0"/>
          <w:color w:val="auto"/>
          <w:spacing w:val="0"/>
          <w:sz w:val="32"/>
          <w:szCs w:val="32"/>
          <w:highlight w:val="none"/>
          <w:u w:val="none"/>
          <w:lang w:val="en-US" w:eastAsia="zh-CN"/>
        </w:rPr>
        <w:t>0</w:t>
      </w:r>
      <w:r>
        <w:rPr>
          <w:rFonts w:hint="eastAsia" w:ascii="仿宋_GB2312" w:hAnsi="仿宋_GB2312" w:eastAsia="仿宋_GB2312" w:cs="仿宋_GB2312"/>
          <w:b w:val="0"/>
          <w:bCs w:val="0"/>
          <w:color w:val="auto"/>
          <w:spacing w:val="0"/>
          <w:sz w:val="32"/>
          <w:szCs w:val="32"/>
          <w:highlight w:val="none"/>
          <w:u w:val="none"/>
        </w:rPr>
        <w:t>个工作日内，将相关信息如实、完整、准确上传至</w:t>
      </w:r>
      <w:r>
        <w:rPr>
          <w:rFonts w:hint="eastAsia" w:ascii="仿宋_GB2312" w:hAnsi="仿宋_GB2312" w:eastAsia="仿宋_GB2312" w:cs="仿宋_GB2312"/>
          <w:b w:val="0"/>
          <w:bCs w:val="0"/>
          <w:i w:val="0"/>
          <w:iCs w:val="0"/>
          <w:color w:val="auto"/>
          <w:spacing w:val="-11"/>
          <w:kern w:val="0"/>
          <w:sz w:val="32"/>
          <w:szCs w:val="32"/>
          <w:highlight w:val="none"/>
          <w:u w:val="none"/>
          <w:vertAlign w:val="baseline"/>
          <w:lang w:val="en-US" w:eastAsia="zh-CN" w:bidi="ar-SA"/>
        </w:rPr>
        <w:t>主管部门信息平台</w:t>
      </w:r>
      <w:r>
        <w:rPr>
          <w:rFonts w:hint="eastAsia" w:ascii="仿宋_GB2312" w:hAnsi="仿宋_GB2312" w:eastAsia="仿宋_GB2312" w:cs="仿宋_GB2312"/>
          <w:b w:val="0"/>
          <w:bCs w:val="0"/>
          <w:color w:val="auto"/>
          <w:spacing w:val="0"/>
          <w:sz w:val="32"/>
          <w:szCs w:val="32"/>
          <w:highlight w:val="none"/>
          <w:u w:val="none"/>
        </w:rPr>
        <w:t>，不得迟报、漏报、错报。</w:t>
      </w:r>
      <w:r>
        <w:rPr>
          <w:rFonts w:hint="eastAsia" w:ascii="仿宋_GB2312" w:hAnsi="仿宋_GB2312" w:eastAsia="仿宋_GB2312" w:cs="仿宋_GB2312"/>
          <w:color w:val="auto"/>
          <w:spacing w:val="0"/>
          <w:sz w:val="32"/>
          <w:szCs w:val="32"/>
          <w:highlight w:val="none"/>
          <w:u w:val="none"/>
          <w:lang w:val="en-US" w:eastAsia="zh-CN"/>
        </w:rPr>
        <w:t>省交通运输厅将对行业安责险服务情况进行定期评价，重点对事故预防日常管理、费用投入、事故预防服务开展情况、安全生产情况等指标进行分级评价（见附件），形成评价报告并定期公布评价结果。各级交通运输部门应加强对评估结果的应用，对选择不同评价结果的投保企业和项目实施差异化监管。</w:t>
      </w:r>
    </w:p>
    <w:p w14:paraId="7574D4EE">
      <w:pPr>
        <w:keepNext w:val="0"/>
        <w:keepLines w:val="0"/>
        <w:widowControl/>
        <w:suppressLineNumbers w:val="0"/>
        <w:ind w:firstLine="624" w:firstLineChars="200"/>
        <w:jc w:val="left"/>
        <w:rPr>
          <w:rFonts w:hint="eastAsia" w:ascii="仿宋_GB2312" w:hAnsi="仿宋_GB2312" w:eastAsia="仿宋_GB2312" w:cs="仿宋_GB2312"/>
          <w:color w:val="auto"/>
          <w:kern w:val="0"/>
          <w:szCs w:val="32"/>
          <w:highlight w:val="none"/>
          <w:u w:val="none"/>
        </w:rPr>
      </w:pPr>
      <w:bookmarkStart w:id="20" w:name="OLE_LINK26"/>
      <w:bookmarkStart w:id="21" w:name="OLE_LINK11"/>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lang w:val="en-US" w:eastAsia="zh-CN"/>
        </w:rPr>
        <w:t>四</w:t>
      </w:r>
      <w:r>
        <w:rPr>
          <w:rFonts w:hint="eastAsia" w:ascii="楷体_GB2312" w:hAnsi="楷体_GB2312" w:eastAsia="楷体_GB2312" w:cs="楷体_GB2312"/>
          <w:b/>
          <w:bCs/>
          <w:color w:val="auto"/>
          <w:spacing w:val="0"/>
          <w:sz w:val="32"/>
          <w:szCs w:val="32"/>
          <w:highlight w:val="none"/>
          <w:u w:val="none"/>
          <w:lang w:eastAsia="zh-CN"/>
        </w:rPr>
        <w:t>）</w:t>
      </w:r>
      <w:r>
        <w:rPr>
          <w:rFonts w:hint="eastAsia" w:ascii="楷体_GB2312" w:hAnsi="楷体_GB2312" w:eastAsia="楷体_GB2312" w:cs="楷体_GB2312"/>
          <w:b/>
          <w:bCs/>
          <w:color w:val="auto"/>
          <w:spacing w:val="0"/>
          <w:sz w:val="32"/>
          <w:szCs w:val="32"/>
          <w:highlight w:val="none"/>
          <w:u w:val="none"/>
        </w:rPr>
        <w:t>加强</w:t>
      </w:r>
      <w:r>
        <w:rPr>
          <w:rFonts w:hint="eastAsia" w:ascii="楷体_GB2312" w:hAnsi="楷体_GB2312" w:eastAsia="楷体_GB2312" w:cs="楷体_GB2312"/>
          <w:b/>
          <w:bCs/>
          <w:color w:val="auto"/>
          <w:spacing w:val="0"/>
          <w:sz w:val="32"/>
          <w:szCs w:val="32"/>
          <w:highlight w:val="none"/>
          <w:u w:val="none"/>
          <w:lang w:val="en-US" w:eastAsia="zh-CN"/>
        </w:rPr>
        <w:t>宣传引导</w:t>
      </w:r>
      <w:r>
        <w:rPr>
          <w:rFonts w:hint="eastAsia" w:ascii="楷体_GB2312" w:hAnsi="楷体_GB2312" w:eastAsia="楷体_GB2312" w:cs="楷体_GB2312"/>
          <w:b/>
          <w:bCs/>
          <w:color w:val="auto"/>
          <w:spacing w:val="0"/>
          <w:sz w:val="32"/>
          <w:szCs w:val="32"/>
          <w:highlight w:val="none"/>
          <w:u w:val="none"/>
        </w:rPr>
        <w:t>。</w:t>
      </w:r>
      <w:bookmarkStart w:id="22" w:name="OLE_LINK24"/>
      <w:r>
        <w:rPr>
          <w:rFonts w:hint="eastAsia" w:ascii="仿宋_GB2312" w:hAnsi="仿宋_GB2312" w:eastAsia="仿宋_GB2312" w:cs="仿宋_GB2312"/>
          <w:color w:val="auto"/>
          <w:kern w:val="0"/>
          <w:sz w:val="32"/>
          <w:szCs w:val="32"/>
          <w:highlight w:val="none"/>
          <w:u w:val="none"/>
          <w:lang w:val="en-US" w:eastAsia="zh-CN" w:bidi="ar-SA"/>
        </w:rPr>
        <w:t>各级交通运输部门应加大安责险宣传引导力度，将安责险列为行业安全生产宣传重点工作，充分发挥宣传引导作用，推动法定投保主体应保尽保。聚焦安责险政策要求、功能机制、保险方案、事故预防服务等重点内容开展宣传。对事故预防工作成效突出的承保机构、投保单位，在安责险服务评价工作中予以体现。</w:t>
      </w:r>
    </w:p>
    <w:bookmarkEnd w:id="20"/>
    <w:bookmarkEnd w:id="21"/>
    <w:bookmarkEnd w:id="22"/>
    <w:p w14:paraId="357EDA7A">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lang w:val="zh-CN"/>
        </w:rPr>
        <w:t>本通知自</w:t>
      </w:r>
      <w:r>
        <w:rPr>
          <w:rFonts w:hint="eastAsia" w:ascii="仿宋_GB2312" w:hAnsi="仿宋_GB2312" w:eastAsia="仿宋_GB2312" w:cs="仿宋_GB2312"/>
          <w:color w:val="auto"/>
          <w:spacing w:val="0"/>
          <w:sz w:val="32"/>
          <w:szCs w:val="32"/>
          <w:highlight w:val="none"/>
          <w:u w:val="none"/>
        </w:rPr>
        <w:t>202</w:t>
      </w:r>
      <w:r>
        <w:rPr>
          <w:rFonts w:hint="eastAsia" w:ascii="仿宋_GB2312" w:hAnsi="仿宋_GB2312" w:eastAsia="仿宋_GB2312" w:cs="仿宋_GB2312"/>
          <w:color w:val="auto"/>
          <w:spacing w:val="0"/>
          <w:sz w:val="32"/>
          <w:szCs w:val="32"/>
          <w:highlight w:val="none"/>
          <w:u w:val="none"/>
          <w:lang w:val="en-US" w:eastAsia="zh-CN"/>
        </w:rPr>
        <w:t>6</w:t>
      </w:r>
      <w:r>
        <w:rPr>
          <w:rFonts w:hint="eastAsia" w:ascii="仿宋_GB2312" w:hAnsi="仿宋_GB2312" w:eastAsia="仿宋_GB2312" w:cs="仿宋_GB2312"/>
          <w:color w:val="auto"/>
          <w:spacing w:val="0"/>
          <w:sz w:val="32"/>
          <w:szCs w:val="32"/>
          <w:highlight w:val="none"/>
          <w:u w:val="none"/>
          <w:lang w:val="zh-CN"/>
        </w:rPr>
        <w:t>年</w:t>
      </w:r>
      <w:r>
        <w:rPr>
          <w:rFonts w:hint="eastAsia" w:ascii="仿宋_GB2312" w:hAnsi="仿宋_GB2312" w:eastAsia="仿宋_GB2312" w:cs="仿宋_GB2312"/>
          <w:color w:val="auto"/>
          <w:spacing w:val="0"/>
          <w:sz w:val="32"/>
          <w:szCs w:val="32"/>
          <w:highlight w:val="none"/>
          <w:u w:val="none"/>
          <w:lang w:val="en-US" w:eastAsia="zh-CN"/>
        </w:rPr>
        <w:t xml:space="preserve"> </w:t>
      </w:r>
      <w:r>
        <w:rPr>
          <w:rFonts w:hint="eastAsia" w:ascii="仿宋_GB2312" w:hAnsi="仿宋_GB2312" w:eastAsia="仿宋_GB2312" w:cs="仿宋_GB2312"/>
          <w:color w:val="auto"/>
          <w:spacing w:val="0"/>
          <w:sz w:val="32"/>
          <w:szCs w:val="32"/>
          <w:highlight w:val="none"/>
          <w:u w:val="none"/>
          <w:lang w:val="zh-CN"/>
        </w:rPr>
        <w:t>月</w:t>
      </w:r>
      <w:r>
        <w:rPr>
          <w:rFonts w:hint="eastAsia" w:ascii="仿宋_GB2312" w:hAnsi="仿宋_GB2312" w:eastAsia="仿宋_GB2312" w:cs="仿宋_GB2312"/>
          <w:color w:val="auto"/>
          <w:spacing w:val="0"/>
          <w:sz w:val="32"/>
          <w:szCs w:val="32"/>
          <w:highlight w:val="none"/>
          <w:u w:val="none"/>
          <w:lang w:val="en-US" w:eastAsia="zh-CN"/>
        </w:rPr>
        <w:t xml:space="preserve"> </w:t>
      </w:r>
      <w:r>
        <w:rPr>
          <w:rFonts w:hint="eastAsia" w:ascii="仿宋_GB2312" w:hAnsi="仿宋_GB2312" w:eastAsia="仿宋_GB2312" w:cs="仿宋_GB2312"/>
          <w:color w:val="auto"/>
          <w:spacing w:val="0"/>
          <w:sz w:val="32"/>
          <w:szCs w:val="32"/>
          <w:highlight w:val="none"/>
          <w:u w:val="none"/>
          <w:lang w:val="zh-CN"/>
        </w:rPr>
        <w:t>日起施行</w:t>
      </w:r>
      <w:r>
        <w:rPr>
          <w:rFonts w:hint="eastAsia" w:ascii="仿宋_GB2312" w:hAnsi="仿宋_GB2312" w:eastAsia="仿宋_GB2312" w:cs="仿宋_GB2312"/>
          <w:color w:val="auto"/>
          <w:spacing w:val="0"/>
          <w:sz w:val="32"/>
          <w:szCs w:val="32"/>
          <w:highlight w:val="none"/>
          <w:u w:val="none"/>
        </w:rPr>
        <w:t>，</w:t>
      </w:r>
      <w:r>
        <w:rPr>
          <w:rFonts w:hint="eastAsia" w:ascii="仿宋_GB2312" w:hAnsi="仿宋_GB2312" w:eastAsia="仿宋_GB2312" w:cs="仿宋_GB2312"/>
          <w:color w:val="auto"/>
          <w:spacing w:val="0"/>
          <w:sz w:val="32"/>
          <w:szCs w:val="32"/>
          <w:highlight w:val="none"/>
          <w:u w:val="none"/>
          <w:lang w:val="zh-CN"/>
        </w:rPr>
        <w:t>有效期至</w:t>
      </w:r>
      <w:r>
        <w:rPr>
          <w:rFonts w:hint="eastAsia" w:ascii="仿宋_GB2312" w:hAnsi="仿宋_GB2312" w:eastAsia="仿宋_GB2312" w:cs="仿宋_GB2312"/>
          <w:color w:val="auto"/>
          <w:spacing w:val="0"/>
          <w:sz w:val="32"/>
          <w:szCs w:val="32"/>
          <w:highlight w:val="none"/>
          <w:u w:val="none"/>
          <w:lang w:val="en-US" w:eastAsia="zh-CN"/>
        </w:rPr>
        <w:t xml:space="preserve"> </w:t>
      </w:r>
      <w:r>
        <w:rPr>
          <w:rFonts w:hint="eastAsia" w:ascii="仿宋_GB2312" w:hAnsi="仿宋_GB2312" w:eastAsia="仿宋_GB2312" w:cs="仿宋_GB2312"/>
          <w:color w:val="auto"/>
          <w:spacing w:val="0"/>
          <w:sz w:val="32"/>
          <w:szCs w:val="32"/>
          <w:highlight w:val="none"/>
          <w:u w:val="none"/>
          <w:lang w:val="zh-CN"/>
        </w:rPr>
        <w:t>年</w:t>
      </w:r>
      <w:r>
        <w:rPr>
          <w:rFonts w:hint="eastAsia" w:ascii="仿宋_GB2312" w:hAnsi="仿宋_GB2312" w:eastAsia="仿宋_GB2312" w:cs="仿宋_GB2312"/>
          <w:color w:val="auto"/>
          <w:spacing w:val="0"/>
          <w:sz w:val="32"/>
          <w:szCs w:val="32"/>
          <w:highlight w:val="none"/>
          <w:u w:val="none"/>
        </w:rPr>
        <w:t xml:space="preserve"> </w:t>
      </w:r>
      <w:r>
        <w:rPr>
          <w:rFonts w:hint="eastAsia" w:ascii="仿宋_GB2312" w:hAnsi="仿宋_GB2312" w:eastAsia="仿宋_GB2312" w:cs="仿宋_GB2312"/>
          <w:color w:val="auto"/>
          <w:spacing w:val="0"/>
          <w:sz w:val="32"/>
          <w:szCs w:val="32"/>
          <w:highlight w:val="none"/>
          <w:u w:val="none"/>
          <w:lang w:val="zh-CN"/>
        </w:rPr>
        <w:t>月</w:t>
      </w:r>
      <w:r>
        <w:rPr>
          <w:rFonts w:hint="eastAsia" w:ascii="仿宋_GB2312" w:hAnsi="仿宋_GB2312" w:eastAsia="仿宋_GB2312" w:cs="仿宋_GB2312"/>
          <w:color w:val="auto"/>
          <w:spacing w:val="0"/>
          <w:sz w:val="32"/>
          <w:szCs w:val="32"/>
          <w:highlight w:val="none"/>
          <w:u w:val="none"/>
          <w:lang w:val="en-US" w:eastAsia="zh-CN"/>
        </w:rPr>
        <w:t xml:space="preserve"> </w:t>
      </w:r>
      <w:r>
        <w:rPr>
          <w:rFonts w:hint="eastAsia" w:ascii="仿宋_GB2312" w:hAnsi="仿宋_GB2312" w:eastAsia="仿宋_GB2312" w:cs="仿宋_GB2312"/>
          <w:color w:val="auto"/>
          <w:spacing w:val="0"/>
          <w:sz w:val="32"/>
          <w:szCs w:val="32"/>
          <w:highlight w:val="none"/>
          <w:u w:val="none"/>
          <w:lang w:val="zh-CN"/>
        </w:rPr>
        <w:t>日止。</w:t>
      </w:r>
    </w:p>
    <w:p w14:paraId="4841D63E">
      <w:pPr>
        <w:pStyle w:val="2"/>
        <w:keepNext w:val="0"/>
        <w:keepLines w:val="0"/>
        <w:pageBreakBefore w:val="0"/>
        <w:widowControl w:val="0"/>
        <w:kinsoku/>
        <w:overflowPunct/>
        <w:topLinePunct w:val="0"/>
        <w:autoSpaceDE/>
        <w:autoSpaceDN/>
        <w:bidi w:val="0"/>
        <w:adjustRightInd/>
        <w:snapToGrid/>
        <w:spacing w:after="0" w:line="240" w:lineRule="auto"/>
        <w:ind w:left="0" w:leftChars="0" w:firstLine="0" w:firstLineChars="0"/>
        <w:textAlignment w:val="auto"/>
        <w:rPr>
          <w:rFonts w:hint="eastAsia" w:ascii="仿宋_GB2312" w:hAnsi="仿宋_GB2312" w:eastAsia="仿宋_GB2312" w:cs="仿宋_GB2312"/>
          <w:spacing w:val="0"/>
          <w:sz w:val="32"/>
          <w:szCs w:val="32"/>
          <w:highlight w:val="none"/>
          <w:lang w:val="en-US" w:eastAsia="zh-CN"/>
        </w:rPr>
      </w:pPr>
    </w:p>
    <w:p w14:paraId="7472FE5C">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left="1560" w:leftChars="200" w:hanging="936" w:hangingChars="300"/>
        <w:jc w:val="both"/>
        <w:textAlignment w:val="auto"/>
        <w:rPr>
          <w:rFonts w:hint="eastAsia" w:ascii="仿宋_GB2312" w:hAnsi="仿宋_GB2312" w:eastAsia="仿宋_GB2312" w:cs="仿宋_GB2312"/>
          <w:color w:val="auto"/>
          <w:spacing w:val="0"/>
          <w:sz w:val="32"/>
          <w:szCs w:val="32"/>
          <w:highlight w:val="none"/>
          <w:u w:val="none"/>
          <w:lang w:val="zh-CN"/>
        </w:rPr>
      </w:pPr>
      <w:r>
        <w:rPr>
          <w:rFonts w:hint="eastAsia" w:ascii="仿宋_GB2312" w:hAnsi="仿宋_GB2312" w:eastAsia="仿宋_GB2312" w:cs="仿宋_GB2312"/>
          <w:color w:val="auto"/>
          <w:spacing w:val="0"/>
          <w:sz w:val="32"/>
          <w:szCs w:val="32"/>
          <w:highlight w:val="none"/>
          <w:u w:val="none"/>
          <w:lang w:val="en-US" w:eastAsia="zh-CN"/>
        </w:rPr>
        <w:t>附件：湖南省交通运输安责险承保机构事故预防服务评估办法</w:t>
      </w:r>
    </w:p>
    <w:p w14:paraId="4A59595E">
      <w:pPr>
        <w:pStyle w:val="2"/>
        <w:keepNext w:val="0"/>
        <w:keepLines w:val="0"/>
        <w:pageBreakBefore w:val="0"/>
        <w:widowControl w:val="0"/>
        <w:kinsoku/>
        <w:wordWrap w:val="0"/>
        <w:overflowPunct/>
        <w:topLinePunct w:val="0"/>
        <w:autoSpaceDE/>
        <w:autoSpaceDN/>
        <w:bidi w:val="0"/>
        <w:adjustRightInd/>
        <w:snapToGrid/>
        <w:spacing w:after="0" w:line="240" w:lineRule="auto"/>
        <w:ind w:left="0" w:leftChars="0" w:firstLine="0" w:firstLineChars="0"/>
        <w:jc w:val="both"/>
        <w:textAlignment w:val="auto"/>
        <w:rPr>
          <w:rFonts w:hint="eastAsia" w:ascii="仿宋_GB2312" w:hAnsi="仿宋_GB2312" w:eastAsia="仿宋_GB2312" w:cs="仿宋_GB2312"/>
          <w:color w:val="auto"/>
          <w:spacing w:val="0"/>
          <w:sz w:val="32"/>
          <w:szCs w:val="32"/>
          <w:highlight w:val="none"/>
          <w:u w:val="none"/>
          <w:lang w:val="zh-CN"/>
        </w:rPr>
      </w:pPr>
    </w:p>
    <w:p w14:paraId="6B82B7E6">
      <w:pPr>
        <w:pStyle w:val="2"/>
        <w:keepNext w:val="0"/>
        <w:keepLines w:val="0"/>
        <w:pageBreakBefore w:val="0"/>
        <w:widowControl w:val="0"/>
        <w:kinsoku/>
        <w:wordWrap w:val="0"/>
        <w:overflowPunct/>
        <w:topLinePunct w:val="0"/>
        <w:autoSpaceDE/>
        <w:autoSpaceDN/>
        <w:bidi w:val="0"/>
        <w:adjustRightInd/>
        <w:snapToGrid/>
        <w:spacing w:after="0" w:line="240" w:lineRule="auto"/>
        <w:ind w:left="0" w:leftChars="0" w:firstLine="4368" w:firstLineChars="1400"/>
        <w:jc w:val="both"/>
        <w:textAlignment w:val="auto"/>
        <w:rPr>
          <w:rFonts w:hint="eastAsia" w:ascii="仿宋_GB2312" w:hAnsi="仿宋_GB2312" w:eastAsia="仿宋_GB2312" w:cs="仿宋_GB2312"/>
          <w:color w:val="auto"/>
          <w:spacing w:val="0"/>
          <w:sz w:val="32"/>
          <w:szCs w:val="32"/>
          <w:highlight w:val="none"/>
          <w:u w:val="none"/>
          <w:lang w:val="zh-CN"/>
        </w:rPr>
      </w:pPr>
    </w:p>
    <w:p w14:paraId="4BCEF441">
      <w:pPr>
        <w:pStyle w:val="2"/>
        <w:keepNext w:val="0"/>
        <w:keepLines w:val="0"/>
        <w:pageBreakBefore w:val="0"/>
        <w:widowControl w:val="0"/>
        <w:tabs>
          <w:tab w:val="left" w:pos="7464"/>
        </w:tabs>
        <w:kinsoku/>
        <w:wordWrap w:val="0"/>
        <w:overflowPunct/>
        <w:topLinePunct w:val="0"/>
        <w:autoSpaceDE/>
        <w:autoSpaceDN/>
        <w:bidi w:val="0"/>
        <w:adjustRightInd/>
        <w:snapToGrid/>
        <w:spacing w:after="0" w:line="240" w:lineRule="auto"/>
        <w:ind w:left="0" w:leftChars="0" w:firstLine="0" w:firstLineChars="0"/>
        <w:jc w:val="center"/>
        <w:textAlignment w:val="auto"/>
        <w:rPr>
          <w:rFonts w:hint="eastAsia" w:ascii="仿宋_GB2312" w:hAnsi="仿宋_GB2312" w:eastAsia="仿宋_GB2312" w:cs="仿宋_GB2312"/>
          <w:color w:val="auto"/>
          <w:spacing w:val="0"/>
          <w:sz w:val="32"/>
          <w:szCs w:val="32"/>
          <w:highlight w:val="none"/>
          <w:u w:val="none"/>
          <w:lang w:val="en-US" w:eastAsia="zh-CN"/>
        </w:rPr>
      </w:pPr>
      <w:r>
        <w:rPr>
          <w:rFonts w:hint="eastAsia" w:ascii="仿宋_GB2312" w:hAnsi="仿宋_GB2312" w:eastAsia="仿宋_GB2312" w:cs="仿宋_GB2312"/>
          <w:color w:val="auto"/>
          <w:spacing w:val="0"/>
          <w:sz w:val="32"/>
          <w:szCs w:val="32"/>
          <w:highlight w:val="none"/>
          <w:u w:val="none"/>
          <w:lang w:val="zh-CN"/>
        </w:rPr>
        <w:t>湖南省</w:t>
      </w:r>
      <w:r>
        <w:rPr>
          <w:rFonts w:hint="eastAsia" w:ascii="仿宋_GB2312" w:hAnsi="仿宋_GB2312" w:eastAsia="仿宋_GB2312" w:cs="仿宋_GB2312"/>
          <w:color w:val="auto"/>
          <w:spacing w:val="0"/>
          <w:sz w:val="32"/>
          <w:szCs w:val="32"/>
          <w:highlight w:val="none"/>
          <w:u w:val="none"/>
          <w:lang w:val="en-US" w:eastAsia="zh-CN"/>
        </w:rPr>
        <w:t>交通运输</w:t>
      </w:r>
      <w:r>
        <w:rPr>
          <w:rFonts w:hint="eastAsia" w:ascii="仿宋_GB2312" w:hAnsi="仿宋_GB2312" w:eastAsia="仿宋_GB2312" w:cs="仿宋_GB2312"/>
          <w:color w:val="auto"/>
          <w:spacing w:val="0"/>
          <w:sz w:val="32"/>
          <w:szCs w:val="32"/>
          <w:highlight w:val="none"/>
          <w:u w:val="none"/>
          <w:lang w:val="zh-CN"/>
        </w:rPr>
        <w:t>厅    国家金融监督管理总局湖南监管局</w:t>
      </w:r>
    </w:p>
    <w:p w14:paraId="2C75F44D">
      <w:pPr>
        <w:pStyle w:val="2"/>
        <w:keepNext w:val="0"/>
        <w:keepLines w:val="0"/>
        <w:pageBreakBefore w:val="0"/>
        <w:widowControl w:val="0"/>
        <w:tabs>
          <w:tab w:val="left" w:pos="7464"/>
        </w:tabs>
        <w:kinsoku/>
        <w:wordWrap w:val="0"/>
        <w:overflowPunct/>
        <w:topLinePunct w:val="0"/>
        <w:autoSpaceDE/>
        <w:autoSpaceDN/>
        <w:bidi w:val="0"/>
        <w:adjustRightInd/>
        <w:snapToGrid/>
        <w:spacing w:line="240" w:lineRule="auto"/>
        <w:ind w:left="0" w:leftChars="0" w:firstLine="0" w:firstLineChars="0"/>
        <w:textAlignment w:val="auto"/>
        <w:outlineLvl w:val="0"/>
        <w:rPr>
          <w:rFonts w:hint="eastAsia" w:ascii="黑体" w:hAnsi="黑体" w:eastAsia="黑体" w:cs="黑体"/>
          <w:spacing w:val="0"/>
          <w:sz w:val="32"/>
          <w:szCs w:val="32"/>
          <w:highlight w:val="none"/>
          <w:lang w:val="en-US" w:eastAsia="zh-CN"/>
        </w:rPr>
      </w:pPr>
      <w:r>
        <w:rPr>
          <w:rFonts w:hint="eastAsia" w:ascii="黑体" w:hAnsi="黑体" w:eastAsia="黑体" w:cs="黑体"/>
          <w:spacing w:val="0"/>
          <w:sz w:val="32"/>
          <w:szCs w:val="32"/>
          <w:highlight w:val="none"/>
          <w:lang w:val="zh-CN"/>
        </w:rPr>
        <w:br w:type="page"/>
      </w:r>
      <w:r>
        <w:rPr>
          <w:rFonts w:hint="eastAsia" w:ascii="黑体" w:hAnsi="黑体" w:eastAsia="黑体" w:cs="黑体"/>
          <w:spacing w:val="0"/>
          <w:sz w:val="32"/>
          <w:szCs w:val="32"/>
          <w:highlight w:val="none"/>
          <w:lang w:val="zh-CN"/>
        </w:rPr>
        <w:t>附件</w:t>
      </w:r>
    </w:p>
    <w:p w14:paraId="5E9B182D">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lang w:val="en-US" w:eastAsia="zh-CN"/>
        </w:rPr>
      </w:pPr>
      <w:r>
        <w:rPr>
          <w:rFonts w:hint="eastAsia" w:ascii="黑体" w:hAnsi="黑体" w:eastAsia="黑体" w:cs="黑体"/>
          <w:b w:val="0"/>
          <w:bCs w:val="0"/>
          <w:color w:val="auto"/>
          <w:spacing w:val="0"/>
          <w:sz w:val="44"/>
          <w:szCs w:val="44"/>
          <w:highlight w:val="none"/>
          <w:u w:val="none"/>
        </w:rPr>
        <w:t>湖南省</w:t>
      </w:r>
      <w:r>
        <w:rPr>
          <w:rFonts w:hint="eastAsia" w:ascii="黑体" w:hAnsi="黑体" w:eastAsia="黑体" w:cs="黑体"/>
          <w:b w:val="0"/>
          <w:bCs w:val="0"/>
          <w:color w:val="auto"/>
          <w:spacing w:val="0"/>
          <w:sz w:val="44"/>
          <w:szCs w:val="44"/>
          <w:highlight w:val="none"/>
          <w:u w:val="none"/>
          <w:lang w:val="en-US" w:eastAsia="zh-CN"/>
        </w:rPr>
        <w:t>交通运输</w:t>
      </w:r>
      <w:r>
        <w:rPr>
          <w:rFonts w:hint="eastAsia" w:ascii="黑体" w:hAnsi="黑体" w:eastAsia="黑体" w:cs="黑体"/>
          <w:b w:val="0"/>
          <w:bCs w:val="0"/>
          <w:color w:val="auto"/>
          <w:spacing w:val="0"/>
          <w:sz w:val="44"/>
          <w:szCs w:val="44"/>
          <w:highlight w:val="none"/>
          <w:u w:val="none"/>
        </w:rPr>
        <w:t>安责险承保机构</w:t>
      </w:r>
      <w:r>
        <w:rPr>
          <w:rFonts w:hint="eastAsia" w:ascii="黑体" w:hAnsi="黑体" w:eastAsia="黑体" w:cs="黑体"/>
          <w:b w:val="0"/>
          <w:bCs w:val="0"/>
          <w:color w:val="auto"/>
          <w:spacing w:val="0"/>
          <w:sz w:val="44"/>
          <w:szCs w:val="44"/>
          <w:highlight w:val="none"/>
          <w:u w:val="none"/>
          <w:lang w:val="en-US" w:eastAsia="zh-CN"/>
        </w:rPr>
        <w:t>事故预防</w:t>
      </w:r>
    </w:p>
    <w:p w14:paraId="23210692">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rPr>
      </w:pPr>
      <w:r>
        <w:rPr>
          <w:rFonts w:hint="eastAsia" w:ascii="黑体" w:hAnsi="黑体" w:eastAsia="黑体" w:cs="黑体"/>
          <w:b w:val="0"/>
          <w:bCs w:val="0"/>
          <w:color w:val="auto"/>
          <w:spacing w:val="0"/>
          <w:sz w:val="44"/>
          <w:szCs w:val="44"/>
          <w:highlight w:val="none"/>
          <w:u w:val="none"/>
        </w:rPr>
        <w:t>服务</w:t>
      </w:r>
      <w:r>
        <w:rPr>
          <w:rFonts w:hint="eastAsia" w:ascii="黑体" w:hAnsi="黑体" w:eastAsia="黑体" w:cs="黑体"/>
          <w:b w:val="0"/>
          <w:bCs w:val="0"/>
          <w:color w:val="auto"/>
          <w:spacing w:val="0"/>
          <w:sz w:val="44"/>
          <w:szCs w:val="44"/>
          <w:highlight w:val="none"/>
          <w:u w:val="none"/>
          <w:lang w:val="en-US" w:eastAsia="zh-CN"/>
        </w:rPr>
        <w:t>评估</w:t>
      </w:r>
      <w:r>
        <w:rPr>
          <w:rFonts w:hint="eastAsia" w:ascii="黑体" w:hAnsi="黑体" w:eastAsia="黑体" w:cs="黑体"/>
          <w:b w:val="0"/>
          <w:bCs w:val="0"/>
          <w:color w:val="auto"/>
          <w:spacing w:val="0"/>
          <w:sz w:val="44"/>
          <w:szCs w:val="44"/>
          <w:highlight w:val="none"/>
          <w:u w:val="none"/>
        </w:rPr>
        <w:t>办法</w:t>
      </w:r>
    </w:p>
    <w:p w14:paraId="4CEF1E25">
      <w:pPr>
        <w:keepNext w:val="0"/>
        <w:keepLines w:val="0"/>
        <w:pageBreakBefore w:val="0"/>
        <w:widowControl w:val="0"/>
        <w:kinsoku/>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pacing w:val="0"/>
          <w:sz w:val="32"/>
          <w:szCs w:val="32"/>
          <w:highlight w:val="none"/>
        </w:rPr>
      </w:pPr>
    </w:p>
    <w:p w14:paraId="4B1FD6A9">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spacing w:val="0"/>
          <w:sz w:val="32"/>
          <w:szCs w:val="32"/>
          <w:highlight w:val="none"/>
        </w:rPr>
      </w:pPr>
      <w:r>
        <w:rPr>
          <w:rFonts w:hint="eastAsia" w:ascii="仿宋_GB2312" w:hAnsi="仿宋_GB2312" w:eastAsia="仿宋_GB2312" w:cs="仿宋_GB2312"/>
          <w:spacing w:val="0"/>
          <w:sz w:val="32"/>
          <w:szCs w:val="32"/>
          <w:highlight w:val="none"/>
        </w:rPr>
        <w:t>为</w:t>
      </w:r>
      <w:r>
        <w:rPr>
          <w:rFonts w:hint="eastAsia" w:ascii="仿宋_GB2312" w:hAnsi="仿宋_GB2312" w:eastAsia="仿宋_GB2312" w:cs="仿宋_GB2312"/>
          <w:spacing w:val="0"/>
          <w:sz w:val="32"/>
          <w:szCs w:val="32"/>
          <w:highlight w:val="none"/>
          <w:lang w:val="en-US" w:eastAsia="zh-CN"/>
        </w:rPr>
        <w:t>规范我省交通运输</w:t>
      </w:r>
      <w:r>
        <w:rPr>
          <w:rFonts w:hint="eastAsia" w:ascii="仿宋_GB2312" w:hAnsi="仿宋_GB2312" w:eastAsia="仿宋_GB2312" w:cs="仿宋_GB2312"/>
          <w:spacing w:val="0"/>
          <w:sz w:val="32"/>
          <w:szCs w:val="32"/>
          <w:highlight w:val="none"/>
        </w:rPr>
        <w:t>安责险</w:t>
      </w:r>
      <w:r>
        <w:rPr>
          <w:rFonts w:hint="eastAsia" w:ascii="仿宋_GB2312" w:hAnsi="仿宋_GB2312" w:eastAsia="仿宋_GB2312" w:cs="仿宋_GB2312"/>
          <w:spacing w:val="0"/>
          <w:sz w:val="32"/>
          <w:szCs w:val="32"/>
          <w:highlight w:val="none"/>
          <w:lang w:val="en-US" w:eastAsia="zh-CN"/>
        </w:rPr>
        <w:t>事故预防服务工作，</w:t>
      </w:r>
      <w:r>
        <w:rPr>
          <w:rFonts w:hint="eastAsia" w:ascii="仿宋_GB2312" w:hAnsi="仿宋_GB2312" w:eastAsia="仿宋_GB2312" w:cs="仿宋_GB2312"/>
          <w:spacing w:val="0"/>
          <w:sz w:val="32"/>
          <w:szCs w:val="32"/>
          <w:highlight w:val="none"/>
        </w:rPr>
        <w:t>切实发挥事故预防服务作用，</w:t>
      </w:r>
      <w:r>
        <w:rPr>
          <w:rFonts w:hint="eastAsia" w:ascii="仿宋_GB2312" w:hAnsi="仿宋_GB2312" w:eastAsia="仿宋_GB2312" w:cs="仿宋_GB2312"/>
          <w:spacing w:val="0"/>
          <w:sz w:val="32"/>
          <w:szCs w:val="32"/>
          <w:highlight w:val="none"/>
          <w:lang w:val="en-US" w:eastAsia="zh-CN"/>
        </w:rPr>
        <w:t>提升</w:t>
      </w:r>
      <w:r>
        <w:rPr>
          <w:rFonts w:hint="eastAsia" w:ascii="仿宋_GB2312" w:hAnsi="仿宋_GB2312" w:eastAsia="仿宋_GB2312" w:cs="仿宋_GB2312"/>
          <w:spacing w:val="0"/>
          <w:sz w:val="32"/>
          <w:szCs w:val="32"/>
          <w:highlight w:val="none"/>
        </w:rPr>
        <w:t>保险机构事故预防服务</w:t>
      </w:r>
      <w:r>
        <w:rPr>
          <w:rFonts w:hint="eastAsia" w:ascii="仿宋_GB2312" w:hAnsi="仿宋_GB2312" w:eastAsia="仿宋_GB2312" w:cs="仿宋_GB2312"/>
          <w:spacing w:val="0"/>
          <w:sz w:val="32"/>
          <w:szCs w:val="32"/>
          <w:highlight w:val="none"/>
          <w:lang w:val="en-US" w:eastAsia="zh-CN"/>
        </w:rPr>
        <w:t>能力</w:t>
      </w:r>
      <w:r>
        <w:rPr>
          <w:rFonts w:hint="eastAsia" w:ascii="仿宋_GB2312" w:hAnsi="仿宋_GB2312" w:eastAsia="仿宋_GB2312" w:cs="仿宋_GB2312"/>
          <w:spacing w:val="0"/>
          <w:sz w:val="32"/>
          <w:szCs w:val="32"/>
          <w:highlight w:val="none"/>
        </w:rPr>
        <w:t>，不断完善</w:t>
      </w:r>
      <w:r>
        <w:rPr>
          <w:rFonts w:hint="eastAsia" w:ascii="仿宋_GB2312" w:hAnsi="仿宋_GB2312" w:eastAsia="仿宋_GB2312" w:cs="仿宋_GB2312"/>
          <w:spacing w:val="0"/>
          <w:sz w:val="32"/>
          <w:szCs w:val="32"/>
          <w:highlight w:val="none"/>
          <w:lang w:val="en-US" w:eastAsia="zh-CN"/>
        </w:rPr>
        <w:t>交通运输</w:t>
      </w:r>
      <w:r>
        <w:rPr>
          <w:rFonts w:hint="eastAsia" w:ascii="仿宋_GB2312" w:hAnsi="仿宋_GB2312" w:eastAsia="仿宋_GB2312" w:cs="仿宋_GB2312"/>
          <w:spacing w:val="0"/>
          <w:sz w:val="32"/>
          <w:szCs w:val="32"/>
          <w:highlight w:val="none"/>
        </w:rPr>
        <w:t>安全生产风险防控机制，</w:t>
      </w:r>
      <w:r>
        <w:rPr>
          <w:rFonts w:hint="eastAsia" w:ascii="仿宋_GB2312" w:hAnsi="仿宋_GB2312" w:eastAsia="仿宋_GB2312" w:cs="仿宋_GB2312"/>
          <w:spacing w:val="0"/>
          <w:sz w:val="32"/>
          <w:szCs w:val="32"/>
          <w:highlight w:val="none"/>
          <w:lang w:val="en-US" w:eastAsia="zh-CN"/>
        </w:rPr>
        <w:t>提升风险防控水平，</w:t>
      </w:r>
      <w:r>
        <w:rPr>
          <w:rFonts w:hint="eastAsia" w:ascii="仿宋_GB2312" w:hAnsi="仿宋_GB2312" w:eastAsia="仿宋_GB2312" w:cs="仿宋_GB2312"/>
          <w:spacing w:val="0"/>
          <w:sz w:val="32"/>
          <w:szCs w:val="32"/>
          <w:highlight w:val="none"/>
        </w:rPr>
        <w:t>特制定本</w:t>
      </w:r>
      <w:r>
        <w:rPr>
          <w:rFonts w:hint="eastAsia" w:ascii="仿宋_GB2312" w:hAnsi="仿宋_GB2312" w:eastAsia="仿宋_GB2312" w:cs="仿宋_GB2312"/>
          <w:spacing w:val="0"/>
          <w:sz w:val="32"/>
          <w:szCs w:val="32"/>
          <w:highlight w:val="none"/>
          <w:lang w:val="en-US" w:eastAsia="zh-CN"/>
        </w:rPr>
        <w:t>评估</w:t>
      </w:r>
      <w:r>
        <w:rPr>
          <w:rFonts w:hint="eastAsia" w:ascii="仿宋_GB2312" w:hAnsi="仿宋_GB2312" w:eastAsia="仿宋_GB2312" w:cs="仿宋_GB2312"/>
          <w:spacing w:val="0"/>
          <w:sz w:val="32"/>
          <w:szCs w:val="32"/>
          <w:highlight w:val="none"/>
        </w:rPr>
        <w:t>办法。</w:t>
      </w:r>
    </w:p>
    <w:p w14:paraId="4155DF1D">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rPr>
        <w:t>一、评</w:t>
      </w:r>
      <w:r>
        <w:rPr>
          <w:rFonts w:hint="default" w:ascii="黑体" w:hAnsi="黑体" w:eastAsia="黑体" w:cs="黑体"/>
          <w:color w:val="auto"/>
          <w:spacing w:val="0"/>
          <w:sz w:val="32"/>
          <w:szCs w:val="32"/>
          <w:highlight w:val="none"/>
          <w:u w:val="none"/>
          <w:lang w:val="en-US" w:eastAsia="zh-CN"/>
        </w:rPr>
        <w:t>估</w:t>
      </w:r>
      <w:r>
        <w:rPr>
          <w:rFonts w:hint="default" w:ascii="黑体" w:hAnsi="黑体" w:eastAsia="黑体" w:cs="黑体"/>
          <w:color w:val="auto"/>
          <w:spacing w:val="0"/>
          <w:sz w:val="32"/>
          <w:szCs w:val="32"/>
          <w:highlight w:val="none"/>
          <w:u w:val="none"/>
        </w:rPr>
        <w:t>主体</w:t>
      </w:r>
    </w:p>
    <w:p w14:paraId="56AD7671">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仿宋_GB2312" w:hAnsi="仿宋_GB2312" w:eastAsia="仿宋_GB2312" w:cs="仿宋_GB2312"/>
          <w:b w:val="0"/>
          <w:bCs w:val="0"/>
          <w:spacing w:val="0"/>
          <w:kern w:val="2"/>
          <w:sz w:val="32"/>
          <w:szCs w:val="32"/>
          <w:highlight w:val="none"/>
          <w:lang w:val="en-US" w:eastAsia="zh-CN" w:bidi="ar-SA"/>
        </w:rPr>
      </w:pPr>
      <w:r>
        <w:rPr>
          <w:rFonts w:hint="eastAsia" w:ascii="仿宋_GB2312" w:hAnsi="仿宋_GB2312" w:eastAsia="仿宋_GB2312" w:cs="仿宋_GB2312"/>
          <w:b w:val="0"/>
          <w:bCs w:val="0"/>
          <w:spacing w:val="0"/>
          <w:kern w:val="2"/>
          <w:sz w:val="32"/>
          <w:szCs w:val="32"/>
          <w:highlight w:val="none"/>
          <w:lang w:eastAsia="zh-CN" w:bidi="ar-SA"/>
        </w:rPr>
        <w:t>湖南</w:t>
      </w:r>
      <w:r>
        <w:rPr>
          <w:rFonts w:hint="eastAsia" w:ascii="仿宋_GB2312" w:hAnsi="仿宋_GB2312" w:eastAsia="仿宋_GB2312" w:cs="仿宋_GB2312"/>
          <w:b w:val="0"/>
          <w:bCs w:val="0"/>
          <w:spacing w:val="0"/>
          <w:kern w:val="2"/>
          <w:sz w:val="32"/>
          <w:szCs w:val="32"/>
          <w:highlight w:val="none"/>
          <w:lang w:val="en-US" w:eastAsia="zh-CN" w:bidi="ar-SA"/>
        </w:rPr>
        <w:t>省交通运输厅，具体工作可委托湖南省交通建设质量安全监督管理局、湖南省水运事务中心、湖南省道路运输管理局等相关部门实施。</w:t>
      </w:r>
    </w:p>
    <w:p w14:paraId="3C2C6DB0">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bookmarkStart w:id="23" w:name="OLE_LINK33"/>
      <w:r>
        <w:rPr>
          <w:rFonts w:hint="default" w:ascii="黑体" w:hAnsi="黑体" w:eastAsia="黑体" w:cs="黑体"/>
          <w:color w:val="auto"/>
          <w:spacing w:val="0"/>
          <w:sz w:val="32"/>
          <w:szCs w:val="32"/>
          <w:highlight w:val="none"/>
          <w:u w:val="none"/>
        </w:rPr>
        <w:t>二、评</w:t>
      </w:r>
      <w:r>
        <w:rPr>
          <w:rFonts w:hint="default" w:ascii="黑体" w:hAnsi="黑体" w:eastAsia="黑体" w:cs="黑体"/>
          <w:color w:val="auto"/>
          <w:spacing w:val="0"/>
          <w:sz w:val="32"/>
          <w:szCs w:val="32"/>
          <w:highlight w:val="none"/>
          <w:u w:val="none"/>
          <w:lang w:val="en-US" w:eastAsia="zh-CN"/>
        </w:rPr>
        <w:t>估</w:t>
      </w:r>
      <w:r>
        <w:rPr>
          <w:rFonts w:hint="default" w:ascii="黑体" w:hAnsi="黑体" w:eastAsia="黑体" w:cs="黑体"/>
          <w:color w:val="auto"/>
          <w:spacing w:val="0"/>
          <w:sz w:val="32"/>
          <w:szCs w:val="32"/>
          <w:highlight w:val="none"/>
          <w:u w:val="none"/>
        </w:rPr>
        <w:t>对象</w:t>
      </w:r>
    </w:p>
    <w:p w14:paraId="2FFEBF12">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湖南省</w:t>
      </w:r>
      <w:r>
        <w:rPr>
          <w:rFonts w:hint="eastAsia" w:ascii="Times New Roman" w:hAnsi="Times New Roman" w:eastAsia="仿宋_GB2312" w:cs="仿宋_GB2312"/>
          <w:spacing w:val="0"/>
          <w:sz w:val="32"/>
          <w:szCs w:val="32"/>
          <w:highlight w:val="none"/>
          <w:lang w:val="en-US" w:eastAsia="zh-CN"/>
        </w:rPr>
        <w:t>交通运输</w:t>
      </w:r>
      <w:r>
        <w:rPr>
          <w:rFonts w:hint="eastAsia" w:ascii="Times New Roman" w:hAnsi="Times New Roman" w:eastAsia="仿宋_GB2312" w:cs="仿宋_GB2312"/>
          <w:spacing w:val="0"/>
          <w:sz w:val="32"/>
          <w:szCs w:val="32"/>
          <w:highlight w:val="none"/>
        </w:rPr>
        <w:t>安责险承保机构（</w:t>
      </w:r>
      <w:r>
        <w:rPr>
          <w:rFonts w:hint="eastAsia" w:ascii="Times New Roman" w:hAnsi="Times New Roman" w:eastAsia="仿宋_GB2312" w:cs="仿宋_GB2312"/>
          <w:spacing w:val="0"/>
          <w:sz w:val="32"/>
          <w:szCs w:val="32"/>
          <w:highlight w:val="none"/>
          <w:lang w:val="en-US" w:eastAsia="zh-CN"/>
        </w:rPr>
        <w:t>含</w:t>
      </w:r>
      <w:r>
        <w:rPr>
          <w:rFonts w:hint="eastAsia" w:ascii="Times New Roman" w:hAnsi="Times New Roman" w:eastAsia="仿宋_GB2312" w:cs="仿宋_GB2312"/>
          <w:spacing w:val="0"/>
          <w:sz w:val="32"/>
          <w:szCs w:val="32"/>
          <w:highlight w:val="none"/>
        </w:rPr>
        <w:t>共保体</w:t>
      </w:r>
      <w:r>
        <w:rPr>
          <w:rFonts w:hint="eastAsia" w:ascii="Times New Roman" w:hAnsi="Times New Roman" w:eastAsia="仿宋_GB2312" w:cs="仿宋_GB2312"/>
          <w:spacing w:val="0"/>
          <w:sz w:val="32"/>
          <w:szCs w:val="32"/>
          <w:highlight w:val="none"/>
          <w:lang w:val="en-US" w:eastAsia="zh-CN"/>
        </w:rPr>
        <w:t>主</w:t>
      </w:r>
      <w:r>
        <w:rPr>
          <w:rFonts w:hint="eastAsia" w:ascii="Times New Roman" w:hAnsi="Times New Roman" w:eastAsia="仿宋_GB2312" w:cs="仿宋_GB2312"/>
          <w:spacing w:val="0"/>
          <w:sz w:val="32"/>
          <w:szCs w:val="32"/>
          <w:highlight w:val="none"/>
        </w:rPr>
        <w:t>承保机构</w:t>
      </w:r>
      <w:r>
        <w:rPr>
          <w:rFonts w:hint="eastAsia" w:ascii="Times New Roman" w:hAnsi="Times New Roman" w:eastAsia="仿宋_GB2312" w:cs="仿宋_GB2312"/>
          <w:spacing w:val="0"/>
          <w:sz w:val="32"/>
          <w:szCs w:val="32"/>
          <w:highlight w:val="none"/>
          <w:lang w:eastAsia="zh-CN"/>
        </w:rPr>
        <w:t>、</w:t>
      </w:r>
      <w:r>
        <w:rPr>
          <w:rFonts w:hint="eastAsia" w:ascii="Times New Roman" w:hAnsi="Times New Roman" w:eastAsia="仿宋_GB2312" w:cs="仿宋_GB2312"/>
          <w:spacing w:val="0"/>
          <w:sz w:val="32"/>
          <w:szCs w:val="32"/>
          <w:highlight w:val="none"/>
          <w:lang w:val="en-US" w:eastAsia="zh-CN"/>
        </w:rPr>
        <w:t>共保体其他成员承保机构</w:t>
      </w:r>
      <w:r>
        <w:rPr>
          <w:rFonts w:hint="eastAsia" w:ascii="Times New Roman" w:hAnsi="Times New Roman" w:eastAsia="仿宋_GB2312" w:cs="仿宋_GB2312"/>
          <w:spacing w:val="0"/>
          <w:sz w:val="32"/>
          <w:szCs w:val="32"/>
          <w:highlight w:val="none"/>
        </w:rPr>
        <w:t>及独立承保机构）。</w:t>
      </w:r>
    </w:p>
    <w:bookmarkEnd w:id="23"/>
    <w:p w14:paraId="0ED734DD">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rPr>
        <w:t>三、评</w:t>
      </w:r>
      <w:r>
        <w:rPr>
          <w:rFonts w:hint="default" w:ascii="黑体" w:hAnsi="黑体" w:eastAsia="黑体" w:cs="黑体"/>
          <w:color w:val="auto"/>
          <w:spacing w:val="0"/>
          <w:sz w:val="32"/>
          <w:szCs w:val="32"/>
          <w:highlight w:val="none"/>
          <w:u w:val="none"/>
          <w:lang w:val="en-US" w:eastAsia="zh-CN"/>
        </w:rPr>
        <w:t>估</w:t>
      </w:r>
      <w:r>
        <w:rPr>
          <w:rFonts w:hint="default" w:ascii="黑体" w:hAnsi="黑体" w:eastAsia="黑体" w:cs="黑体"/>
          <w:color w:val="auto"/>
          <w:spacing w:val="0"/>
          <w:sz w:val="32"/>
          <w:szCs w:val="32"/>
          <w:highlight w:val="none"/>
          <w:u w:val="none"/>
        </w:rPr>
        <w:t>时限</w:t>
      </w:r>
    </w:p>
    <w:p w14:paraId="08A31304">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每年</w:t>
      </w:r>
      <w:r>
        <w:rPr>
          <w:rFonts w:hint="eastAsia" w:ascii="Times New Roman" w:hAnsi="Times New Roman" w:eastAsia="仿宋_GB2312" w:cs="仿宋_GB2312"/>
          <w:spacing w:val="0"/>
          <w:sz w:val="32"/>
          <w:szCs w:val="32"/>
          <w:highlight w:val="none"/>
          <w:lang w:val="en-US" w:eastAsia="zh-CN"/>
        </w:rPr>
        <w:t>第一季度对前一年度所有承保机构</w:t>
      </w:r>
      <w:r>
        <w:rPr>
          <w:rFonts w:hint="eastAsia" w:ascii="Times New Roman" w:hAnsi="Times New Roman" w:eastAsia="仿宋_GB2312" w:cs="仿宋_GB2312"/>
          <w:spacing w:val="0"/>
          <w:sz w:val="32"/>
          <w:szCs w:val="32"/>
          <w:highlight w:val="none"/>
        </w:rPr>
        <w:t>进行评</w:t>
      </w:r>
      <w:r>
        <w:rPr>
          <w:rFonts w:hint="eastAsia" w:ascii="Times New Roman" w:hAnsi="Times New Roman" w:eastAsia="仿宋_GB2312" w:cs="仿宋_GB2312"/>
          <w:spacing w:val="0"/>
          <w:sz w:val="32"/>
          <w:szCs w:val="32"/>
          <w:highlight w:val="none"/>
          <w:lang w:val="en-US" w:eastAsia="zh-CN"/>
        </w:rPr>
        <w:t>估</w:t>
      </w:r>
      <w:r>
        <w:rPr>
          <w:rFonts w:hint="eastAsia" w:ascii="Times New Roman" w:hAnsi="Times New Roman" w:eastAsia="仿宋_GB2312" w:cs="仿宋_GB2312"/>
          <w:spacing w:val="0"/>
          <w:sz w:val="32"/>
          <w:szCs w:val="32"/>
          <w:highlight w:val="none"/>
        </w:rPr>
        <w:t>。</w:t>
      </w:r>
    </w:p>
    <w:p w14:paraId="6184929D">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rPr>
        <w:t>四、评</w:t>
      </w:r>
      <w:r>
        <w:rPr>
          <w:rFonts w:hint="default" w:ascii="黑体" w:hAnsi="黑体" w:eastAsia="黑体" w:cs="黑体"/>
          <w:color w:val="auto"/>
          <w:spacing w:val="0"/>
          <w:sz w:val="32"/>
          <w:szCs w:val="32"/>
          <w:highlight w:val="none"/>
          <w:u w:val="none"/>
          <w:lang w:val="en-US" w:eastAsia="zh-CN"/>
        </w:rPr>
        <w:t>估</w:t>
      </w:r>
      <w:r>
        <w:rPr>
          <w:rFonts w:hint="default" w:ascii="黑体" w:hAnsi="黑体" w:eastAsia="黑体" w:cs="黑体"/>
          <w:color w:val="auto"/>
          <w:spacing w:val="0"/>
          <w:sz w:val="32"/>
          <w:szCs w:val="32"/>
          <w:highlight w:val="none"/>
          <w:u w:val="none"/>
        </w:rPr>
        <w:t>方式及计分方式</w:t>
      </w:r>
    </w:p>
    <w:p w14:paraId="2BA1CCB8">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评</w:t>
      </w:r>
      <w:r>
        <w:rPr>
          <w:rFonts w:hint="eastAsia" w:ascii="Times New Roman" w:hAnsi="Times New Roman" w:eastAsia="仿宋_GB2312" w:cs="仿宋_GB2312"/>
          <w:spacing w:val="0"/>
          <w:sz w:val="32"/>
          <w:szCs w:val="32"/>
          <w:highlight w:val="none"/>
          <w:lang w:val="en-US" w:eastAsia="zh-CN"/>
        </w:rPr>
        <w:t>估</w:t>
      </w:r>
      <w:r>
        <w:rPr>
          <w:rFonts w:hint="eastAsia" w:ascii="Times New Roman" w:hAnsi="Times New Roman" w:eastAsia="仿宋_GB2312" w:cs="仿宋_GB2312"/>
          <w:spacing w:val="0"/>
          <w:sz w:val="32"/>
          <w:szCs w:val="32"/>
          <w:highlight w:val="none"/>
        </w:rPr>
        <w:t>方式：评</w:t>
      </w:r>
      <w:r>
        <w:rPr>
          <w:rFonts w:hint="eastAsia" w:ascii="Times New Roman" w:hAnsi="Times New Roman" w:eastAsia="仿宋_GB2312" w:cs="仿宋_GB2312"/>
          <w:spacing w:val="0"/>
          <w:sz w:val="32"/>
          <w:szCs w:val="32"/>
          <w:highlight w:val="none"/>
          <w:lang w:val="en-US" w:eastAsia="zh-CN"/>
        </w:rPr>
        <w:t>估</w:t>
      </w:r>
      <w:r>
        <w:rPr>
          <w:rFonts w:hint="eastAsia" w:ascii="Times New Roman" w:hAnsi="Times New Roman" w:eastAsia="仿宋_GB2312" w:cs="仿宋_GB2312"/>
          <w:spacing w:val="0"/>
          <w:sz w:val="32"/>
          <w:szCs w:val="32"/>
          <w:highlight w:val="none"/>
        </w:rPr>
        <w:t>主体</w:t>
      </w:r>
      <w:r>
        <w:rPr>
          <w:rFonts w:hint="eastAsia" w:ascii="Times New Roman" w:hAnsi="Times New Roman" w:eastAsia="仿宋_GB2312" w:cs="仿宋_GB2312"/>
          <w:color w:val="auto"/>
          <w:spacing w:val="0"/>
          <w:sz w:val="32"/>
          <w:szCs w:val="32"/>
          <w:highlight w:val="none"/>
          <w:u w:val="none"/>
        </w:rPr>
        <w:t>组织专家</w:t>
      </w:r>
      <w:r>
        <w:rPr>
          <w:rFonts w:hint="eastAsia" w:ascii="Times New Roman" w:hAnsi="Times New Roman" w:eastAsia="仿宋_GB2312" w:cs="仿宋_GB2312"/>
          <w:spacing w:val="0"/>
          <w:sz w:val="32"/>
          <w:szCs w:val="32"/>
          <w:highlight w:val="none"/>
        </w:rPr>
        <w:t>根据承保机构</w:t>
      </w:r>
      <w:r>
        <w:rPr>
          <w:rFonts w:hint="eastAsia" w:ascii="Times New Roman" w:hAnsi="Times New Roman" w:eastAsia="仿宋_GB2312" w:cs="仿宋_GB2312"/>
          <w:spacing w:val="0"/>
          <w:sz w:val="32"/>
          <w:szCs w:val="32"/>
          <w:highlight w:val="none"/>
          <w:lang w:val="en-US" w:eastAsia="zh-CN"/>
        </w:rPr>
        <w:t>上年度</w:t>
      </w:r>
      <w:r>
        <w:rPr>
          <w:rFonts w:hint="eastAsia" w:ascii="Times New Roman" w:hAnsi="Times New Roman" w:eastAsia="仿宋_GB2312" w:cs="仿宋_GB2312"/>
          <w:spacing w:val="0"/>
          <w:sz w:val="32"/>
          <w:szCs w:val="32"/>
          <w:highlight w:val="none"/>
        </w:rPr>
        <w:t>事故预防服务</w:t>
      </w:r>
      <w:r>
        <w:rPr>
          <w:rFonts w:hint="eastAsia" w:ascii="Times New Roman" w:hAnsi="Times New Roman" w:eastAsia="仿宋_GB2312" w:cs="仿宋_GB2312"/>
          <w:spacing w:val="0"/>
          <w:sz w:val="32"/>
          <w:szCs w:val="32"/>
          <w:highlight w:val="none"/>
          <w:lang w:val="en-US" w:eastAsia="zh-CN"/>
        </w:rPr>
        <w:t>工作开展</w:t>
      </w:r>
      <w:r>
        <w:rPr>
          <w:rFonts w:hint="eastAsia" w:ascii="Times New Roman" w:hAnsi="Times New Roman" w:eastAsia="仿宋_GB2312" w:cs="仿宋_GB2312"/>
          <w:spacing w:val="0"/>
          <w:sz w:val="32"/>
          <w:szCs w:val="32"/>
          <w:highlight w:val="none"/>
        </w:rPr>
        <w:t>情况，按照《</w:t>
      </w:r>
      <w:r>
        <w:rPr>
          <w:rFonts w:hint="eastAsia" w:ascii="Times New Roman" w:hAnsi="Times New Roman" w:eastAsia="仿宋_GB2312" w:cs="仿宋_GB2312"/>
          <w:spacing w:val="0"/>
          <w:sz w:val="32"/>
          <w:szCs w:val="32"/>
          <w:highlight w:val="none"/>
          <w:lang w:val="zh-CN"/>
        </w:rPr>
        <w:t>湖南省</w:t>
      </w:r>
      <w:r>
        <w:rPr>
          <w:rFonts w:hint="eastAsia" w:ascii="Times New Roman" w:hAnsi="Times New Roman" w:eastAsia="仿宋_GB2312" w:cs="仿宋_GB2312"/>
          <w:spacing w:val="0"/>
          <w:sz w:val="32"/>
          <w:szCs w:val="32"/>
          <w:highlight w:val="none"/>
          <w:lang w:val="en-US" w:eastAsia="zh-CN"/>
        </w:rPr>
        <w:t>交通运输</w:t>
      </w:r>
      <w:r>
        <w:rPr>
          <w:rFonts w:hint="eastAsia" w:ascii="Times New Roman" w:hAnsi="Times New Roman" w:eastAsia="仿宋_GB2312" w:cs="仿宋_GB2312"/>
          <w:spacing w:val="0"/>
          <w:sz w:val="32"/>
          <w:szCs w:val="32"/>
          <w:highlight w:val="none"/>
          <w:lang w:val="zh-CN"/>
        </w:rPr>
        <w:t>安责险承保机构</w:t>
      </w:r>
      <w:r>
        <w:rPr>
          <w:rFonts w:hint="eastAsia" w:ascii="Times New Roman" w:hAnsi="Times New Roman" w:eastAsia="仿宋_GB2312" w:cs="仿宋_GB2312"/>
          <w:spacing w:val="0"/>
          <w:sz w:val="32"/>
          <w:szCs w:val="32"/>
          <w:highlight w:val="none"/>
          <w:lang w:val="en-US" w:eastAsia="zh-CN"/>
        </w:rPr>
        <w:t>事故预防</w:t>
      </w:r>
      <w:r>
        <w:rPr>
          <w:rFonts w:hint="eastAsia" w:ascii="Times New Roman" w:hAnsi="Times New Roman" w:eastAsia="仿宋_GB2312" w:cs="仿宋_GB2312"/>
          <w:spacing w:val="0"/>
          <w:sz w:val="32"/>
          <w:szCs w:val="32"/>
          <w:highlight w:val="none"/>
          <w:lang w:val="zh-CN"/>
        </w:rPr>
        <w:t>服务评</w:t>
      </w:r>
      <w:r>
        <w:rPr>
          <w:rFonts w:hint="eastAsia" w:ascii="Times New Roman" w:hAnsi="Times New Roman" w:eastAsia="仿宋_GB2312" w:cs="仿宋_GB2312"/>
          <w:spacing w:val="0"/>
          <w:sz w:val="32"/>
          <w:szCs w:val="32"/>
          <w:highlight w:val="none"/>
          <w:lang w:val="en-US" w:eastAsia="zh-CN"/>
        </w:rPr>
        <w:t>估</w:t>
      </w:r>
      <w:r>
        <w:rPr>
          <w:rFonts w:hint="eastAsia" w:ascii="Times New Roman" w:hAnsi="Times New Roman" w:eastAsia="仿宋_GB2312" w:cs="仿宋_GB2312"/>
          <w:spacing w:val="0"/>
          <w:sz w:val="32"/>
          <w:szCs w:val="32"/>
          <w:highlight w:val="none"/>
          <w:lang w:val="zh-CN"/>
        </w:rPr>
        <w:t>表</w:t>
      </w:r>
      <w:r>
        <w:rPr>
          <w:rFonts w:hint="eastAsia" w:ascii="Times New Roman" w:hAnsi="Times New Roman" w:eastAsia="仿宋_GB2312" w:cs="仿宋_GB2312"/>
          <w:spacing w:val="0"/>
          <w:sz w:val="32"/>
          <w:szCs w:val="32"/>
          <w:highlight w:val="none"/>
        </w:rPr>
        <w:t>》</w:t>
      </w:r>
      <w:r>
        <w:rPr>
          <w:rFonts w:hint="eastAsia" w:ascii="Times New Roman" w:hAnsi="Times New Roman" w:eastAsia="仿宋_GB2312" w:cs="仿宋_GB2312"/>
          <w:spacing w:val="0"/>
          <w:sz w:val="32"/>
          <w:szCs w:val="32"/>
          <w:highlight w:val="none"/>
          <w:lang w:val="en-US" w:eastAsia="zh-CN"/>
        </w:rPr>
        <w:t>进行</w:t>
      </w:r>
      <w:r>
        <w:rPr>
          <w:rFonts w:hint="eastAsia" w:ascii="Times New Roman" w:hAnsi="Times New Roman" w:eastAsia="仿宋_GB2312" w:cs="仿宋_GB2312"/>
          <w:spacing w:val="0"/>
          <w:sz w:val="32"/>
          <w:szCs w:val="32"/>
          <w:highlight w:val="none"/>
        </w:rPr>
        <w:t>评</w:t>
      </w:r>
      <w:r>
        <w:rPr>
          <w:rFonts w:hint="eastAsia" w:ascii="Times New Roman" w:hAnsi="Times New Roman" w:eastAsia="仿宋_GB2312" w:cs="仿宋_GB2312"/>
          <w:spacing w:val="0"/>
          <w:sz w:val="32"/>
          <w:szCs w:val="32"/>
          <w:highlight w:val="none"/>
          <w:lang w:val="en-US" w:eastAsia="zh-CN"/>
        </w:rPr>
        <w:t>估</w:t>
      </w:r>
      <w:r>
        <w:rPr>
          <w:rFonts w:hint="eastAsia" w:ascii="Times New Roman" w:hAnsi="Times New Roman" w:eastAsia="仿宋_GB2312" w:cs="仿宋_GB2312"/>
          <w:spacing w:val="0"/>
          <w:sz w:val="32"/>
          <w:szCs w:val="32"/>
          <w:highlight w:val="none"/>
        </w:rPr>
        <w:t>。</w:t>
      </w:r>
    </w:p>
    <w:p w14:paraId="01C48120">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default" w:ascii="Times New Roman" w:hAnsi="Times New Roman" w:eastAsia="仿宋" w:cs="Times New Roman"/>
          <w:spacing w:val="0"/>
          <w:sz w:val="32"/>
          <w:szCs w:val="32"/>
          <w:highlight w:val="none"/>
        </w:rPr>
      </w:pPr>
      <w:r>
        <w:rPr>
          <w:rFonts w:hint="eastAsia" w:ascii="Times New Roman" w:hAnsi="Times New Roman" w:eastAsia="仿宋_GB2312" w:cs="仿宋_GB2312"/>
          <w:spacing w:val="0"/>
          <w:sz w:val="32"/>
          <w:szCs w:val="32"/>
          <w:highlight w:val="none"/>
        </w:rPr>
        <w:t>计分方式：百分制。</w:t>
      </w:r>
    </w:p>
    <w:p w14:paraId="3D9CCCB0">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rPr>
        <w:t>五、评</w:t>
      </w:r>
      <w:r>
        <w:rPr>
          <w:rFonts w:hint="default" w:ascii="黑体" w:hAnsi="黑体" w:eastAsia="黑体" w:cs="黑体"/>
          <w:color w:val="auto"/>
          <w:spacing w:val="0"/>
          <w:sz w:val="32"/>
          <w:szCs w:val="32"/>
          <w:highlight w:val="none"/>
          <w:u w:val="none"/>
          <w:lang w:val="en-US" w:eastAsia="zh-CN"/>
        </w:rPr>
        <w:t>估</w:t>
      </w:r>
      <w:r>
        <w:rPr>
          <w:rFonts w:hint="default" w:ascii="黑体" w:hAnsi="黑体" w:eastAsia="黑体" w:cs="黑体"/>
          <w:color w:val="auto"/>
          <w:spacing w:val="0"/>
          <w:sz w:val="32"/>
          <w:szCs w:val="32"/>
          <w:highlight w:val="none"/>
          <w:u w:val="none"/>
        </w:rPr>
        <w:t>管理</w:t>
      </w:r>
    </w:p>
    <w:p w14:paraId="04A55755">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楷体" w:hAnsi="楷体" w:eastAsia="楷体" w:cs="楷体"/>
          <w:b/>
          <w:spacing w:val="0"/>
          <w:sz w:val="32"/>
          <w:szCs w:val="32"/>
          <w:highlight w:val="none"/>
        </w:rPr>
      </w:pPr>
      <w:r>
        <w:rPr>
          <w:rFonts w:hint="eastAsia" w:ascii="楷体" w:hAnsi="楷体" w:eastAsia="楷体" w:cs="楷体"/>
          <w:b/>
          <w:spacing w:val="0"/>
          <w:sz w:val="32"/>
          <w:szCs w:val="32"/>
          <w:highlight w:val="none"/>
        </w:rPr>
        <w:t>（一）评</w:t>
      </w:r>
      <w:r>
        <w:rPr>
          <w:rFonts w:hint="eastAsia" w:ascii="楷体" w:hAnsi="楷体" w:eastAsia="楷体" w:cs="楷体"/>
          <w:b/>
          <w:spacing w:val="0"/>
          <w:sz w:val="32"/>
          <w:szCs w:val="32"/>
          <w:highlight w:val="none"/>
          <w:lang w:val="en-US" w:eastAsia="zh-CN"/>
        </w:rPr>
        <w:t>估</w:t>
      </w:r>
      <w:r>
        <w:rPr>
          <w:rFonts w:hint="eastAsia" w:ascii="楷体" w:hAnsi="楷体" w:eastAsia="楷体" w:cs="楷体"/>
          <w:b/>
          <w:spacing w:val="0"/>
          <w:sz w:val="32"/>
          <w:szCs w:val="32"/>
          <w:highlight w:val="none"/>
        </w:rPr>
        <w:t>等级</w:t>
      </w:r>
    </w:p>
    <w:p w14:paraId="44DADF46">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省</w:t>
      </w:r>
      <w:r>
        <w:rPr>
          <w:rFonts w:hint="eastAsia" w:ascii="Times New Roman" w:hAnsi="Times New Roman" w:eastAsia="仿宋_GB2312" w:cs="仿宋_GB2312"/>
          <w:spacing w:val="0"/>
          <w:sz w:val="32"/>
          <w:szCs w:val="32"/>
          <w:highlight w:val="none"/>
          <w:lang w:val="en-US" w:eastAsia="zh-CN"/>
        </w:rPr>
        <w:t>交通运输</w:t>
      </w:r>
      <w:r>
        <w:rPr>
          <w:rFonts w:hint="eastAsia" w:ascii="Times New Roman" w:hAnsi="Times New Roman" w:eastAsia="仿宋_GB2312" w:cs="仿宋_GB2312"/>
          <w:spacing w:val="0"/>
          <w:sz w:val="32"/>
          <w:szCs w:val="32"/>
          <w:highlight w:val="none"/>
        </w:rPr>
        <w:t>厅按年度组织对</w:t>
      </w:r>
      <w:r>
        <w:rPr>
          <w:rFonts w:hint="eastAsia" w:ascii="Times New Roman" w:hAnsi="Times New Roman" w:eastAsia="仿宋_GB2312" w:cs="仿宋_GB2312"/>
          <w:spacing w:val="0"/>
          <w:sz w:val="32"/>
          <w:szCs w:val="32"/>
          <w:highlight w:val="none"/>
          <w:lang w:val="en-US" w:eastAsia="zh-CN"/>
        </w:rPr>
        <w:t>交通运输</w:t>
      </w:r>
      <w:r>
        <w:rPr>
          <w:rFonts w:hint="eastAsia" w:ascii="Times New Roman" w:hAnsi="Times New Roman" w:eastAsia="仿宋_GB2312" w:cs="仿宋_GB2312"/>
          <w:spacing w:val="0"/>
          <w:sz w:val="32"/>
          <w:szCs w:val="32"/>
          <w:highlight w:val="none"/>
        </w:rPr>
        <w:t>安责险承保机构</w:t>
      </w:r>
      <w:r>
        <w:rPr>
          <w:rFonts w:hint="eastAsia" w:ascii="Times New Roman" w:hAnsi="Times New Roman" w:eastAsia="仿宋_GB2312" w:cs="仿宋_GB2312"/>
          <w:spacing w:val="0"/>
          <w:sz w:val="32"/>
          <w:szCs w:val="32"/>
          <w:highlight w:val="none"/>
          <w:lang w:val="en-US" w:eastAsia="zh-CN"/>
        </w:rPr>
        <w:t>事故预防服务</w:t>
      </w:r>
      <w:r>
        <w:rPr>
          <w:rFonts w:hint="eastAsia" w:ascii="Times New Roman" w:hAnsi="Times New Roman" w:eastAsia="仿宋_GB2312" w:cs="仿宋_GB2312"/>
          <w:spacing w:val="0"/>
          <w:sz w:val="32"/>
          <w:szCs w:val="32"/>
          <w:highlight w:val="none"/>
        </w:rPr>
        <w:t>工作开展情况进行评</w:t>
      </w:r>
      <w:r>
        <w:rPr>
          <w:rFonts w:hint="eastAsia" w:ascii="Times New Roman" w:hAnsi="Times New Roman" w:eastAsia="仿宋_GB2312" w:cs="仿宋_GB2312"/>
          <w:spacing w:val="0"/>
          <w:sz w:val="32"/>
          <w:szCs w:val="32"/>
          <w:highlight w:val="none"/>
          <w:lang w:val="en-US" w:eastAsia="zh-CN"/>
        </w:rPr>
        <w:t>估</w:t>
      </w:r>
      <w:r>
        <w:rPr>
          <w:rFonts w:hint="eastAsia" w:ascii="Times New Roman" w:hAnsi="Times New Roman" w:eastAsia="仿宋_GB2312" w:cs="仿宋_GB2312"/>
          <w:spacing w:val="0"/>
          <w:sz w:val="32"/>
          <w:szCs w:val="32"/>
          <w:highlight w:val="none"/>
        </w:rPr>
        <w:t>，</w:t>
      </w:r>
      <w:r>
        <w:rPr>
          <w:rFonts w:hint="eastAsia" w:ascii="Times New Roman" w:hAnsi="Times New Roman" w:eastAsia="仿宋_GB2312" w:cs="仿宋_GB2312"/>
          <w:spacing w:val="0"/>
          <w:sz w:val="32"/>
          <w:szCs w:val="32"/>
          <w:highlight w:val="none"/>
          <w:lang w:val="en-US" w:eastAsia="zh-CN"/>
        </w:rPr>
        <w:t>根据</w:t>
      </w:r>
      <w:r>
        <w:rPr>
          <w:rFonts w:hint="eastAsia" w:ascii="Times New Roman" w:hAnsi="Times New Roman" w:eastAsia="仿宋_GB2312" w:cs="仿宋_GB2312"/>
          <w:spacing w:val="0"/>
          <w:sz w:val="32"/>
          <w:szCs w:val="32"/>
          <w:highlight w:val="none"/>
          <w:lang w:eastAsia="zh-CN"/>
        </w:rPr>
        <w:t>评估</w:t>
      </w:r>
      <w:r>
        <w:rPr>
          <w:rFonts w:hint="eastAsia" w:ascii="Times New Roman" w:hAnsi="Times New Roman" w:eastAsia="仿宋_GB2312" w:cs="仿宋_GB2312"/>
          <w:spacing w:val="0"/>
          <w:sz w:val="32"/>
          <w:szCs w:val="32"/>
          <w:highlight w:val="none"/>
        </w:rPr>
        <w:t>得分情况，</w:t>
      </w:r>
      <w:r>
        <w:rPr>
          <w:rFonts w:hint="eastAsia" w:ascii="Times New Roman" w:hAnsi="Times New Roman" w:eastAsia="仿宋_GB2312" w:cs="仿宋_GB2312"/>
          <w:spacing w:val="0"/>
          <w:sz w:val="32"/>
          <w:szCs w:val="32"/>
          <w:highlight w:val="none"/>
          <w:lang w:eastAsia="zh-CN"/>
        </w:rPr>
        <w:t>评估</w:t>
      </w:r>
      <w:r>
        <w:rPr>
          <w:rFonts w:hint="eastAsia" w:ascii="Times New Roman" w:hAnsi="Times New Roman" w:eastAsia="仿宋_GB2312" w:cs="仿宋_GB2312"/>
          <w:spacing w:val="0"/>
          <w:sz w:val="32"/>
          <w:szCs w:val="32"/>
          <w:highlight w:val="none"/>
        </w:rPr>
        <w:t>等级分为A级、B级、C级三个等级。</w:t>
      </w:r>
    </w:p>
    <w:p w14:paraId="7A135BCC">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A级：</w:t>
      </w:r>
      <w:r>
        <w:rPr>
          <w:rFonts w:hint="eastAsia" w:ascii="Times New Roman" w:hAnsi="Times New Roman" w:eastAsia="仿宋_GB2312" w:cs="仿宋_GB2312"/>
          <w:spacing w:val="0"/>
          <w:sz w:val="32"/>
          <w:szCs w:val="32"/>
          <w:highlight w:val="none"/>
          <w:lang w:eastAsia="zh-CN"/>
        </w:rPr>
        <w:t>评估</w:t>
      </w:r>
      <w:r>
        <w:rPr>
          <w:rFonts w:hint="eastAsia" w:ascii="Times New Roman" w:hAnsi="Times New Roman" w:eastAsia="仿宋_GB2312" w:cs="仿宋_GB2312"/>
          <w:spacing w:val="0"/>
          <w:sz w:val="32"/>
          <w:szCs w:val="32"/>
          <w:highlight w:val="none"/>
        </w:rPr>
        <w:t>得分85分（含）以上；</w:t>
      </w:r>
    </w:p>
    <w:p w14:paraId="69728878">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B级：</w:t>
      </w:r>
      <w:r>
        <w:rPr>
          <w:rFonts w:hint="eastAsia" w:ascii="Times New Roman" w:hAnsi="Times New Roman" w:eastAsia="仿宋_GB2312" w:cs="仿宋_GB2312"/>
          <w:spacing w:val="0"/>
          <w:sz w:val="32"/>
          <w:szCs w:val="32"/>
          <w:highlight w:val="none"/>
          <w:lang w:eastAsia="zh-CN"/>
        </w:rPr>
        <w:t>评估</w:t>
      </w:r>
      <w:r>
        <w:rPr>
          <w:rFonts w:hint="eastAsia" w:ascii="Times New Roman" w:hAnsi="Times New Roman" w:eastAsia="仿宋_GB2312" w:cs="仿宋_GB2312"/>
          <w:spacing w:val="0"/>
          <w:sz w:val="32"/>
          <w:szCs w:val="32"/>
          <w:highlight w:val="none"/>
        </w:rPr>
        <w:t>得分60分（含）以上，85分以下；</w:t>
      </w:r>
    </w:p>
    <w:p w14:paraId="64AFD611">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C级：</w:t>
      </w:r>
      <w:r>
        <w:rPr>
          <w:rFonts w:hint="eastAsia" w:ascii="Times New Roman" w:hAnsi="Times New Roman" w:eastAsia="仿宋_GB2312" w:cs="仿宋_GB2312"/>
          <w:spacing w:val="0"/>
          <w:sz w:val="32"/>
          <w:szCs w:val="32"/>
          <w:highlight w:val="none"/>
          <w:lang w:eastAsia="zh-CN"/>
        </w:rPr>
        <w:t>评估</w:t>
      </w:r>
      <w:r>
        <w:rPr>
          <w:rFonts w:hint="eastAsia" w:ascii="Times New Roman" w:hAnsi="Times New Roman" w:eastAsia="仿宋_GB2312" w:cs="仿宋_GB2312"/>
          <w:spacing w:val="0"/>
          <w:sz w:val="32"/>
          <w:szCs w:val="32"/>
          <w:highlight w:val="none"/>
        </w:rPr>
        <w:t>得分60分以下。</w:t>
      </w:r>
    </w:p>
    <w:p w14:paraId="6AAEEC9E">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default" w:ascii="楷体" w:hAnsi="楷体" w:eastAsia="楷体" w:cs="楷体"/>
          <w:b/>
          <w:spacing w:val="0"/>
          <w:sz w:val="32"/>
          <w:szCs w:val="32"/>
          <w:highlight w:val="none"/>
        </w:rPr>
      </w:pPr>
      <w:r>
        <w:rPr>
          <w:rFonts w:hint="default" w:ascii="楷体" w:hAnsi="楷体" w:eastAsia="楷体" w:cs="楷体"/>
          <w:b/>
          <w:spacing w:val="0"/>
          <w:sz w:val="32"/>
          <w:szCs w:val="32"/>
          <w:highlight w:val="none"/>
        </w:rPr>
        <w:t>（二）</w:t>
      </w:r>
      <w:r>
        <w:rPr>
          <w:rFonts w:hint="default" w:ascii="楷体" w:hAnsi="楷体" w:eastAsia="楷体" w:cs="楷体"/>
          <w:b/>
          <w:spacing w:val="0"/>
          <w:sz w:val="32"/>
          <w:szCs w:val="32"/>
          <w:highlight w:val="none"/>
          <w:lang w:eastAsia="zh-CN"/>
        </w:rPr>
        <w:t>评估</w:t>
      </w:r>
      <w:r>
        <w:rPr>
          <w:rFonts w:hint="default" w:ascii="楷体" w:hAnsi="楷体" w:eastAsia="楷体" w:cs="楷体"/>
          <w:b/>
          <w:spacing w:val="0"/>
          <w:sz w:val="32"/>
          <w:szCs w:val="32"/>
          <w:highlight w:val="none"/>
        </w:rPr>
        <w:t>结果应用</w:t>
      </w:r>
    </w:p>
    <w:p w14:paraId="55AAC410">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default" w:ascii="Times New Roman" w:hAnsi="Times New Roman" w:eastAsia="仿宋_GB2312" w:cs="Times New Roman"/>
          <w:spacing w:val="0"/>
          <w:sz w:val="32"/>
          <w:szCs w:val="32"/>
          <w:highlight w:val="none"/>
          <w:lang w:eastAsia="zh-CN"/>
        </w:rPr>
      </w:pPr>
      <w:r>
        <w:rPr>
          <w:rFonts w:hint="default" w:ascii="Times New Roman" w:hAnsi="Times New Roman" w:eastAsia="仿宋_GB2312" w:cs="Times New Roman"/>
          <w:spacing w:val="0"/>
          <w:sz w:val="32"/>
          <w:szCs w:val="32"/>
          <w:highlight w:val="none"/>
        </w:rPr>
        <w:t>省</w:t>
      </w:r>
      <w:r>
        <w:rPr>
          <w:rFonts w:hint="eastAsia" w:ascii="Times New Roman" w:hAnsi="Times New Roman" w:eastAsia="仿宋_GB2312" w:cs="Times New Roman"/>
          <w:spacing w:val="0"/>
          <w:sz w:val="32"/>
          <w:szCs w:val="32"/>
          <w:highlight w:val="none"/>
          <w:lang w:val="en-US" w:eastAsia="zh-CN"/>
        </w:rPr>
        <w:t>交通运输</w:t>
      </w:r>
      <w:r>
        <w:rPr>
          <w:rFonts w:hint="default" w:ascii="Times New Roman" w:hAnsi="Times New Roman" w:eastAsia="仿宋_GB2312" w:cs="Times New Roman"/>
          <w:spacing w:val="0"/>
          <w:sz w:val="32"/>
          <w:szCs w:val="32"/>
          <w:highlight w:val="none"/>
        </w:rPr>
        <w:t>厅将</w:t>
      </w:r>
      <w:r>
        <w:rPr>
          <w:rFonts w:hint="default" w:ascii="Times New Roman" w:hAnsi="Times New Roman" w:eastAsia="仿宋_GB2312" w:cs="Times New Roman"/>
          <w:spacing w:val="0"/>
          <w:sz w:val="32"/>
          <w:szCs w:val="32"/>
          <w:highlight w:val="none"/>
          <w:lang w:val="en-US" w:eastAsia="zh-CN"/>
        </w:rPr>
        <w:t>承保机构</w:t>
      </w:r>
      <w:r>
        <w:rPr>
          <w:rFonts w:hint="default" w:ascii="Times New Roman" w:hAnsi="Times New Roman" w:eastAsia="仿宋_GB2312" w:cs="Times New Roman"/>
          <w:spacing w:val="0"/>
          <w:sz w:val="32"/>
          <w:szCs w:val="32"/>
          <w:highlight w:val="none"/>
          <w:lang w:eastAsia="zh-CN"/>
        </w:rPr>
        <w:t>评估</w:t>
      </w:r>
      <w:r>
        <w:rPr>
          <w:rFonts w:hint="default" w:ascii="Times New Roman" w:hAnsi="Times New Roman" w:eastAsia="仿宋_GB2312" w:cs="Times New Roman"/>
          <w:spacing w:val="0"/>
          <w:sz w:val="32"/>
          <w:szCs w:val="32"/>
          <w:highlight w:val="none"/>
        </w:rPr>
        <w:t>结果</w:t>
      </w:r>
      <w:r>
        <w:rPr>
          <w:rFonts w:hint="default" w:ascii="Times New Roman" w:hAnsi="Times New Roman" w:eastAsia="仿宋_GB2312" w:cs="Times New Roman"/>
          <w:spacing w:val="0"/>
          <w:sz w:val="32"/>
          <w:szCs w:val="32"/>
          <w:highlight w:val="none"/>
          <w:lang w:val="en-US" w:eastAsia="zh-CN"/>
        </w:rPr>
        <w:t>抄送</w:t>
      </w:r>
      <w:r>
        <w:rPr>
          <w:rFonts w:hint="default" w:ascii="Times New Roman" w:hAnsi="Times New Roman" w:eastAsia="仿宋_GB2312" w:cs="Times New Roman"/>
          <w:spacing w:val="0"/>
          <w:sz w:val="32"/>
          <w:szCs w:val="32"/>
          <w:highlight w:val="none"/>
          <w:lang w:eastAsia="zh-CN"/>
        </w:rPr>
        <w:t>湖南金融监管局</w:t>
      </w:r>
      <w:r>
        <w:rPr>
          <w:rFonts w:hint="default" w:ascii="Times New Roman" w:hAnsi="Times New Roman" w:eastAsia="仿宋_GB2312" w:cs="Times New Roman"/>
          <w:b w:val="0"/>
          <w:bCs w:val="0"/>
          <w:color w:val="auto"/>
          <w:spacing w:val="0"/>
          <w:kern w:val="2"/>
          <w:sz w:val="32"/>
          <w:szCs w:val="32"/>
          <w:highlight w:val="none"/>
          <w:u w:val="none"/>
          <w:lang w:val="en-US" w:eastAsia="zh-CN" w:bidi="ar-SA"/>
        </w:rPr>
        <w:t>，</w:t>
      </w:r>
      <w:r>
        <w:rPr>
          <w:rFonts w:hint="default" w:ascii="Times New Roman" w:hAnsi="Times New Roman" w:eastAsia="仿宋_GB2312" w:cs="Times New Roman"/>
          <w:spacing w:val="0"/>
          <w:sz w:val="32"/>
          <w:szCs w:val="32"/>
          <w:highlight w:val="none"/>
          <w:lang w:val="en-US" w:eastAsia="zh-CN"/>
        </w:rPr>
        <w:t>并</w:t>
      </w:r>
      <w:r>
        <w:rPr>
          <w:rFonts w:hint="default" w:ascii="Times New Roman" w:hAnsi="Times New Roman" w:eastAsia="仿宋_GB2312" w:cs="Times New Roman"/>
          <w:spacing w:val="0"/>
          <w:sz w:val="32"/>
          <w:szCs w:val="32"/>
          <w:highlight w:val="none"/>
        </w:rPr>
        <w:t>向社会</w:t>
      </w:r>
      <w:r>
        <w:rPr>
          <w:rFonts w:hint="default" w:ascii="Times New Roman" w:hAnsi="Times New Roman" w:eastAsia="仿宋_GB2312" w:cs="Times New Roman"/>
          <w:spacing w:val="0"/>
          <w:sz w:val="32"/>
          <w:szCs w:val="32"/>
          <w:highlight w:val="none"/>
          <w:lang w:val="en-US" w:eastAsia="zh-CN"/>
        </w:rPr>
        <w:t>进行</w:t>
      </w:r>
      <w:r>
        <w:rPr>
          <w:rFonts w:hint="default" w:ascii="Times New Roman" w:hAnsi="Times New Roman" w:eastAsia="仿宋_GB2312" w:cs="Times New Roman"/>
          <w:spacing w:val="0"/>
          <w:sz w:val="32"/>
          <w:szCs w:val="32"/>
          <w:highlight w:val="none"/>
        </w:rPr>
        <w:t>公布</w:t>
      </w:r>
      <w:r>
        <w:rPr>
          <w:rFonts w:hint="default" w:ascii="Times New Roman" w:hAnsi="Times New Roman" w:eastAsia="仿宋_GB2312" w:cs="Times New Roman"/>
          <w:spacing w:val="0"/>
          <w:sz w:val="32"/>
          <w:szCs w:val="32"/>
          <w:highlight w:val="none"/>
          <w:lang w:eastAsia="zh-CN"/>
        </w:rPr>
        <w:t>。</w:t>
      </w:r>
    </w:p>
    <w:p w14:paraId="3F441C58">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24" w:firstLineChars="200"/>
        <w:textAlignment w:val="auto"/>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spacing w:val="0"/>
          <w:sz w:val="32"/>
          <w:szCs w:val="32"/>
          <w:highlight w:val="none"/>
          <w:lang w:val="en-US" w:eastAsia="zh-CN"/>
        </w:rPr>
        <w:t>承保机构</w:t>
      </w:r>
      <w:r>
        <w:rPr>
          <w:rFonts w:hint="default" w:ascii="Times New Roman" w:hAnsi="Times New Roman" w:eastAsia="仿宋_GB2312" w:cs="Times New Roman"/>
          <w:spacing w:val="0"/>
          <w:sz w:val="32"/>
          <w:szCs w:val="32"/>
          <w:highlight w:val="none"/>
        </w:rPr>
        <w:t>评价结果为A级的，为全省示范性承保机构</w:t>
      </w:r>
      <w:r>
        <w:rPr>
          <w:rFonts w:hint="default" w:ascii="Times New Roman" w:hAnsi="Times New Roman" w:eastAsia="仿宋_GB2312" w:cs="Times New Roman"/>
          <w:spacing w:val="0"/>
          <w:sz w:val="32"/>
          <w:szCs w:val="32"/>
          <w:highlight w:val="none"/>
          <w:lang w:eastAsia="zh-CN"/>
        </w:rPr>
        <w:t>；</w:t>
      </w:r>
      <w:r>
        <w:rPr>
          <w:rFonts w:hint="default" w:ascii="Times New Roman" w:hAnsi="Times New Roman" w:eastAsia="仿宋_GB2312" w:cs="Times New Roman"/>
          <w:spacing w:val="0"/>
          <w:sz w:val="32"/>
          <w:szCs w:val="32"/>
          <w:highlight w:val="none"/>
        </w:rPr>
        <w:t>承保机构年度评价结果等级为C级的，责令限期整改，拒不整改或整改后仍然达不到B级及以上的，省</w:t>
      </w:r>
      <w:r>
        <w:rPr>
          <w:rFonts w:hint="eastAsia" w:eastAsia="仿宋_GB2312" w:cs="Times New Roman"/>
          <w:spacing w:val="0"/>
          <w:sz w:val="32"/>
          <w:szCs w:val="32"/>
          <w:highlight w:val="none"/>
          <w:lang w:val="en-US" w:eastAsia="zh-CN"/>
        </w:rPr>
        <w:t>交通运输</w:t>
      </w:r>
      <w:r>
        <w:rPr>
          <w:rFonts w:hint="eastAsia" w:eastAsia="仿宋_GB2312" w:cs="Times New Roman"/>
          <w:spacing w:val="0"/>
          <w:sz w:val="32"/>
          <w:szCs w:val="32"/>
          <w:highlight w:val="none"/>
          <w:lang w:val="en-US" w:eastAsia="zh-CN"/>
        </w:rPr>
        <w:t>厅</w:t>
      </w:r>
      <w:r>
        <w:rPr>
          <w:rFonts w:hint="default" w:ascii="Times New Roman" w:hAnsi="Times New Roman" w:eastAsia="仿宋_GB2312" w:cs="Times New Roman"/>
          <w:spacing w:val="0"/>
          <w:sz w:val="32"/>
          <w:szCs w:val="32"/>
          <w:highlight w:val="none"/>
        </w:rPr>
        <w:t>向社会发布风险提示公告。</w:t>
      </w:r>
    </w:p>
    <w:p w14:paraId="4110AB62">
      <w:pPr>
        <w:pStyle w:val="12"/>
        <w:keepNext w:val="0"/>
        <w:keepLines w:val="0"/>
        <w:pageBreakBefore w:val="0"/>
        <w:widowControl w:val="0"/>
        <w:kinsoku/>
        <w:overflowPunct/>
        <w:topLinePunct w:val="0"/>
        <w:autoSpaceDE/>
        <w:autoSpaceDN/>
        <w:bidi w:val="0"/>
        <w:adjustRightInd/>
        <w:snapToGrid/>
        <w:spacing w:beforeAutospacing="0" w:afterAutospacing="0" w:line="240" w:lineRule="auto"/>
        <w:ind w:firstLine="624" w:firstLineChars="200"/>
        <w:jc w:val="both"/>
        <w:textAlignment w:val="auto"/>
        <w:rPr>
          <w:rFonts w:hint="default" w:ascii="黑体" w:hAnsi="黑体" w:eastAsia="黑体" w:cs="黑体"/>
          <w:color w:val="auto"/>
          <w:spacing w:val="0"/>
          <w:sz w:val="32"/>
          <w:szCs w:val="32"/>
          <w:highlight w:val="none"/>
          <w:u w:val="none"/>
        </w:rPr>
      </w:pPr>
      <w:r>
        <w:rPr>
          <w:rFonts w:hint="default" w:ascii="黑体" w:hAnsi="黑体" w:eastAsia="黑体" w:cs="黑体"/>
          <w:color w:val="auto"/>
          <w:spacing w:val="0"/>
          <w:sz w:val="32"/>
          <w:szCs w:val="32"/>
          <w:highlight w:val="none"/>
          <w:u w:val="none"/>
        </w:rPr>
        <w:t>六、其他</w:t>
      </w:r>
    </w:p>
    <w:p w14:paraId="2ED70B64">
      <w:pPr>
        <w:keepNext w:val="0"/>
        <w:keepLines w:val="0"/>
        <w:pageBreakBefore w:val="0"/>
        <w:widowControl w:val="0"/>
        <w:kinsoku/>
        <w:overflowPunct/>
        <w:topLinePunct w:val="0"/>
        <w:autoSpaceDE/>
        <w:autoSpaceDN/>
        <w:bidi w:val="0"/>
        <w:adjustRightInd/>
        <w:snapToGrid/>
        <w:spacing w:line="240" w:lineRule="auto"/>
        <w:ind w:firstLine="624" w:firstLineChars="200"/>
        <w:textAlignment w:val="auto"/>
        <w:rPr>
          <w:rFonts w:hint="eastAsia" w:ascii="Times New Roman" w:hAnsi="Times New Roman" w:eastAsia="仿宋_GB2312" w:cs="仿宋_GB2312"/>
          <w:spacing w:val="0"/>
          <w:sz w:val="32"/>
          <w:szCs w:val="32"/>
          <w:highlight w:val="none"/>
        </w:rPr>
      </w:pPr>
      <w:r>
        <w:rPr>
          <w:rFonts w:hint="eastAsia" w:ascii="Times New Roman" w:hAnsi="Times New Roman" w:eastAsia="仿宋_GB2312" w:cs="仿宋_GB2312"/>
          <w:spacing w:val="0"/>
          <w:sz w:val="32"/>
          <w:szCs w:val="32"/>
          <w:highlight w:val="none"/>
        </w:rPr>
        <w:t>未尽事宜按相关文件执行。</w:t>
      </w:r>
    </w:p>
    <w:p w14:paraId="33EDA16A">
      <w:pPr>
        <w:pStyle w:val="2"/>
        <w:keepNext w:val="0"/>
        <w:keepLines w:val="0"/>
        <w:pageBreakBefore w:val="0"/>
        <w:widowControl w:val="0"/>
        <w:kinsoku/>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spacing w:val="0"/>
          <w:sz w:val="32"/>
          <w:szCs w:val="32"/>
          <w:highlight w:val="none"/>
        </w:rPr>
      </w:pPr>
    </w:p>
    <w:p w14:paraId="78894188">
      <w:pPr>
        <w:pStyle w:val="2"/>
        <w:keepNext w:val="0"/>
        <w:keepLines w:val="0"/>
        <w:pageBreakBefore w:val="0"/>
        <w:widowControl w:val="0"/>
        <w:kinsoku/>
        <w:overflowPunct/>
        <w:topLinePunct w:val="0"/>
        <w:autoSpaceDE/>
        <w:autoSpaceDN/>
        <w:bidi w:val="0"/>
        <w:adjustRightInd/>
        <w:snapToGrid/>
        <w:spacing w:after="0" w:line="240" w:lineRule="auto"/>
        <w:ind w:left="0" w:leftChars="0" w:firstLine="0" w:firstLineChars="0"/>
        <w:textAlignment w:val="auto"/>
        <w:rPr>
          <w:rFonts w:hint="eastAsia" w:ascii="Times New Roman" w:hAnsi="Times New Roman" w:eastAsia="仿宋_GB2312" w:cs="仿宋_GB2312"/>
          <w:spacing w:val="0"/>
          <w:sz w:val="32"/>
          <w:szCs w:val="32"/>
          <w:highlight w:val="none"/>
          <w:lang w:val="en-US" w:eastAsia="zh-CN"/>
        </w:rPr>
        <w:sectPr>
          <w:headerReference r:id="rId3" w:type="default"/>
          <w:footerReference r:id="rId4" w:type="default"/>
          <w:pgSz w:w="11906" w:h="16838"/>
          <w:pgMar w:top="2098" w:right="1587" w:bottom="2098" w:left="1587" w:header="1701" w:footer="1701" w:gutter="0"/>
          <w:pgNumType w:fmt="decimal"/>
          <w:cols w:space="0" w:num="1"/>
          <w:rtlGutter w:val="0"/>
          <w:docGrid w:type="linesAndChars" w:linePitch="574" w:charSpace="-1668"/>
        </w:sectPr>
      </w:pPr>
      <w:r>
        <w:rPr>
          <w:rFonts w:hint="default" w:ascii="Times New Roman" w:hAnsi="Times New Roman" w:eastAsia="仿宋" w:cs="Times New Roman"/>
          <w:spacing w:val="0"/>
          <w:sz w:val="32"/>
          <w:szCs w:val="32"/>
          <w:highlight w:val="none"/>
        </w:rPr>
        <w:t xml:space="preserve">    </w:t>
      </w:r>
      <w:r>
        <w:rPr>
          <w:rFonts w:hint="eastAsia" w:ascii="Times New Roman" w:hAnsi="Times New Roman" w:eastAsia="仿宋_GB2312" w:cs="仿宋_GB2312"/>
          <w:spacing w:val="0"/>
          <w:sz w:val="32"/>
          <w:szCs w:val="32"/>
          <w:highlight w:val="none"/>
        </w:rPr>
        <w:t>附</w:t>
      </w:r>
      <w:r>
        <w:rPr>
          <w:rFonts w:hint="eastAsia" w:ascii="Times New Roman" w:hAnsi="Times New Roman" w:eastAsia="仿宋_GB2312" w:cs="仿宋_GB2312"/>
          <w:spacing w:val="0"/>
          <w:sz w:val="32"/>
          <w:szCs w:val="32"/>
          <w:highlight w:val="none"/>
          <w:lang w:val="en-US" w:eastAsia="zh-CN"/>
        </w:rPr>
        <w:t>表</w:t>
      </w:r>
      <w:r>
        <w:rPr>
          <w:rFonts w:hint="eastAsia" w:ascii="Times New Roman" w:hAnsi="Times New Roman" w:eastAsia="仿宋_GB2312" w:cs="仿宋_GB2312"/>
          <w:spacing w:val="0"/>
          <w:sz w:val="32"/>
          <w:szCs w:val="32"/>
          <w:highlight w:val="none"/>
          <w:lang w:eastAsia="zh-CN"/>
        </w:rPr>
        <w:t>：</w:t>
      </w:r>
      <w:r>
        <w:rPr>
          <w:rFonts w:hint="eastAsia" w:ascii="Times New Roman" w:hAnsi="Times New Roman" w:eastAsia="仿宋_GB2312" w:cs="仿宋_GB2312"/>
          <w:spacing w:val="0"/>
          <w:sz w:val="32"/>
          <w:szCs w:val="32"/>
          <w:highlight w:val="none"/>
        </w:rPr>
        <w:t>湖南省</w:t>
      </w:r>
      <w:r>
        <w:rPr>
          <w:rFonts w:hint="eastAsia" w:eastAsia="仿宋_GB2312" w:cs="仿宋_GB2312"/>
          <w:spacing w:val="0"/>
          <w:sz w:val="32"/>
          <w:szCs w:val="32"/>
          <w:highlight w:val="none"/>
          <w:lang w:val="en-US" w:eastAsia="zh-CN"/>
        </w:rPr>
        <w:t>交通运输</w:t>
      </w:r>
      <w:r>
        <w:rPr>
          <w:rFonts w:hint="eastAsia" w:ascii="Times New Roman" w:hAnsi="Times New Roman" w:eastAsia="仿宋_GB2312" w:cs="仿宋_GB2312"/>
          <w:spacing w:val="0"/>
          <w:sz w:val="32"/>
          <w:szCs w:val="32"/>
          <w:highlight w:val="none"/>
        </w:rPr>
        <w:t>安责险承保机构</w:t>
      </w:r>
      <w:r>
        <w:rPr>
          <w:rFonts w:hint="eastAsia" w:ascii="Times New Roman" w:hAnsi="Times New Roman" w:eastAsia="仿宋_GB2312" w:cs="仿宋_GB2312"/>
          <w:spacing w:val="0"/>
          <w:sz w:val="32"/>
          <w:szCs w:val="32"/>
          <w:highlight w:val="none"/>
          <w:lang w:val="en-US" w:eastAsia="zh-CN"/>
        </w:rPr>
        <w:t>事故预防</w:t>
      </w:r>
      <w:r>
        <w:rPr>
          <w:rFonts w:hint="eastAsia" w:ascii="Times New Roman" w:hAnsi="Times New Roman" w:eastAsia="仿宋_GB2312" w:cs="仿宋_GB2312"/>
          <w:spacing w:val="0"/>
          <w:sz w:val="32"/>
          <w:szCs w:val="32"/>
          <w:highlight w:val="none"/>
        </w:rPr>
        <w:t>服务</w:t>
      </w:r>
      <w:r>
        <w:rPr>
          <w:rFonts w:hint="eastAsia" w:ascii="Times New Roman" w:hAnsi="Times New Roman" w:eastAsia="仿宋_GB2312" w:cs="仿宋_GB2312"/>
          <w:spacing w:val="0"/>
          <w:sz w:val="32"/>
          <w:szCs w:val="32"/>
          <w:highlight w:val="none"/>
          <w:lang w:eastAsia="zh-CN"/>
        </w:rPr>
        <w:t>评估</w:t>
      </w:r>
      <w:r>
        <w:rPr>
          <w:rFonts w:hint="eastAsia" w:ascii="Times New Roman" w:hAnsi="Times New Roman" w:eastAsia="仿宋_GB2312" w:cs="仿宋_GB2312"/>
          <w:spacing w:val="0"/>
          <w:sz w:val="32"/>
          <w:szCs w:val="32"/>
          <w:highlight w:val="none"/>
          <w:lang w:val="en-US" w:eastAsia="zh-CN"/>
        </w:rPr>
        <w:t>表</w:t>
      </w:r>
    </w:p>
    <w:p w14:paraId="54552A2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b w:val="0"/>
          <w:bCs/>
          <w:spacing w:val="0"/>
          <w:sz w:val="32"/>
          <w:szCs w:val="32"/>
          <w:highlight w:val="none"/>
        </w:rPr>
      </w:pPr>
      <w:r>
        <w:rPr>
          <w:rFonts w:hint="eastAsia" w:ascii="黑体" w:hAnsi="黑体" w:eastAsia="黑体" w:cs="黑体"/>
          <w:b w:val="0"/>
          <w:bCs/>
          <w:spacing w:val="0"/>
          <w:sz w:val="32"/>
          <w:szCs w:val="32"/>
          <w:highlight w:val="none"/>
        </w:rPr>
        <w:t>附</w:t>
      </w:r>
      <w:r>
        <w:rPr>
          <w:rFonts w:hint="eastAsia" w:ascii="黑体" w:hAnsi="黑体" w:eastAsia="黑体" w:cs="黑体"/>
          <w:b w:val="0"/>
          <w:bCs/>
          <w:spacing w:val="0"/>
          <w:sz w:val="32"/>
          <w:szCs w:val="32"/>
          <w:highlight w:val="none"/>
          <w:lang w:val="en-US" w:eastAsia="zh-CN"/>
        </w:rPr>
        <w:t>表</w:t>
      </w:r>
    </w:p>
    <w:p w14:paraId="19EC3219">
      <w:pPr>
        <w:pStyle w:val="12"/>
        <w:keepNext w:val="0"/>
        <w:keepLines w:val="0"/>
        <w:pageBreakBefore w:val="0"/>
        <w:widowControl w:val="0"/>
        <w:kinsoku/>
        <w:wordWrap/>
        <w:overflowPunct/>
        <w:topLinePunct w:val="0"/>
        <w:autoSpaceDE/>
        <w:autoSpaceDN/>
        <w:bidi w:val="0"/>
        <w:adjustRightInd/>
        <w:snapToGrid/>
        <w:spacing w:beforeAutospacing="0" w:afterAutospacing="0" w:line="720" w:lineRule="exact"/>
        <w:jc w:val="center"/>
        <w:textAlignment w:val="auto"/>
        <w:rPr>
          <w:rFonts w:hint="eastAsia" w:ascii="黑体" w:hAnsi="黑体" w:eastAsia="黑体" w:cs="黑体"/>
          <w:b w:val="0"/>
          <w:bCs w:val="0"/>
          <w:color w:val="auto"/>
          <w:spacing w:val="0"/>
          <w:sz w:val="44"/>
          <w:szCs w:val="44"/>
          <w:highlight w:val="none"/>
          <w:u w:val="none"/>
          <w:lang w:val="zh-CN" w:eastAsia="zh-CN"/>
        </w:rPr>
      </w:pPr>
      <w:r>
        <w:rPr>
          <w:rFonts w:hint="eastAsia" w:ascii="黑体" w:hAnsi="黑体" w:eastAsia="黑体" w:cs="黑体"/>
          <w:b w:val="0"/>
          <w:bCs w:val="0"/>
          <w:color w:val="auto"/>
          <w:spacing w:val="0"/>
          <w:sz w:val="44"/>
          <w:szCs w:val="44"/>
          <w:highlight w:val="none"/>
          <w:u w:val="none"/>
        </w:rPr>
        <w:t>湖南省</w:t>
      </w:r>
      <w:r>
        <w:rPr>
          <w:rFonts w:hint="eastAsia" w:ascii="黑体" w:hAnsi="黑体" w:eastAsia="黑体" w:cs="黑体"/>
          <w:b w:val="0"/>
          <w:bCs w:val="0"/>
          <w:color w:val="auto"/>
          <w:spacing w:val="0"/>
          <w:sz w:val="44"/>
          <w:szCs w:val="44"/>
          <w:highlight w:val="none"/>
          <w:u w:val="none"/>
          <w:lang w:val="en-US" w:eastAsia="zh-CN"/>
        </w:rPr>
        <w:t>交通运输</w:t>
      </w:r>
      <w:r>
        <w:rPr>
          <w:rFonts w:hint="eastAsia" w:ascii="黑体" w:hAnsi="黑体" w:eastAsia="黑体" w:cs="黑体"/>
          <w:b w:val="0"/>
          <w:bCs w:val="0"/>
          <w:color w:val="auto"/>
          <w:spacing w:val="0"/>
          <w:sz w:val="44"/>
          <w:szCs w:val="44"/>
          <w:highlight w:val="none"/>
          <w:u w:val="none"/>
        </w:rPr>
        <w:t>安责险承保机构</w:t>
      </w:r>
      <w:r>
        <w:rPr>
          <w:rFonts w:hint="eastAsia" w:ascii="黑体" w:hAnsi="黑体" w:eastAsia="黑体" w:cs="黑体"/>
          <w:b w:val="0"/>
          <w:bCs w:val="0"/>
          <w:color w:val="auto"/>
          <w:spacing w:val="0"/>
          <w:sz w:val="44"/>
          <w:szCs w:val="44"/>
          <w:highlight w:val="none"/>
          <w:u w:val="none"/>
          <w:lang w:val="en-US" w:eastAsia="zh-CN"/>
        </w:rPr>
        <w:t>事故预防</w:t>
      </w:r>
      <w:r>
        <w:rPr>
          <w:rFonts w:hint="eastAsia" w:ascii="黑体" w:hAnsi="黑体" w:eastAsia="黑体" w:cs="黑体"/>
          <w:b w:val="0"/>
          <w:bCs w:val="0"/>
          <w:color w:val="auto"/>
          <w:spacing w:val="0"/>
          <w:sz w:val="44"/>
          <w:szCs w:val="44"/>
          <w:highlight w:val="none"/>
          <w:u w:val="none"/>
        </w:rPr>
        <w:t>服务</w:t>
      </w:r>
      <w:bookmarkStart w:id="24" w:name="OLE_LINK16"/>
      <w:r>
        <w:rPr>
          <w:rFonts w:hint="eastAsia" w:ascii="黑体" w:hAnsi="黑体" w:eastAsia="黑体" w:cs="黑体"/>
          <w:b w:val="0"/>
          <w:bCs w:val="0"/>
          <w:color w:val="auto"/>
          <w:spacing w:val="0"/>
          <w:sz w:val="44"/>
          <w:szCs w:val="44"/>
          <w:highlight w:val="none"/>
          <w:u w:val="none"/>
          <w:lang w:eastAsia="zh-CN"/>
        </w:rPr>
        <w:t>评估</w:t>
      </w:r>
      <w:r>
        <w:rPr>
          <w:rFonts w:hint="eastAsia" w:ascii="黑体" w:hAnsi="黑体" w:eastAsia="黑体" w:cs="黑体"/>
          <w:b w:val="0"/>
          <w:bCs w:val="0"/>
          <w:color w:val="auto"/>
          <w:spacing w:val="0"/>
          <w:sz w:val="44"/>
          <w:szCs w:val="44"/>
          <w:highlight w:val="none"/>
          <w:u w:val="none"/>
          <w:lang w:val="zh-CN" w:eastAsia="zh-CN"/>
        </w:rPr>
        <w:t>表</w:t>
      </w:r>
      <w:bookmarkEnd w:id="24"/>
    </w:p>
    <w:tbl>
      <w:tblPr>
        <w:tblStyle w:val="13"/>
        <w:tblW w:w="139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680"/>
        <w:gridCol w:w="7587"/>
        <w:gridCol w:w="2010"/>
        <w:gridCol w:w="1863"/>
      </w:tblGrid>
      <w:tr w14:paraId="423DF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6" w:type="dxa"/>
            <w:shd w:val="clear" w:color="000000" w:fill="auto"/>
            <w:vAlign w:val="center"/>
          </w:tcPr>
          <w:p w14:paraId="485783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rPr>
            </w:pPr>
            <w:r>
              <w:rPr>
                <w:rFonts w:hint="default" w:ascii="Times New Roman" w:hAnsi="Times New Roman" w:eastAsia="仿宋" w:cs="Times New Roman"/>
                <w:b/>
                <w:bCs/>
                <w:spacing w:val="0"/>
                <w:sz w:val="24"/>
                <w:highlight w:val="none"/>
              </w:rPr>
              <w:t>序号</w:t>
            </w:r>
          </w:p>
        </w:tc>
        <w:tc>
          <w:tcPr>
            <w:tcW w:w="1680" w:type="dxa"/>
            <w:shd w:val="clear" w:color="000000" w:fill="auto"/>
            <w:vAlign w:val="center"/>
          </w:tcPr>
          <w:p w14:paraId="0CAE9A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rPr>
            </w:pPr>
            <w:r>
              <w:rPr>
                <w:rFonts w:hint="default" w:ascii="Times New Roman" w:hAnsi="Times New Roman" w:eastAsia="仿宋" w:cs="Times New Roman"/>
                <w:b/>
                <w:bCs/>
                <w:spacing w:val="0"/>
                <w:sz w:val="24"/>
                <w:highlight w:val="none"/>
                <w:lang w:eastAsia="zh-CN"/>
              </w:rPr>
              <w:t>评估</w:t>
            </w:r>
            <w:r>
              <w:rPr>
                <w:rFonts w:hint="default" w:ascii="Times New Roman" w:hAnsi="Times New Roman" w:eastAsia="仿宋" w:cs="Times New Roman"/>
                <w:b/>
                <w:bCs/>
                <w:spacing w:val="0"/>
                <w:sz w:val="24"/>
                <w:highlight w:val="none"/>
              </w:rPr>
              <w:t>指标</w:t>
            </w:r>
          </w:p>
        </w:tc>
        <w:tc>
          <w:tcPr>
            <w:tcW w:w="7587" w:type="dxa"/>
            <w:shd w:val="clear" w:color="000000" w:fill="auto"/>
            <w:vAlign w:val="center"/>
          </w:tcPr>
          <w:p w14:paraId="1F1D40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eastAsia="zh-CN"/>
              </w:rPr>
            </w:pPr>
            <w:r>
              <w:rPr>
                <w:rFonts w:hint="default" w:ascii="Times New Roman" w:hAnsi="Times New Roman" w:eastAsia="仿宋" w:cs="Times New Roman"/>
                <w:b/>
                <w:bCs/>
                <w:spacing w:val="0"/>
                <w:sz w:val="24"/>
                <w:highlight w:val="none"/>
                <w:lang w:val="en-US" w:eastAsia="zh-CN"/>
              </w:rPr>
              <w:t>具体内容</w:t>
            </w:r>
          </w:p>
        </w:tc>
        <w:tc>
          <w:tcPr>
            <w:tcW w:w="2010" w:type="dxa"/>
            <w:shd w:val="clear" w:color="000000" w:fill="auto"/>
            <w:vAlign w:val="center"/>
          </w:tcPr>
          <w:p w14:paraId="295DD3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评价方式</w:t>
            </w:r>
          </w:p>
        </w:tc>
        <w:tc>
          <w:tcPr>
            <w:tcW w:w="1863" w:type="dxa"/>
            <w:shd w:val="clear" w:color="000000" w:fill="auto"/>
            <w:vAlign w:val="center"/>
          </w:tcPr>
          <w:p w14:paraId="37F6A5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分值</w:t>
            </w:r>
          </w:p>
        </w:tc>
      </w:tr>
      <w:tr w14:paraId="2A5519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vMerge w:val="restart"/>
            <w:vAlign w:val="center"/>
          </w:tcPr>
          <w:p w14:paraId="687ABB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lang w:eastAsia="zh-CN"/>
              </w:rPr>
            </w:pPr>
            <w:r>
              <w:rPr>
                <w:rFonts w:hint="default" w:ascii="Times New Roman" w:hAnsi="Times New Roman" w:eastAsia="仿宋" w:cs="Times New Roman"/>
                <w:spacing w:val="0"/>
                <w:sz w:val="24"/>
                <w:highlight w:val="none"/>
              </w:rPr>
              <w:t>1</w:t>
            </w:r>
          </w:p>
        </w:tc>
        <w:tc>
          <w:tcPr>
            <w:tcW w:w="1680" w:type="dxa"/>
            <w:vMerge w:val="restart"/>
            <w:vAlign w:val="center"/>
          </w:tcPr>
          <w:p w14:paraId="0D818A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事故预防服务日常管理情况</w:t>
            </w:r>
          </w:p>
          <w:p w14:paraId="295196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rPr>
            </w:pPr>
            <w:r>
              <w:rPr>
                <w:rFonts w:hint="default" w:ascii="Times New Roman" w:hAnsi="Times New Roman" w:eastAsia="仿宋" w:cs="Times New Roman"/>
                <w:b/>
                <w:bCs/>
                <w:spacing w:val="0"/>
                <w:sz w:val="24"/>
                <w:highlight w:val="none"/>
              </w:rPr>
              <w:t>（</w:t>
            </w:r>
            <w:r>
              <w:rPr>
                <w:rFonts w:hint="default" w:ascii="Times New Roman" w:hAnsi="Times New Roman" w:eastAsia="仿宋" w:cs="Times New Roman"/>
                <w:b/>
                <w:bCs/>
                <w:spacing w:val="0"/>
                <w:sz w:val="24"/>
                <w:highlight w:val="none"/>
                <w:lang w:val="en-US" w:eastAsia="zh-CN"/>
              </w:rPr>
              <w:t>20</w:t>
            </w:r>
            <w:r>
              <w:rPr>
                <w:rFonts w:hint="default" w:ascii="Times New Roman" w:hAnsi="Times New Roman" w:eastAsia="仿宋" w:cs="Times New Roman"/>
                <w:b/>
                <w:bCs/>
                <w:spacing w:val="0"/>
                <w:sz w:val="24"/>
                <w:highlight w:val="none"/>
              </w:rPr>
              <w:t>分）</w:t>
            </w:r>
          </w:p>
        </w:tc>
        <w:tc>
          <w:tcPr>
            <w:tcW w:w="7587" w:type="dxa"/>
            <w:vAlign w:val="center"/>
          </w:tcPr>
          <w:p w14:paraId="7B4EC22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未按规定建立事故预防服务管理制度、事故预防服务流程制度、事故预防服务档案管理制度的，每少建立1项扣2分。</w:t>
            </w:r>
          </w:p>
        </w:tc>
        <w:tc>
          <w:tcPr>
            <w:tcW w:w="2010" w:type="dxa"/>
            <w:vMerge w:val="restart"/>
            <w:vAlign w:val="center"/>
          </w:tcPr>
          <w:p w14:paraId="7837B65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查看资料、平台。</w:t>
            </w:r>
          </w:p>
        </w:tc>
        <w:tc>
          <w:tcPr>
            <w:tcW w:w="1863" w:type="dxa"/>
            <w:vMerge w:val="restart"/>
            <w:vAlign w:val="center"/>
          </w:tcPr>
          <w:p w14:paraId="7D70C51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基础分为20分，单项得分=基础分-扣分，最低得0分。</w:t>
            </w:r>
          </w:p>
        </w:tc>
      </w:tr>
      <w:tr w14:paraId="689AFB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6" w:type="dxa"/>
            <w:vMerge w:val="continue"/>
            <w:vAlign w:val="center"/>
          </w:tcPr>
          <w:p w14:paraId="56E1FAD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1680" w:type="dxa"/>
            <w:vMerge w:val="continue"/>
            <w:vAlign w:val="center"/>
          </w:tcPr>
          <w:p w14:paraId="69C21CC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7587" w:type="dxa"/>
            <w:vAlign w:val="center"/>
          </w:tcPr>
          <w:p w14:paraId="2D904BD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kern w:val="2"/>
                <w:sz w:val="24"/>
                <w:szCs w:val="24"/>
                <w:highlight w:val="none"/>
                <w:lang w:val="en-US" w:eastAsia="zh-CN" w:bidi="ar-SA"/>
              </w:rPr>
            </w:pPr>
            <w:r>
              <w:rPr>
                <w:rFonts w:hint="default" w:ascii="Times New Roman" w:hAnsi="Times New Roman" w:eastAsia="仿宋" w:cs="Times New Roman"/>
                <w:spacing w:val="0"/>
                <w:sz w:val="24"/>
                <w:highlight w:val="none"/>
                <w:lang w:val="en-US" w:eastAsia="zh-CN"/>
              </w:rPr>
              <w:t>未按规定在承保项目</w:t>
            </w:r>
            <w:r>
              <w:rPr>
                <w:rFonts w:hint="eastAsia" w:ascii="Times New Roman" w:hAnsi="Times New Roman" w:cs="Times New Roman"/>
                <w:spacing w:val="0"/>
                <w:sz w:val="24"/>
                <w:highlight w:val="none"/>
                <w:lang w:val="en-US" w:eastAsia="zh-CN"/>
              </w:rPr>
              <w:t>、企业</w:t>
            </w:r>
            <w:r>
              <w:rPr>
                <w:rFonts w:hint="default" w:ascii="Times New Roman" w:hAnsi="Times New Roman" w:eastAsia="仿宋" w:cs="Times New Roman"/>
                <w:spacing w:val="0"/>
                <w:sz w:val="24"/>
                <w:highlight w:val="none"/>
                <w:lang w:val="en-US" w:eastAsia="zh-CN"/>
              </w:rPr>
              <w:t>所在市州</w:t>
            </w:r>
            <w:r>
              <w:rPr>
                <w:rFonts w:hint="eastAsia" w:ascii="Times New Roman" w:hAnsi="Times New Roman" w:cs="Times New Roman"/>
                <w:spacing w:val="0"/>
                <w:sz w:val="24"/>
                <w:highlight w:val="none"/>
                <w:lang w:val="en-US" w:eastAsia="zh-CN"/>
              </w:rPr>
              <w:t>具有</w:t>
            </w:r>
            <w:r>
              <w:rPr>
                <w:rFonts w:hint="default" w:ascii="Times New Roman" w:hAnsi="Times New Roman" w:eastAsia="仿宋" w:cs="Times New Roman"/>
                <w:spacing w:val="0"/>
                <w:sz w:val="24"/>
                <w:highlight w:val="none"/>
                <w:lang w:val="en-US" w:eastAsia="zh-CN"/>
              </w:rPr>
              <w:t>事故预防服务风控团队的，每发现1个扣3分；事故预防服务风控团队管理人员数量和专业能力与所承保</w:t>
            </w:r>
            <w:r>
              <w:rPr>
                <w:rFonts w:hint="eastAsia" w:ascii="Times New Roman" w:hAnsi="Times New Roman" w:cs="Times New Roman"/>
                <w:spacing w:val="0"/>
                <w:sz w:val="24"/>
                <w:highlight w:val="none"/>
                <w:lang w:val="en-US" w:eastAsia="zh-CN"/>
              </w:rPr>
              <w:t>交通运输</w:t>
            </w:r>
            <w:r>
              <w:rPr>
                <w:rFonts w:hint="default" w:ascii="Times New Roman" w:hAnsi="Times New Roman" w:eastAsia="仿宋" w:cs="Times New Roman"/>
                <w:spacing w:val="0"/>
                <w:sz w:val="24"/>
                <w:highlight w:val="none"/>
                <w:lang w:val="en-US" w:eastAsia="zh-CN"/>
              </w:rPr>
              <w:t>安责险业务不匹配的，每发现1个扣1分。</w:t>
            </w:r>
          </w:p>
        </w:tc>
        <w:tc>
          <w:tcPr>
            <w:tcW w:w="2010" w:type="dxa"/>
            <w:vMerge w:val="continue"/>
            <w:vAlign w:val="center"/>
          </w:tcPr>
          <w:p w14:paraId="0C54AD4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5712AD2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73CFB5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16" w:type="dxa"/>
            <w:vMerge w:val="continue"/>
            <w:vAlign w:val="center"/>
          </w:tcPr>
          <w:p w14:paraId="57CDF50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1680" w:type="dxa"/>
            <w:vMerge w:val="continue"/>
            <w:vAlign w:val="center"/>
          </w:tcPr>
          <w:p w14:paraId="435A38B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7587" w:type="dxa"/>
            <w:vAlign w:val="center"/>
          </w:tcPr>
          <w:p w14:paraId="76B85DA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未按规定向省</w:t>
            </w:r>
            <w:r>
              <w:rPr>
                <w:rFonts w:hint="eastAsia" w:ascii="Times New Roman" w:hAnsi="Times New Roman" w:cs="Times New Roman"/>
                <w:spacing w:val="0"/>
                <w:sz w:val="24"/>
                <w:highlight w:val="none"/>
                <w:lang w:val="en-US" w:eastAsia="zh-CN"/>
              </w:rPr>
              <w:t>交通运输</w:t>
            </w:r>
            <w:r>
              <w:rPr>
                <w:rFonts w:hint="default" w:ascii="Times New Roman" w:hAnsi="Times New Roman" w:eastAsia="仿宋" w:cs="Times New Roman"/>
                <w:spacing w:val="0"/>
                <w:sz w:val="24"/>
                <w:highlight w:val="none"/>
                <w:lang w:val="en-US" w:eastAsia="zh-CN"/>
              </w:rPr>
              <w:t>厅报送相关信息的，每发现1次扣2分。</w:t>
            </w:r>
          </w:p>
        </w:tc>
        <w:tc>
          <w:tcPr>
            <w:tcW w:w="2010" w:type="dxa"/>
            <w:vMerge w:val="continue"/>
            <w:vAlign w:val="center"/>
          </w:tcPr>
          <w:p w14:paraId="3BE3918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07A36EA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79EF2D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6" w:type="dxa"/>
            <w:vMerge w:val="continue"/>
            <w:vAlign w:val="center"/>
          </w:tcPr>
          <w:p w14:paraId="1C7FD2B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680" w:type="dxa"/>
            <w:vMerge w:val="continue"/>
            <w:vAlign w:val="center"/>
          </w:tcPr>
          <w:p w14:paraId="5E7B345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7587" w:type="dxa"/>
            <w:vAlign w:val="center"/>
          </w:tcPr>
          <w:p w14:paraId="6C4E848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kern w:val="2"/>
                <w:sz w:val="24"/>
                <w:szCs w:val="24"/>
                <w:highlight w:val="none"/>
                <w:lang w:val="en-US" w:eastAsia="zh-CN" w:bidi="ar-SA"/>
              </w:rPr>
            </w:pPr>
            <w:r>
              <w:rPr>
                <w:rFonts w:hint="default" w:ascii="Times New Roman" w:hAnsi="Times New Roman" w:eastAsia="仿宋" w:cs="Times New Roman"/>
                <w:spacing w:val="0"/>
                <w:kern w:val="2"/>
                <w:sz w:val="24"/>
                <w:szCs w:val="24"/>
                <w:highlight w:val="none"/>
                <w:lang w:val="en-US" w:eastAsia="zh-CN" w:bidi="ar-SA"/>
              </w:rPr>
              <w:t>未与承保项目</w:t>
            </w:r>
            <w:r>
              <w:rPr>
                <w:rFonts w:hint="eastAsia" w:ascii="Times New Roman" w:hAnsi="Times New Roman" w:cs="Times New Roman"/>
                <w:spacing w:val="0"/>
                <w:kern w:val="2"/>
                <w:sz w:val="24"/>
                <w:szCs w:val="24"/>
                <w:highlight w:val="none"/>
                <w:lang w:val="en-US" w:eastAsia="zh-CN" w:bidi="ar-SA"/>
              </w:rPr>
              <w:t>、企业</w:t>
            </w:r>
            <w:r>
              <w:rPr>
                <w:rFonts w:hint="default" w:ascii="Times New Roman" w:hAnsi="Times New Roman" w:eastAsia="仿宋" w:cs="Times New Roman"/>
                <w:spacing w:val="0"/>
                <w:kern w:val="2"/>
                <w:sz w:val="24"/>
                <w:szCs w:val="24"/>
                <w:highlight w:val="none"/>
                <w:lang w:val="en-US" w:eastAsia="zh-CN" w:bidi="ar-SA"/>
              </w:rPr>
              <w:t>签订事故预防服务合同或未明确事故预防服务</w:t>
            </w:r>
            <w:r>
              <w:rPr>
                <w:rFonts w:hint="eastAsia" w:ascii="Times New Roman" w:hAnsi="Times New Roman" w:cs="Times New Roman"/>
                <w:spacing w:val="0"/>
                <w:kern w:val="2"/>
                <w:sz w:val="24"/>
                <w:szCs w:val="24"/>
                <w:highlight w:val="none"/>
                <w:lang w:val="en-US" w:eastAsia="zh-CN" w:bidi="ar-SA"/>
              </w:rPr>
              <w:t>内容</w:t>
            </w:r>
            <w:r>
              <w:rPr>
                <w:rFonts w:hint="default" w:ascii="Times New Roman" w:hAnsi="Times New Roman" w:eastAsia="仿宋" w:cs="Times New Roman"/>
                <w:spacing w:val="0"/>
                <w:kern w:val="2"/>
                <w:sz w:val="24"/>
                <w:szCs w:val="24"/>
                <w:highlight w:val="none"/>
                <w:lang w:val="en-US" w:eastAsia="zh-CN" w:bidi="ar-SA"/>
              </w:rPr>
              <w:t>、频次的，每发现1次扣1分。</w:t>
            </w:r>
          </w:p>
        </w:tc>
        <w:tc>
          <w:tcPr>
            <w:tcW w:w="2010" w:type="dxa"/>
            <w:vMerge w:val="continue"/>
            <w:vAlign w:val="center"/>
          </w:tcPr>
          <w:p w14:paraId="09C1645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66B8986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22B1C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16" w:type="dxa"/>
            <w:vMerge w:val="continue"/>
            <w:vAlign w:val="center"/>
          </w:tcPr>
          <w:p w14:paraId="4C7BC4D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680" w:type="dxa"/>
            <w:vMerge w:val="continue"/>
            <w:vAlign w:val="center"/>
          </w:tcPr>
          <w:p w14:paraId="03C054A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7587" w:type="dxa"/>
            <w:vAlign w:val="center"/>
          </w:tcPr>
          <w:p w14:paraId="000EAAA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承保信息未及时共享或录入主管部门信息平台的，</w:t>
            </w:r>
            <w:bookmarkStart w:id="25" w:name="OLE_LINK9"/>
            <w:r>
              <w:rPr>
                <w:rFonts w:hint="default" w:ascii="Times New Roman" w:hAnsi="Times New Roman" w:eastAsia="仿宋" w:cs="Times New Roman"/>
                <w:spacing w:val="0"/>
                <w:sz w:val="24"/>
                <w:highlight w:val="none"/>
                <w:lang w:val="en-US" w:eastAsia="zh-CN"/>
              </w:rPr>
              <w:t>每发现1次扣1分</w:t>
            </w:r>
            <w:bookmarkEnd w:id="25"/>
            <w:r>
              <w:rPr>
                <w:rFonts w:hint="default" w:ascii="Times New Roman" w:hAnsi="Times New Roman" w:eastAsia="仿宋" w:cs="Times New Roman"/>
                <w:spacing w:val="0"/>
                <w:sz w:val="24"/>
                <w:highlight w:val="none"/>
                <w:lang w:val="en-US" w:eastAsia="zh-CN"/>
              </w:rPr>
              <w:t>；承保信息录入不全面、不真实、不准确的，每发现1次扣2分。</w:t>
            </w:r>
          </w:p>
        </w:tc>
        <w:tc>
          <w:tcPr>
            <w:tcW w:w="2010" w:type="dxa"/>
            <w:vMerge w:val="continue"/>
            <w:vAlign w:val="center"/>
          </w:tcPr>
          <w:p w14:paraId="631E136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347118D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1DE4A8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vMerge w:val="restart"/>
            <w:vAlign w:val="center"/>
          </w:tcPr>
          <w:p w14:paraId="67576D3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lang w:eastAsia="zh-CN"/>
              </w:rPr>
            </w:pPr>
            <w:r>
              <w:rPr>
                <w:rFonts w:hint="default" w:ascii="Times New Roman" w:hAnsi="Times New Roman" w:eastAsia="仿宋" w:cs="Times New Roman"/>
                <w:spacing w:val="0"/>
                <w:sz w:val="24"/>
                <w:highlight w:val="none"/>
                <w:lang w:val="en-US" w:eastAsia="zh-CN"/>
              </w:rPr>
              <w:t>2</w:t>
            </w:r>
          </w:p>
        </w:tc>
        <w:tc>
          <w:tcPr>
            <w:tcW w:w="1680" w:type="dxa"/>
            <w:vMerge w:val="restart"/>
            <w:vAlign w:val="center"/>
          </w:tcPr>
          <w:p w14:paraId="6121B28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事故预防服务费用投入情况</w:t>
            </w:r>
          </w:p>
          <w:p w14:paraId="21F7C4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rPr>
            </w:pPr>
            <w:r>
              <w:rPr>
                <w:rFonts w:hint="default" w:ascii="Times New Roman" w:hAnsi="Times New Roman" w:eastAsia="仿宋" w:cs="Times New Roman"/>
                <w:b/>
                <w:bCs/>
                <w:spacing w:val="0"/>
                <w:sz w:val="24"/>
                <w:highlight w:val="none"/>
              </w:rPr>
              <w:t>（</w:t>
            </w:r>
            <w:r>
              <w:rPr>
                <w:rFonts w:hint="default" w:ascii="Times New Roman" w:hAnsi="Times New Roman" w:eastAsia="仿宋" w:cs="Times New Roman"/>
                <w:b/>
                <w:bCs/>
                <w:spacing w:val="0"/>
                <w:sz w:val="24"/>
                <w:highlight w:val="none"/>
                <w:lang w:val="en-US" w:eastAsia="zh-CN"/>
              </w:rPr>
              <w:t>20</w:t>
            </w:r>
            <w:r>
              <w:rPr>
                <w:rFonts w:hint="default" w:ascii="Times New Roman" w:hAnsi="Times New Roman" w:eastAsia="仿宋" w:cs="Times New Roman"/>
                <w:b/>
                <w:bCs/>
                <w:spacing w:val="0"/>
                <w:sz w:val="24"/>
                <w:highlight w:val="none"/>
              </w:rPr>
              <w:t>分）</w:t>
            </w:r>
          </w:p>
        </w:tc>
        <w:tc>
          <w:tcPr>
            <w:tcW w:w="7587" w:type="dxa"/>
            <w:vAlign w:val="center"/>
          </w:tcPr>
          <w:p w14:paraId="47D0C56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年度投入事故预防服务费用＜年度实际收取保费的10%，不得分；年度实际收取保费的10%≤年度投入事故预防服务费用＜年度实际收取保费的12%，得10分；年度实际收取保费的12%≤年度投入事故预防服务费用＜年度实际收取保费的14%，得15分；年度实际收取保费的14%≤年度投入事故预防服务费用＜年度实际收取保费的16%，得18分；年度投入事故预防服务费用≥年度实际收取保费的</w:t>
            </w:r>
            <w:r>
              <w:rPr>
                <w:rFonts w:hint="eastAsia" w:ascii="Times New Roman" w:hAnsi="Times New Roman" w:cs="Times New Roman"/>
                <w:spacing w:val="0"/>
                <w:sz w:val="24"/>
                <w:highlight w:val="none"/>
                <w:lang w:val="en-US" w:eastAsia="zh-CN"/>
              </w:rPr>
              <w:t>16</w:t>
            </w:r>
            <w:r>
              <w:rPr>
                <w:rFonts w:hint="default" w:ascii="Times New Roman" w:hAnsi="Times New Roman" w:eastAsia="仿宋" w:cs="Times New Roman"/>
                <w:spacing w:val="0"/>
                <w:sz w:val="24"/>
                <w:highlight w:val="none"/>
                <w:lang w:val="en-US" w:eastAsia="zh-CN"/>
              </w:rPr>
              <w:t>%，得20分。</w:t>
            </w:r>
          </w:p>
        </w:tc>
        <w:tc>
          <w:tcPr>
            <w:tcW w:w="2010" w:type="dxa"/>
            <w:vMerge w:val="restart"/>
            <w:vAlign w:val="center"/>
          </w:tcPr>
          <w:p w14:paraId="45925F3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查看资料、平台。</w:t>
            </w:r>
          </w:p>
        </w:tc>
        <w:tc>
          <w:tcPr>
            <w:tcW w:w="1863" w:type="dxa"/>
            <w:vMerge w:val="restart"/>
            <w:vAlign w:val="center"/>
          </w:tcPr>
          <w:p w14:paraId="4424C50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基础分为20分，根据年度投入事故预防服务费用直接取单项得分。</w:t>
            </w:r>
          </w:p>
        </w:tc>
      </w:tr>
      <w:tr w14:paraId="2E3788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6" w:type="dxa"/>
            <w:vMerge w:val="continue"/>
            <w:vAlign w:val="center"/>
          </w:tcPr>
          <w:p w14:paraId="3DCEC7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lang w:val="en-US" w:eastAsia="zh-CN"/>
              </w:rPr>
            </w:pPr>
          </w:p>
        </w:tc>
        <w:tc>
          <w:tcPr>
            <w:tcW w:w="1680" w:type="dxa"/>
            <w:vMerge w:val="continue"/>
            <w:vAlign w:val="center"/>
          </w:tcPr>
          <w:p w14:paraId="0336A2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rPr>
            </w:pPr>
          </w:p>
        </w:tc>
        <w:tc>
          <w:tcPr>
            <w:tcW w:w="7587" w:type="dxa"/>
            <w:vAlign w:val="center"/>
          </w:tcPr>
          <w:p w14:paraId="7BCD25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color w:val="auto"/>
                <w:spacing w:val="0"/>
                <w:sz w:val="24"/>
                <w:highlight w:val="none"/>
                <w:lang w:val="en-US" w:eastAsia="zh-CN"/>
              </w:rPr>
              <w:t>共保体其他成员承保机构未按共保协议约定分摊事故预防服务费用的，每发现1次，扣1分。</w:t>
            </w:r>
          </w:p>
        </w:tc>
        <w:tc>
          <w:tcPr>
            <w:tcW w:w="2010" w:type="dxa"/>
            <w:vMerge w:val="continue"/>
            <w:vAlign w:val="center"/>
          </w:tcPr>
          <w:p w14:paraId="4B4C22F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4C6133C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76F9E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816" w:type="dxa"/>
            <w:vMerge w:val="restart"/>
            <w:vAlign w:val="center"/>
          </w:tcPr>
          <w:p w14:paraId="690137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3</w:t>
            </w:r>
          </w:p>
        </w:tc>
        <w:tc>
          <w:tcPr>
            <w:tcW w:w="1680" w:type="dxa"/>
            <w:vMerge w:val="restart"/>
            <w:vAlign w:val="center"/>
          </w:tcPr>
          <w:p w14:paraId="4B0911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事故预防服务费用管理情况</w:t>
            </w:r>
          </w:p>
          <w:p w14:paraId="6E2BCB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highlight w:val="none"/>
              </w:rPr>
            </w:pPr>
            <w:r>
              <w:rPr>
                <w:rFonts w:hint="default" w:ascii="Times New Roman" w:hAnsi="Times New Roman" w:eastAsia="仿宋" w:cs="Times New Roman"/>
                <w:b/>
                <w:bCs/>
                <w:spacing w:val="0"/>
                <w:sz w:val="24"/>
                <w:highlight w:val="none"/>
                <w:lang w:val="en-US" w:eastAsia="zh-CN"/>
              </w:rPr>
              <w:t>（10分）</w:t>
            </w:r>
          </w:p>
        </w:tc>
        <w:tc>
          <w:tcPr>
            <w:tcW w:w="7587" w:type="dxa"/>
            <w:vAlign w:val="center"/>
          </w:tcPr>
          <w:p w14:paraId="15F9BFC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未按规定建立事故预防费用管理制度的，扣3分。</w:t>
            </w:r>
          </w:p>
        </w:tc>
        <w:tc>
          <w:tcPr>
            <w:tcW w:w="2010" w:type="dxa"/>
            <w:vMerge w:val="restart"/>
            <w:vAlign w:val="center"/>
          </w:tcPr>
          <w:p w14:paraId="0016DCB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查看资料</w:t>
            </w:r>
            <w:r>
              <w:rPr>
                <w:rFonts w:hint="default" w:ascii="Times New Roman" w:hAnsi="Times New Roman" w:cs="Times New Roman"/>
                <w:spacing w:val="0"/>
                <w:sz w:val="24"/>
                <w:highlight w:val="none"/>
                <w:lang w:eastAsia="zh-CN"/>
              </w:rPr>
              <w:t>、平台</w:t>
            </w:r>
            <w:r>
              <w:rPr>
                <w:rFonts w:hint="default" w:ascii="Times New Roman" w:hAnsi="Times New Roman" w:eastAsia="仿宋" w:cs="Times New Roman"/>
                <w:spacing w:val="0"/>
                <w:sz w:val="24"/>
                <w:highlight w:val="none"/>
                <w:lang w:val="en-US" w:eastAsia="zh-CN"/>
              </w:rPr>
              <w:t>。</w:t>
            </w:r>
          </w:p>
        </w:tc>
        <w:tc>
          <w:tcPr>
            <w:tcW w:w="1863" w:type="dxa"/>
            <w:vMerge w:val="restart"/>
            <w:vAlign w:val="center"/>
          </w:tcPr>
          <w:p w14:paraId="2FFA010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基础分为10分，单项得分=基础分-扣分，最低得0分。</w:t>
            </w:r>
          </w:p>
        </w:tc>
      </w:tr>
      <w:tr w14:paraId="62746C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816" w:type="dxa"/>
            <w:vMerge w:val="continue"/>
            <w:vAlign w:val="center"/>
          </w:tcPr>
          <w:p w14:paraId="24EFEAF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1680" w:type="dxa"/>
            <w:vMerge w:val="continue"/>
            <w:vAlign w:val="center"/>
          </w:tcPr>
          <w:p w14:paraId="3184915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7587" w:type="dxa"/>
            <w:vAlign w:val="center"/>
          </w:tcPr>
          <w:p w14:paraId="3CFBAF2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未按规定制定事故预防费用年度专项预算的，扣2分。</w:t>
            </w:r>
          </w:p>
        </w:tc>
        <w:tc>
          <w:tcPr>
            <w:tcW w:w="2010" w:type="dxa"/>
            <w:vMerge w:val="continue"/>
            <w:vAlign w:val="center"/>
          </w:tcPr>
          <w:p w14:paraId="4D78CAC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54655E1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6DCB9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16" w:type="dxa"/>
            <w:vMerge w:val="continue"/>
            <w:vAlign w:val="center"/>
          </w:tcPr>
          <w:p w14:paraId="6CBBCCD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680" w:type="dxa"/>
            <w:vMerge w:val="continue"/>
            <w:vAlign w:val="center"/>
          </w:tcPr>
          <w:p w14:paraId="7338627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7587" w:type="dxa"/>
            <w:vAlign w:val="center"/>
          </w:tcPr>
          <w:p w14:paraId="4639BDB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kern w:val="2"/>
                <w:sz w:val="24"/>
                <w:szCs w:val="24"/>
                <w:highlight w:val="none"/>
                <w:lang w:val="en-US" w:eastAsia="zh-CN" w:bidi="ar-SA"/>
              </w:rPr>
            </w:pPr>
            <w:r>
              <w:rPr>
                <w:rFonts w:hint="default" w:ascii="Times New Roman" w:hAnsi="Times New Roman" w:eastAsia="仿宋" w:cs="Times New Roman"/>
                <w:spacing w:val="0"/>
                <w:sz w:val="24"/>
                <w:highlight w:val="none"/>
                <w:lang w:val="en-US" w:eastAsia="zh-CN"/>
              </w:rPr>
              <w:t>存在挤占、挪用、虚报、骗取（套取）事故预防费用行为的</w:t>
            </w:r>
            <w:r>
              <w:rPr>
                <w:rFonts w:hint="default" w:ascii="Times New Roman" w:hAnsi="Times New Roman" w:eastAsia="仿宋" w:cs="Times New Roman"/>
                <w:spacing w:val="0"/>
                <w:sz w:val="24"/>
                <w:highlight w:val="none"/>
                <w:lang w:eastAsia="zh-CN"/>
              </w:rPr>
              <w:t>，</w:t>
            </w:r>
            <w:r>
              <w:rPr>
                <w:rFonts w:hint="default" w:ascii="Times New Roman" w:hAnsi="Times New Roman" w:eastAsia="仿宋" w:cs="Times New Roman"/>
                <w:spacing w:val="0"/>
                <w:sz w:val="24"/>
                <w:highlight w:val="none"/>
                <w:lang w:val="en-US" w:eastAsia="zh-CN"/>
              </w:rPr>
              <w:t>每发现1次扣5分。</w:t>
            </w:r>
          </w:p>
        </w:tc>
        <w:tc>
          <w:tcPr>
            <w:tcW w:w="2010" w:type="dxa"/>
            <w:vMerge w:val="continue"/>
            <w:vAlign w:val="center"/>
          </w:tcPr>
          <w:p w14:paraId="25AFD72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7ED725A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15053D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16" w:type="dxa"/>
            <w:vMerge w:val="continue"/>
            <w:vAlign w:val="center"/>
          </w:tcPr>
          <w:p w14:paraId="5BBE464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680" w:type="dxa"/>
            <w:vMerge w:val="continue"/>
            <w:vAlign w:val="center"/>
          </w:tcPr>
          <w:p w14:paraId="2208F5F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7587" w:type="dxa"/>
            <w:vAlign w:val="center"/>
          </w:tcPr>
          <w:p w14:paraId="04678A0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事故预防服务费用使用不规范或未实行专款专用、据实列支的，每发现1次扣1分。</w:t>
            </w:r>
          </w:p>
        </w:tc>
        <w:tc>
          <w:tcPr>
            <w:tcW w:w="2010" w:type="dxa"/>
            <w:vMerge w:val="continue"/>
            <w:vAlign w:val="center"/>
          </w:tcPr>
          <w:p w14:paraId="3FC7CCD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6D92EB0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6524ED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816" w:type="dxa"/>
            <w:vMerge w:val="continue"/>
            <w:vAlign w:val="center"/>
          </w:tcPr>
          <w:p w14:paraId="2D45CF2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680" w:type="dxa"/>
            <w:vMerge w:val="continue"/>
            <w:vAlign w:val="center"/>
          </w:tcPr>
          <w:p w14:paraId="4E66F25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7587" w:type="dxa"/>
            <w:vAlign w:val="center"/>
          </w:tcPr>
          <w:p w14:paraId="4DEADA4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kern w:val="2"/>
                <w:sz w:val="24"/>
                <w:szCs w:val="24"/>
                <w:highlight w:val="none"/>
                <w:lang w:val="en-US" w:eastAsia="zh-CN" w:bidi="ar-SA"/>
              </w:rPr>
            </w:pPr>
            <w:r>
              <w:rPr>
                <w:rFonts w:hint="default" w:ascii="Times New Roman" w:hAnsi="Times New Roman" w:eastAsia="仿宋" w:cs="Times New Roman"/>
                <w:spacing w:val="0"/>
                <w:kern w:val="2"/>
                <w:sz w:val="24"/>
                <w:szCs w:val="24"/>
                <w:highlight w:val="none"/>
                <w:lang w:val="en-US" w:eastAsia="zh-CN" w:bidi="ar-SA"/>
              </w:rPr>
              <w:t>未按规定执行费率导致事故预防服务费用投入不足的，每发现1次扣2分。</w:t>
            </w:r>
          </w:p>
        </w:tc>
        <w:tc>
          <w:tcPr>
            <w:tcW w:w="2010" w:type="dxa"/>
            <w:vMerge w:val="continue"/>
            <w:vAlign w:val="center"/>
          </w:tcPr>
          <w:p w14:paraId="45F85A5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32A453C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5526E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16" w:type="dxa"/>
            <w:vMerge w:val="restart"/>
            <w:vAlign w:val="center"/>
          </w:tcPr>
          <w:p w14:paraId="66F633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4</w:t>
            </w:r>
          </w:p>
        </w:tc>
        <w:tc>
          <w:tcPr>
            <w:tcW w:w="1680" w:type="dxa"/>
            <w:vMerge w:val="restart"/>
            <w:vAlign w:val="center"/>
          </w:tcPr>
          <w:p w14:paraId="76D402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事故预防服务开展情况</w:t>
            </w:r>
          </w:p>
          <w:p w14:paraId="1B9C7E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rPr>
            </w:pPr>
            <w:r>
              <w:rPr>
                <w:rFonts w:hint="default" w:ascii="Times New Roman" w:hAnsi="Times New Roman" w:eastAsia="仿宋" w:cs="Times New Roman"/>
                <w:b/>
                <w:bCs/>
                <w:spacing w:val="0"/>
                <w:sz w:val="24"/>
                <w:highlight w:val="none"/>
              </w:rPr>
              <w:t>（</w:t>
            </w:r>
            <w:r>
              <w:rPr>
                <w:rFonts w:hint="default" w:ascii="Times New Roman" w:hAnsi="Times New Roman" w:eastAsia="仿宋" w:cs="Times New Roman"/>
                <w:b/>
                <w:bCs/>
                <w:spacing w:val="0"/>
                <w:sz w:val="24"/>
                <w:highlight w:val="none"/>
                <w:lang w:val="en-US" w:eastAsia="zh-CN"/>
              </w:rPr>
              <w:t>40</w:t>
            </w:r>
            <w:r>
              <w:rPr>
                <w:rFonts w:hint="default" w:ascii="Times New Roman" w:hAnsi="Times New Roman" w:eastAsia="仿宋" w:cs="Times New Roman"/>
                <w:b/>
                <w:bCs/>
                <w:spacing w:val="0"/>
                <w:sz w:val="24"/>
                <w:highlight w:val="none"/>
              </w:rPr>
              <w:t>分）</w:t>
            </w:r>
          </w:p>
        </w:tc>
        <w:tc>
          <w:tcPr>
            <w:tcW w:w="7587" w:type="dxa"/>
            <w:vAlign w:val="center"/>
          </w:tcPr>
          <w:p w14:paraId="29EAC34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color w:val="auto"/>
                <w:spacing w:val="0"/>
                <w:sz w:val="24"/>
                <w:highlight w:val="none"/>
              </w:rPr>
              <w:t>承保份额最高的承保</w:t>
            </w:r>
            <w:r>
              <w:rPr>
                <w:rFonts w:hint="default" w:ascii="Times New Roman" w:hAnsi="Times New Roman" w:eastAsia="仿宋" w:cs="Times New Roman"/>
                <w:color w:val="auto"/>
                <w:spacing w:val="0"/>
                <w:sz w:val="24"/>
                <w:highlight w:val="none"/>
                <w:lang w:val="en-US" w:eastAsia="zh-CN"/>
              </w:rPr>
              <w:t>机构不按要求</w:t>
            </w:r>
            <w:r>
              <w:rPr>
                <w:rFonts w:hint="default" w:ascii="Times New Roman" w:hAnsi="Times New Roman" w:eastAsia="仿宋" w:cs="Times New Roman"/>
                <w:color w:val="auto"/>
                <w:spacing w:val="0"/>
                <w:sz w:val="24"/>
                <w:highlight w:val="none"/>
              </w:rPr>
              <w:t>统筹</w:t>
            </w:r>
            <w:r>
              <w:rPr>
                <w:rFonts w:hint="default" w:ascii="Times New Roman" w:hAnsi="Times New Roman" w:eastAsia="仿宋" w:cs="Times New Roman"/>
                <w:color w:val="auto"/>
                <w:spacing w:val="0"/>
                <w:sz w:val="24"/>
                <w:highlight w:val="none"/>
                <w:lang w:val="en-US" w:eastAsia="zh-CN"/>
              </w:rPr>
              <w:t>开展事故预防服务工作或</w:t>
            </w:r>
            <w:r>
              <w:rPr>
                <w:rFonts w:hint="default" w:ascii="Times New Roman" w:hAnsi="Times New Roman" w:eastAsia="仿宋" w:cs="Times New Roman"/>
                <w:color w:val="auto"/>
                <w:spacing w:val="0"/>
                <w:sz w:val="24"/>
                <w:highlight w:val="none"/>
              </w:rPr>
              <w:t>其他承保机构</w:t>
            </w:r>
            <w:r>
              <w:rPr>
                <w:rFonts w:hint="default" w:ascii="Times New Roman" w:hAnsi="Times New Roman" w:eastAsia="仿宋" w:cs="Times New Roman"/>
                <w:color w:val="auto"/>
                <w:spacing w:val="0"/>
                <w:sz w:val="24"/>
                <w:highlight w:val="none"/>
                <w:lang w:val="en-US" w:eastAsia="zh-CN"/>
              </w:rPr>
              <w:t>不按要求</w:t>
            </w:r>
            <w:r>
              <w:rPr>
                <w:rFonts w:hint="default" w:ascii="Times New Roman" w:hAnsi="Times New Roman" w:eastAsia="仿宋" w:cs="Times New Roman"/>
                <w:color w:val="auto"/>
                <w:spacing w:val="0"/>
                <w:sz w:val="24"/>
                <w:highlight w:val="none"/>
              </w:rPr>
              <w:t>配合开展统筹事故预防工作</w:t>
            </w:r>
            <w:r>
              <w:rPr>
                <w:rFonts w:hint="default" w:ascii="Times New Roman" w:hAnsi="Times New Roman" w:eastAsia="仿宋" w:cs="Times New Roman"/>
                <w:color w:val="auto"/>
                <w:spacing w:val="0"/>
                <w:sz w:val="24"/>
                <w:highlight w:val="none"/>
                <w:lang w:val="en-US" w:eastAsia="zh-CN"/>
              </w:rPr>
              <w:t>的，省级层面每发现1次扣10分，市级及以下层面每发现1次扣5分。</w:t>
            </w:r>
          </w:p>
        </w:tc>
        <w:tc>
          <w:tcPr>
            <w:tcW w:w="2010" w:type="dxa"/>
            <w:vMerge w:val="restart"/>
            <w:vAlign w:val="center"/>
          </w:tcPr>
          <w:p w14:paraId="6BEBD21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482E2A0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3AF0ECE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46B0AE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48D7805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7A70D42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6AE81D7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193655D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rPr>
            </w:pPr>
            <w:r>
              <w:rPr>
                <w:rFonts w:hint="default" w:ascii="Times New Roman" w:hAnsi="Times New Roman" w:eastAsia="仿宋" w:cs="Times New Roman"/>
                <w:spacing w:val="0"/>
                <w:sz w:val="24"/>
                <w:highlight w:val="none"/>
                <w:lang w:val="en-US" w:eastAsia="zh-CN"/>
              </w:rPr>
              <w:t>查看资料、平台和日常监督检查掌握情况。</w:t>
            </w:r>
          </w:p>
        </w:tc>
        <w:tc>
          <w:tcPr>
            <w:tcW w:w="1863" w:type="dxa"/>
            <w:vMerge w:val="restart"/>
            <w:vAlign w:val="center"/>
          </w:tcPr>
          <w:p w14:paraId="7792347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101A4D3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3C7CE93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0330301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4A8AFA7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7391FAA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sz w:val="24"/>
                <w:highlight w:val="none"/>
                <w:lang w:val="en-US" w:eastAsia="zh-CN"/>
              </w:rPr>
            </w:pPr>
          </w:p>
          <w:p w14:paraId="55D2379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r>
              <w:rPr>
                <w:rFonts w:hint="default" w:ascii="Times New Roman" w:hAnsi="Times New Roman" w:eastAsia="仿宋" w:cs="Times New Roman"/>
                <w:spacing w:val="0"/>
                <w:sz w:val="24"/>
                <w:highlight w:val="none"/>
                <w:lang w:val="en-US" w:eastAsia="zh-CN"/>
              </w:rPr>
              <w:t>基础分为40分，单项得分=基础分-扣分，最低得0分。</w:t>
            </w:r>
          </w:p>
        </w:tc>
      </w:tr>
      <w:tr w14:paraId="03416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816" w:type="dxa"/>
            <w:vMerge w:val="continue"/>
            <w:vAlign w:val="center"/>
          </w:tcPr>
          <w:p w14:paraId="0D2F065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rPr>
            </w:pPr>
          </w:p>
        </w:tc>
        <w:tc>
          <w:tcPr>
            <w:tcW w:w="1680" w:type="dxa"/>
            <w:vMerge w:val="continue"/>
            <w:vAlign w:val="center"/>
          </w:tcPr>
          <w:p w14:paraId="5C28233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rPr>
            </w:pPr>
          </w:p>
        </w:tc>
        <w:tc>
          <w:tcPr>
            <w:tcW w:w="7587" w:type="dxa"/>
            <w:vAlign w:val="center"/>
          </w:tcPr>
          <w:p w14:paraId="07085C9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lang w:val="en-US" w:eastAsia="zh-CN"/>
              </w:rPr>
            </w:pPr>
            <w:r>
              <w:rPr>
                <w:rFonts w:hint="default" w:ascii="Times New Roman" w:hAnsi="Times New Roman" w:eastAsia="仿宋" w:cs="Times New Roman"/>
                <w:color w:val="auto"/>
                <w:spacing w:val="0"/>
                <w:sz w:val="24"/>
                <w:highlight w:val="none"/>
                <w:lang w:val="en-US" w:eastAsia="zh-CN"/>
              </w:rPr>
              <w:t>未按要求制定年度事故预防服务方案的，扣3分；年度事故预防服务方案的制定和实施未接受承保项目</w:t>
            </w:r>
            <w:r>
              <w:rPr>
                <w:rFonts w:hint="eastAsia" w:ascii="Times New Roman" w:hAnsi="Times New Roman" w:cs="Times New Roman"/>
                <w:color w:val="auto"/>
                <w:spacing w:val="0"/>
                <w:sz w:val="24"/>
                <w:highlight w:val="none"/>
                <w:lang w:val="en-US" w:eastAsia="zh-CN"/>
              </w:rPr>
              <w:t>、企业</w:t>
            </w:r>
            <w:r>
              <w:rPr>
                <w:rFonts w:hint="default" w:ascii="Times New Roman" w:hAnsi="Times New Roman" w:eastAsia="仿宋" w:cs="Times New Roman"/>
                <w:color w:val="auto"/>
                <w:spacing w:val="0"/>
                <w:sz w:val="24"/>
                <w:highlight w:val="none"/>
                <w:lang w:val="en-US" w:eastAsia="zh-CN"/>
              </w:rPr>
              <w:t>所在地</w:t>
            </w:r>
            <w:r>
              <w:rPr>
                <w:rFonts w:hint="eastAsia" w:ascii="Times New Roman" w:hAnsi="Times New Roman" w:cs="Times New Roman"/>
                <w:color w:val="auto"/>
                <w:spacing w:val="0"/>
                <w:sz w:val="24"/>
                <w:highlight w:val="none"/>
                <w:lang w:val="en-US" w:eastAsia="zh-CN"/>
              </w:rPr>
              <w:t>交通运输监管</w:t>
            </w:r>
            <w:r>
              <w:rPr>
                <w:rFonts w:hint="default" w:ascii="Times New Roman" w:hAnsi="Times New Roman" w:eastAsia="仿宋" w:cs="Times New Roman"/>
                <w:color w:val="auto"/>
                <w:spacing w:val="0"/>
                <w:sz w:val="24"/>
                <w:highlight w:val="none"/>
                <w:lang w:val="en-US" w:eastAsia="zh-CN"/>
              </w:rPr>
              <w:t>部门监督指导的，每发现1次扣2分。</w:t>
            </w:r>
          </w:p>
        </w:tc>
        <w:tc>
          <w:tcPr>
            <w:tcW w:w="2010" w:type="dxa"/>
            <w:vMerge w:val="continue"/>
            <w:vAlign w:val="center"/>
          </w:tcPr>
          <w:p w14:paraId="60A55E8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c>
          <w:tcPr>
            <w:tcW w:w="1863" w:type="dxa"/>
            <w:vMerge w:val="continue"/>
            <w:vAlign w:val="center"/>
          </w:tcPr>
          <w:p w14:paraId="78D8366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r>
      <w:tr w14:paraId="580CD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16" w:type="dxa"/>
            <w:vMerge w:val="continue"/>
            <w:vAlign w:val="center"/>
          </w:tcPr>
          <w:p w14:paraId="70F4BC6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680" w:type="dxa"/>
            <w:vMerge w:val="continue"/>
            <w:vAlign w:val="center"/>
          </w:tcPr>
          <w:p w14:paraId="0D11FCE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7587" w:type="dxa"/>
            <w:vAlign w:val="center"/>
          </w:tcPr>
          <w:p w14:paraId="6529EFF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color w:val="auto"/>
                <w:spacing w:val="0"/>
                <w:sz w:val="24"/>
                <w:highlight w:val="none"/>
                <w:lang w:val="en-US" w:eastAsia="zh-CN"/>
              </w:rPr>
              <w:t>承保项目事故预防服务覆盖率每降低1%扣2分。</w:t>
            </w:r>
          </w:p>
        </w:tc>
        <w:tc>
          <w:tcPr>
            <w:tcW w:w="2010" w:type="dxa"/>
            <w:vMerge w:val="continue"/>
            <w:vAlign w:val="center"/>
          </w:tcPr>
          <w:p w14:paraId="486A0E7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c>
          <w:tcPr>
            <w:tcW w:w="1863" w:type="dxa"/>
            <w:vMerge w:val="continue"/>
            <w:vAlign w:val="center"/>
          </w:tcPr>
          <w:p w14:paraId="49F5AC4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r>
      <w:tr w14:paraId="54681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16" w:type="dxa"/>
            <w:vMerge w:val="continue"/>
            <w:vAlign w:val="center"/>
          </w:tcPr>
          <w:p w14:paraId="2AFAAFF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680" w:type="dxa"/>
            <w:vMerge w:val="continue"/>
            <w:vAlign w:val="center"/>
          </w:tcPr>
          <w:p w14:paraId="2BA8E4F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7587" w:type="dxa"/>
            <w:vAlign w:val="center"/>
          </w:tcPr>
          <w:p w14:paraId="5662D37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lang w:val="en-US" w:eastAsia="zh-CN"/>
              </w:rPr>
            </w:pPr>
            <w:r>
              <w:rPr>
                <w:rFonts w:hint="default" w:ascii="Times New Roman" w:hAnsi="Times New Roman" w:eastAsia="仿宋" w:cs="Times New Roman"/>
                <w:color w:val="auto"/>
                <w:spacing w:val="0"/>
                <w:sz w:val="24"/>
                <w:highlight w:val="none"/>
                <w:lang w:val="en-US" w:eastAsia="zh-CN"/>
              </w:rPr>
              <w:t>未按规定在保险期间内开展事故预防服务或服务频次不符合要求的，每发现1次扣2分，已及时向</w:t>
            </w:r>
            <w:r>
              <w:rPr>
                <w:rFonts w:hint="eastAsia" w:ascii="Times New Roman" w:hAnsi="Times New Roman" w:cs="Times New Roman"/>
                <w:color w:val="auto"/>
                <w:spacing w:val="0"/>
                <w:sz w:val="24"/>
                <w:highlight w:val="none"/>
                <w:lang w:val="en-US" w:eastAsia="zh-CN"/>
              </w:rPr>
              <w:t>交通运输监管</w:t>
            </w:r>
            <w:r>
              <w:rPr>
                <w:rFonts w:hint="default" w:ascii="Times New Roman" w:hAnsi="Times New Roman" w:eastAsia="仿宋" w:cs="Times New Roman"/>
                <w:color w:val="auto"/>
                <w:spacing w:val="0"/>
                <w:sz w:val="24"/>
                <w:highlight w:val="none"/>
                <w:lang w:val="en-US" w:eastAsia="zh-CN"/>
              </w:rPr>
              <w:t>部门报告承保项目</w:t>
            </w:r>
            <w:r>
              <w:rPr>
                <w:rFonts w:hint="eastAsia" w:ascii="Times New Roman" w:hAnsi="Times New Roman" w:cs="Times New Roman"/>
                <w:color w:val="auto"/>
                <w:spacing w:val="0"/>
                <w:sz w:val="24"/>
                <w:highlight w:val="none"/>
                <w:lang w:val="en-US" w:eastAsia="zh-CN"/>
              </w:rPr>
              <w:t>、企业</w:t>
            </w:r>
            <w:r>
              <w:rPr>
                <w:rFonts w:hint="default" w:ascii="Times New Roman" w:hAnsi="Times New Roman" w:eastAsia="仿宋" w:cs="Times New Roman"/>
                <w:color w:val="auto"/>
                <w:spacing w:val="0"/>
                <w:sz w:val="24"/>
                <w:highlight w:val="none"/>
                <w:lang w:val="en-US" w:eastAsia="zh-CN"/>
              </w:rPr>
              <w:t>存在不配合开展事故预防服务行为的情况除外。</w:t>
            </w:r>
          </w:p>
        </w:tc>
        <w:tc>
          <w:tcPr>
            <w:tcW w:w="2010" w:type="dxa"/>
            <w:vMerge w:val="continue"/>
            <w:vAlign w:val="center"/>
          </w:tcPr>
          <w:p w14:paraId="55990EB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c>
          <w:tcPr>
            <w:tcW w:w="1863" w:type="dxa"/>
            <w:vMerge w:val="continue"/>
            <w:vAlign w:val="center"/>
          </w:tcPr>
          <w:p w14:paraId="057FA91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r>
      <w:tr w14:paraId="4801E6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16" w:type="dxa"/>
            <w:vMerge w:val="continue"/>
            <w:vAlign w:val="center"/>
          </w:tcPr>
          <w:p w14:paraId="594D442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680" w:type="dxa"/>
            <w:vMerge w:val="continue"/>
            <w:vAlign w:val="center"/>
          </w:tcPr>
          <w:p w14:paraId="6D96D9E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7587" w:type="dxa"/>
            <w:vAlign w:val="center"/>
          </w:tcPr>
          <w:p w14:paraId="3F9410D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rPr>
            </w:pPr>
            <w:r>
              <w:rPr>
                <w:rFonts w:hint="default" w:ascii="Times New Roman" w:hAnsi="Times New Roman" w:eastAsia="仿宋" w:cs="Times New Roman"/>
                <w:b w:val="0"/>
                <w:bCs w:val="0"/>
                <w:spacing w:val="0"/>
                <w:sz w:val="24"/>
                <w:highlight w:val="none"/>
                <w:lang w:val="en-US" w:eastAsia="zh-CN"/>
              </w:rPr>
              <w:t>未按规定</w:t>
            </w:r>
            <w:r>
              <w:rPr>
                <w:rFonts w:hint="default" w:ascii="Times New Roman" w:hAnsi="Times New Roman" w:eastAsia="仿宋" w:cs="Times New Roman"/>
                <w:spacing w:val="0"/>
                <w:sz w:val="24"/>
                <w:highlight w:val="none"/>
              </w:rPr>
              <w:t>对存在超规模危大工程或</w:t>
            </w:r>
            <w:r>
              <w:rPr>
                <w:rFonts w:hint="default" w:ascii="Times New Roman" w:hAnsi="Times New Roman" w:eastAsia="仿宋" w:cs="Times New Roman"/>
                <w:spacing w:val="0"/>
                <w:sz w:val="24"/>
                <w:highlight w:val="none"/>
                <w:lang w:val="en-US" w:eastAsia="zh-CN"/>
              </w:rPr>
              <w:t>质量安全监督机构指出</w:t>
            </w:r>
            <w:r>
              <w:rPr>
                <w:rFonts w:hint="default" w:ascii="Times New Roman" w:hAnsi="Times New Roman" w:eastAsia="仿宋" w:cs="Times New Roman"/>
                <w:spacing w:val="0"/>
                <w:sz w:val="24"/>
                <w:highlight w:val="none"/>
              </w:rPr>
              <w:t>施</w:t>
            </w:r>
            <w:r>
              <w:rPr>
                <w:rFonts w:hint="default" w:ascii="Times New Roman" w:hAnsi="Times New Roman" w:eastAsia="仿宋" w:cs="Times New Roman"/>
                <w:b w:val="0"/>
                <w:bCs w:val="0"/>
                <w:spacing w:val="0"/>
                <w:sz w:val="24"/>
                <w:highlight w:val="none"/>
              </w:rPr>
              <w:t>工现场安全问题突出的</w:t>
            </w:r>
            <w:r>
              <w:rPr>
                <w:rFonts w:hint="default" w:ascii="Times New Roman" w:hAnsi="Times New Roman" w:eastAsia="仿宋" w:cs="Times New Roman"/>
                <w:b w:val="0"/>
                <w:bCs w:val="0"/>
                <w:spacing w:val="0"/>
                <w:sz w:val="24"/>
                <w:highlight w:val="none"/>
                <w:lang w:val="en-US" w:eastAsia="zh-CN"/>
              </w:rPr>
              <w:t>投保项目提供事故隐患排查、特种设备安全隐患排查技术服务的，每发现1次扣3分，</w:t>
            </w:r>
            <w:r>
              <w:rPr>
                <w:rFonts w:hint="default" w:ascii="Times New Roman" w:hAnsi="Times New Roman" w:eastAsia="仿宋" w:cs="Times New Roman"/>
                <w:color w:val="auto"/>
                <w:spacing w:val="0"/>
                <w:sz w:val="24"/>
                <w:highlight w:val="none"/>
                <w:lang w:val="en-US" w:eastAsia="zh-CN"/>
              </w:rPr>
              <w:t>已及时向</w:t>
            </w:r>
            <w:r>
              <w:rPr>
                <w:rFonts w:hint="eastAsia" w:ascii="Times New Roman" w:hAnsi="Times New Roman" w:cs="Times New Roman"/>
                <w:color w:val="auto"/>
                <w:spacing w:val="0"/>
                <w:sz w:val="24"/>
                <w:highlight w:val="none"/>
                <w:lang w:val="en-US" w:eastAsia="zh-CN"/>
              </w:rPr>
              <w:t>交通运输监管</w:t>
            </w:r>
            <w:r>
              <w:rPr>
                <w:rFonts w:hint="default" w:ascii="Times New Roman" w:hAnsi="Times New Roman" w:eastAsia="仿宋" w:cs="Times New Roman"/>
                <w:color w:val="auto"/>
                <w:spacing w:val="0"/>
                <w:sz w:val="24"/>
                <w:highlight w:val="none"/>
                <w:lang w:val="en-US" w:eastAsia="zh-CN"/>
              </w:rPr>
              <w:t>部门报告承保项目存在不配合开展事故预防服务行为的情况除外。</w:t>
            </w:r>
          </w:p>
        </w:tc>
        <w:tc>
          <w:tcPr>
            <w:tcW w:w="2010" w:type="dxa"/>
            <w:vMerge w:val="continue"/>
            <w:vAlign w:val="center"/>
          </w:tcPr>
          <w:p w14:paraId="04E0437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b w:val="0"/>
                <w:bCs w:val="0"/>
                <w:spacing w:val="0"/>
                <w:sz w:val="24"/>
                <w:highlight w:val="none"/>
                <w:lang w:val="en-US" w:eastAsia="zh-CN"/>
              </w:rPr>
            </w:pPr>
          </w:p>
        </w:tc>
        <w:tc>
          <w:tcPr>
            <w:tcW w:w="1863" w:type="dxa"/>
            <w:vMerge w:val="continue"/>
            <w:vAlign w:val="center"/>
          </w:tcPr>
          <w:p w14:paraId="3A6AC2F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b w:val="0"/>
                <w:bCs w:val="0"/>
                <w:spacing w:val="0"/>
                <w:sz w:val="24"/>
                <w:highlight w:val="none"/>
                <w:lang w:val="en-US" w:eastAsia="zh-CN"/>
              </w:rPr>
            </w:pPr>
          </w:p>
        </w:tc>
      </w:tr>
      <w:tr w14:paraId="1E8A5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16" w:type="dxa"/>
            <w:vMerge w:val="continue"/>
            <w:vAlign w:val="center"/>
          </w:tcPr>
          <w:p w14:paraId="141A12D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rPr>
            </w:pPr>
          </w:p>
        </w:tc>
        <w:tc>
          <w:tcPr>
            <w:tcW w:w="1680" w:type="dxa"/>
            <w:vMerge w:val="continue"/>
            <w:vAlign w:val="center"/>
          </w:tcPr>
          <w:p w14:paraId="633F8AC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rPr>
            </w:pPr>
          </w:p>
        </w:tc>
        <w:tc>
          <w:tcPr>
            <w:tcW w:w="7587" w:type="dxa"/>
            <w:vAlign w:val="center"/>
          </w:tcPr>
          <w:p w14:paraId="7D005C4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b w:val="0"/>
                <w:bCs w:val="0"/>
                <w:spacing w:val="0"/>
                <w:sz w:val="24"/>
                <w:highlight w:val="none"/>
                <w:lang w:val="en-US" w:eastAsia="zh-CN"/>
              </w:rPr>
              <w:t>未</w:t>
            </w:r>
            <w:r>
              <w:rPr>
                <w:rFonts w:hint="default" w:ascii="Times New Roman" w:hAnsi="Times New Roman" w:eastAsia="仿宋" w:cs="Times New Roman"/>
                <w:b w:val="0"/>
                <w:bCs w:val="0"/>
                <w:spacing w:val="0"/>
                <w:sz w:val="24"/>
                <w:highlight w:val="none"/>
              </w:rPr>
              <w:t>及时</w:t>
            </w:r>
            <w:r>
              <w:rPr>
                <w:rFonts w:hint="default" w:ascii="Times New Roman" w:hAnsi="Times New Roman" w:eastAsia="仿宋" w:cs="Times New Roman"/>
                <w:b w:val="0"/>
                <w:bCs w:val="0"/>
                <w:spacing w:val="0"/>
                <w:sz w:val="24"/>
                <w:highlight w:val="none"/>
                <w:lang w:val="en-US" w:eastAsia="zh-CN"/>
              </w:rPr>
              <w:t>向</w:t>
            </w:r>
            <w:r>
              <w:rPr>
                <w:rFonts w:hint="default" w:ascii="Times New Roman" w:hAnsi="Times New Roman" w:eastAsia="仿宋" w:cs="Times New Roman"/>
                <w:b w:val="0"/>
                <w:bCs w:val="0"/>
                <w:spacing w:val="0"/>
                <w:sz w:val="24"/>
                <w:highlight w:val="none"/>
              </w:rPr>
              <w:t>项目属地</w:t>
            </w:r>
            <w:r>
              <w:rPr>
                <w:rFonts w:hint="eastAsia" w:ascii="Times New Roman" w:hAnsi="Times New Roman" w:cs="Times New Roman"/>
                <w:color w:val="auto"/>
                <w:spacing w:val="0"/>
                <w:sz w:val="24"/>
                <w:highlight w:val="none"/>
                <w:lang w:val="en-US" w:eastAsia="zh-CN"/>
              </w:rPr>
              <w:t>交通运输监管</w:t>
            </w:r>
            <w:r>
              <w:rPr>
                <w:rFonts w:hint="default" w:ascii="Times New Roman" w:hAnsi="Times New Roman" w:eastAsia="仿宋" w:cs="Times New Roman"/>
                <w:b w:val="0"/>
                <w:bCs w:val="0"/>
                <w:spacing w:val="0"/>
                <w:sz w:val="24"/>
                <w:highlight w:val="none"/>
              </w:rPr>
              <w:t>部门报告</w:t>
            </w:r>
            <w:r>
              <w:rPr>
                <w:rFonts w:hint="default" w:ascii="Times New Roman" w:hAnsi="Times New Roman" w:eastAsia="仿宋" w:cs="Times New Roman"/>
                <w:b w:val="0"/>
                <w:bCs w:val="0"/>
                <w:spacing w:val="0"/>
                <w:sz w:val="24"/>
                <w:highlight w:val="none"/>
                <w:lang w:val="en-US" w:eastAsia="zh-CN"/>
              </w:rPr>
              <w:t>未按时限整改重大事故隐患行为的，每发现1次扣1分。</w:t>
            </w:r>
          </w:p>
        </w:tc>
        <w:tc>
          <w:tcPr>
            <w:tcW w:w="2010" w:type="dxa"/>
            <w:vMerge w:val="continue"/>
            <w:vAlign w:val="center"/>
          </w:tcPr>
          <w:p w14:paraId="047BF07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b w:val="0"/>
                <w:bCs w:val="0"/>
                <w:spacing w:val="0"/>
                <w:sz w:val="24"/>
                <w:highlight w:val="none"/>
                <w:lang w:val="en-US" w:eastAsia="zh-CN"/>
              </w:rPr>
            </w:pPr>
          </w:p>
        </w:tc>
        <w:tc>
          <w:tcPr>
            <w:tcW w:w="1863" w:type="dxa"/>
            <w:vMerge w:val="continue"/>
            <w:vAlign w:val="center"/>
          </w:tcPr>
          <w:p w14:paraId="5984D69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b w:val="0"/>
                <w:bCs w:val="0"/>
                <w:spacing w:val="0"/>
                <w:sz w:val="24"/>
                <w:highlight w:val="none"/>
                <w:lang w:val="en-US" w:eastAsia="zh-CN"/>
              </w:rPr>
            </w:pPr>
          </w:p>
        </w:tc>
      </w:tr>
      <w:tr w14:paraId="762917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16" w:type="dxa"/>
            <w:vMerge w:val="continue"/>
            <w:vAlign w:val="center"/>
          </w:tcPr>
          <w:p w14:paraId="36D1736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rPr>
            </w:pPr>
          </w:p>
        </w:tc>
        <w:tc>
          <w:tcPr>
            <w:tcW w:w="1680" w:type="dxa"/>
            <w:vMerge w:val="continue"/>
            <w:vAlign w:val="center"/>
          </w:tcPr>
          <w:p w14:paraId="2B3A9A6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spacing w:val="0"/>
                <w:highlight w:val="none"/>
              </w:rPr>
            </w:pPr>
          </w:p>
        </w:tc>
        <w:tc>
          <w:tcPr>
            <w:tcW w:w="7587" w:type="dxa"/>
            <w:vAlign w:val="center"/>
          </w:tcPr>
          <w:p w14:paraId="20C8361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b w:val="0"/>
                <w:bCs w:val="0"/>
                <w:spacing w:val="0"/>
                <w:sz w:val="24"/>
                <w:highlight w:val="none"/>
                <w:lang w:val="en-US" w:eastAsia="zh-CN"/>
              </w:rPr>
            </w:pPr>
            <w:r>
              <w:rPr>
                <w:rFonts w:hint="default" w:ascii="Times New Roman" w:hAnsi="Times New Roman" w:eastAsia="仿宋" w:cs="Times New Roman"/>
                <w:spacing w:val="0"/>
                <w:sz w:val="24"/>
                <w:highlight w:val="none"/>
                <w:lang w:val="en-US" w:eastAsia="zh-CN"/>
              </w:rPr>
              <w:t>事故预防服务信息未及时共享或录入主管部门信息平台，</w:t>
            </w:r>
            <w:bookmarkStart w:id="26" w:name="OLE_LINK23"/>
            <w:r>
              <w:rPr>
                <w:rFonts w:hint="default" w:ascii="Times New Roman" w:hAnsi="Times New Roman" w:eastAsia="仿宋" w:cs="Times New Roman"/>
                <w:spacing w:val="0"/>
                <w:sz w:val="24"/>
                <w:highlight w:val="none"/>
                <w:lang w:val="en-US" w:eastAsia="zh-CN"/>
              </w:rPr>
              <w:t>每发现1次扣1分</w:t>
            </w:r>
            <w:bookmarkEnd w:id="26"/>
            <w:r>
              <w:rPr>
                <w:rFonts w:hint="default" w:ascii="Times New Roman" w:hAnsi="Times New Roman" w:eastAsia="仿宋" w:cs="Times New Roman"/>
                <w:spacing w:val="0"/>
                <w:sz w:val="24"/>
                <w:highlight w:val="none"/>
                <w:lang w:val="en-US" w:eastAsia="zh-CN"/>
              </w:rPr>
              <w:t>；事故预防服务信息录入不全面、不真实、不准确的，每发现1次扣1分。</w:t>
            </w:r>
          </w:p>
        </w:tc>
        <w:tc>
          <w:tcPr>
            <w:tcW w:w="2010" w:type="dxa"/>
            <w:vMerge w:val="continue"/>
            <w:vAlign w:val="center"/>
          </w:tcPr>
          <w:p w14:paraId="6A54512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c>
          <w:tcPr>
            <w:tcW w:w="1863" w:type="dxa"/>
            <w:vMerge w:val="continue"/>
            <w:vAlign w:val="center"/>
          </w:tcPr>
          <w:p w14:paraId="5BAC17E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0C08A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16" w:type="dxa"/>
            <w:vMerge w:val="continue"/>
            <w:vAlign w:val="center"/>
          </w:tcPr>
          <w:p w14:paraId="307CCCB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680" w:type="dxa"/>
            <w:vMerge w:val="continue"/>
            <w:vAlign w:val="center"/>
          </w:tcPr>
          <w:p w14:paraId="7378069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7587" w:type="dxa"/>
            <w:vAlign w:val="center"/>
          </w:tcPr>
          <w:p w14:paraId="26BBEA7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color w:val="auto"/>
                <w:spacing w:val="0"/>
                <w:sz w:val="24"/>
                <w:highlight w:val="none"/>
              </w:rPr>
              <w:t>委托</w:t>
            </w:r>
            <w:r>
              <w:rPr>
                <w:rFonts w:hint="default" w:ascii="Times New Roman" w:hAnsi="Times New Roman" w:eastAsia="仿宋" w:cs="Times New Roman"/>
                <w:color w:val="auto"/>
                <w:spacing w:val="0"/>
                <w:sz w:val="24"/>
                <w:highlight w:val="none"/>
                <w:lang w:val="en-US" w:eastAsia="zh-CN"/>
              </w:rPr>
              <w:t>不</w:t>
            </w:r>
            <w:r>
              <w:rPr>
                <w:rFonts w:hint="default" w:ascii="Times New Roman" w:hAnsi="Times New Roman" w:eastAsia="仿宋" w:cs="Times New Roman"/>
                <w:color w:val="auto"/>
                <w:spacing w:val="0"/>
                <w:sz w:val="24"/>
                <w:highlight w:val="none"/>
              </w:rPr>
              <w:t>具有相应资质或事故预防服务能力的安全生产技术服务机构开展事故预防</w:t>
            </w:r>
            <w:r>
              <w:rPr>
                <w:rFonts w:hint="default" w:ascii="Times New Roman" w:hAnsi="Times New Roman" w:eastAsia="仿宋" w:cs="Times New Roman"/>
                <w:color w:val="auto"/>
                <w:spacing w:val="0"/>
                <w:sz w:val="24"/>
                <w:highlight w:val="none"/>
                <w:lang w:val="en-US" w:eastAsia="zh-CN"/>
              </w:rPr>
              <w:t>服务</w:t>
            </w:r>
            <w:r>
              <w:rPr>
                <w:rFonts w:hint="default" w:ascii="Times New Roman" w:hAnsi="Times New Roman" w:eastAsia="仿宋" w:cs="Times New Roman"/>
                <w:color w:val="auto"/>
                <w:spacing w:val="0"/>
                <w:sz w:val="24"/>
                <w:highlight w:val="none"/>
              </w:rPr>
              <w:t>工作</w:t>
            </w:r>
            <w:r>
              <w:rPr>
                <w:rFonts w:hint="default" w:ascii="Times New Roman" w:hAnsi="Times New Roman" w:eastAsia="仿宋" w:cs="Times New Roman"/>
                <w:color w:val="auto"/>
                <w:spacing w:val="0"/>
                <w:sz w:val="24"/>
                <w:highlight w:val="none"/>
                <w:lang w:val="en-US" w:eastAsia="zh-CN"/>
              </w:rPr>
              <w:t>的，每发现1次扣5分。</w:t>
            </w:r>
          </w:p>
        </w:tc>
        <w:tc>
          <w:tcPr>
            <w:tcW w:w="2010" w:type="dxa"/>
            <w:vMerge w:val="continue"/>
            <w:vAlign w:val="center"/>
          </w:tcPr>
          <w:p w14:paraId="7467F23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863" w:type="dxa"/>
            <w:vMerge w:val="continue"/>
            <w:vAlign w:val="center"/>
          </w:tcPr>
          <w:p w14:paraId="1792F4F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r>
      <w:tr w14:paraId="4BEDB9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16" w:type="dxa"/>
            <w:vMerge w:val="continue"/>
            <w:vAlign w:val="center"/>
          </w:tcPr>
          <w:p w14:paraId="30555E5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680" w:type="dxa"/>
            <w:vMerge w:val="continue"/>
            <w:vAlign w:val="center"/>
          </w:tcPr>
          <w:p w14:paraId="6288149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7587" w:type="dxa"/>
            <w:vAlign w:val="center"/>
          </w:tcPr>
          <w:p w14:paraId="0282259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color w:val="auto"/>
                <w:spacing w:val="0"/>
                <w:sz w:val="24"/>
                <w:highlight w:val="none"/>
                <w:lang w:val="en-US" w:eastAsia="zh-CN"/>
              </w:rPr>
              <w:t>委托的</w:t>
            </w:r>
            <w:r>
              <w:rPr>
                <w:rFonts w:hint="default" w:ascii="Times New Roman" w:hAnsi="Times New Roman" w:eastAsia="仿宋" w:cs="Times New Roman"/>
                <w:color w:val="auto"/>
                <w:spacing w:val="0"/>
                <w:sz w:val="24"/>
                <w:highlight w:val="none"/>
              </w:rPr>
              <w:t>安全生产技术服务机构</w:t>
            </w:r>
            <w:r>
              <w:rPr>
                <w:rFonts w:hint="default" w:ascii="Times New Roman" w:hAnsi="Times New Roman" w:eastAsia="仿宋" w:cs="Times New Roman"/>
                <w:color w:val="auto"/>
                <w:spacing w:val="0"/>
                <w:sz w:val="24"/>
                <w:highlight w:val="none"/>
                <w:lang w:val="en-US" w:eastAsia="zh-CN"/>
              </w:rPr>
              <w:t>弄虚作假、出具虚假服务报告的，每发现1次扣5分。</w:t>
            </w:r>
          </w:p>
        </w:tc>
        <w:tc>
          <w:tcPr>
            <w:tcW w:w="2010" w:type="dxa"/>
            <w:vMerge w:val="continue"/>
            <w:vAlign w:val="center"/>
          </w:tcPr>
          <w:p w14:paraId="63C48AC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c>
          <w:tcPr>
            <w:tcW w:w="1863" w:type="dxa"/>
            <w:vMerge w:val="continue"/>
            <w:vAlign w:val="center"/>
          </w:tcPr>
          <w:p w14:paraId="294E366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r>
      <w:tr w14:paraId="76805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816" w:type="dxa"/>
            <w:vMerge w:val="continue"/>
            <w:vAlign w:val="center"/>
          </w:tcPr>
          <w:p w14:paraId="2134886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1680" w:type="dxa"/>
            <w:vMerge w:val="continue"/>
            <w:vAlign w:val="center"/>
          </w:tcPr>
          <w:p w14:paraId="6F8B430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rPr>
            </w:pPr>
          </w:p>
        </w:tc>
        <w:tc>
          <w:tcPr>
            <w:tcW w:w="7587" w:type="dxa"/>
            <w:vAlign w:val="center"/>
          </w:tcPr>
          <w:p w14:paraId="3BB93BD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color w:val="auto"/>
                <w:spacing w:val="0"/>
                <w:sz w:val="24"/>
                <w:highlight w:val="none"/>
                <w:lang w:val="en-US" w:eastAsia="zh-CN"/>
              </w:rPr>
              <w:t>共保体其他成员承保机构未按共保协议约定配合开展事故预防服务的，每发现1次，扣2分。</w:t>
            </w:r>
          </w:p>
        </w:tc>
        <w:tc>
          <w:tcPr>
            <w:tcW w:w="2010" w:type="dxa"/>
            <w:vMerge w:val="continue"/>
            <w:vAlign w:val="center"/>
          </w:tcPr>
          <w:p w14:paraId="48BA171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c>
          <w:tcPr>
            <w:tcW w:w="1863" w:type="dxa"/>
            <w:vMerge w:val="continue"/>
            <w:vAlign w:val="center"/>
          </w:tcPr>
          <w:p w14:paraId="3E71CA2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 w:cs="Times New Roman"/>
                <w:color w:val="auto"/>
                <w:spacing w:val="0"/>
                <w:sz w:val="24"/>
                <w:highlight w:val="none"/>
                <w:lang w:val="en-US" w:eastAsia="zh-CN"/>
              </w:rPr>
            </w:pPr>
          </w:p>
        </w:tc>
      </w:tr>
      <w:tr w14:paraId="20B79B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16" w:type="dxa"/>
            <w:vMerge w:val="restart"/>
            <w:vAlign w:val="center"/>
          </w:tcPr>
          <w:p w14:paraId="20AEDC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5</w:t>
            </w:r>
          </w:p>
        </w:tc>
        <w:tc>
          <w:tcPr>
            <w:tcW w:w="1680" w:type="dxa"/>
            <w:vMerge w:val="restart"/>
            <w:vAlign w:val="center"/>
          </w:tcPr>
          <w:p w14:paraId="772CEC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承保项目安全生产情况</w:t>
            </w:r>
          </w:p>
          <w:p w14:paraId="757F78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 w:cs="Times New Roman"/>
                <w:b/>
                <w:bCs/>
                <w:spacing w:val="0"/>
                <w:sz w:val="24"/>
                <w:highlight w:val="none"/>
              </w:rPr>
            </w:pPr>
            <w:r>
              <w:rPr>
                <w:rFonts w:hint="default" w:ascii="Times New Roman" w:hAnsi="Times New Roman" w:eastAsia="仿宋" w:cs="Times New Roman"/>
                <w:b/>
                <w:bCs/>
                <w:spacing w:val="0"/>
                <w:sz w:val="24"/>
                <w:highlight w:val="none"/>
              </w:rPr>
              <w:t>（</w:t>
            </w:r>
            <w:r>
              <w:rPr>
                <w:rFonts w:hint="default" w:ascii="Times New Roman" w:hAnsi="Times New Roman" w:eastAsia="仿宋" w:cs="Times New Roman"/>
                <w:b/>
                <w:bCs/>
                <w:spacing w:val="0"/>
                <w:sz w:val="24"/>
                <w:highlight w:val="none"/>
                <w:lang w:val="en-US" w:eastAsia="zh-CN"/>
              </w:rPr>
              <w:t>10</w:t>
            </w:r>
            <w:r>
              <w:rPr>
                <w:rFonts w:hint="default" w:ascii="Times New Roman" w:hAnsi="Times New Roman" w:eastAsia="仿宋" w:cs="Times New Roman"/>
                <w:b/>
                <w:bCs/>
                <w:spacing w:val="0"/>
                <w:sz w:val="24"/>
                <w:highlight w:val="none"/>
              </w:rPr>
              <w:t>分）</w:t>
            </w:r>
          </w:p>
        </w:tc>
        <w:tc>
          <w:tcPr>
            <w:tcW w:w="7587" w:type="dxa"/>
            <w:vAlign w:val="center"/>
          </w:tcPr>
          <w:p w14:paraId="7A71A7C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承保项目</w:t>
            </w:r>
            <w:r>
              <w:rPr>
                <w:rFonts w:hint="eastAsia" w:ascii="Times New Roman" w:hAnsi="Times New Roman" w:cs="Times New Roman"/>
                <w:spacing w:val="0"/>
                <w:sz w:val="24"/>
                <w:highlight w:val="none"/>
                <w:lang w:val="en-US" w:eastAsia="zh-CN"/>
              </w:rPr>
              <w:t>、企业</w:t>
            </w:r>
            <w:r>
              <w:rPr>
                <w:rFonts w:hint="default" w:ascii="Times New Roman" w:hAnsi="Times New Roman" w:eastAsia="仿宋" w:cs="Times New Roman"/>
                <w:spacing w:val="0"/>
                <w:sz w:val="24"/>
                <w:highlight w:val="none"/>
                <w:lang w:val="en-US" w:eastAsia="zh-CN"/>
              </w:rPr>
              <w:t>存在重大安全隐患被省级及以上主管部门挂牌督办、通报曝光，并经核实承保机构未按规定提供事故预防服务或发现重大安全隐患未及时整改且未报告属地</w:t>
            </w:r>
            <w:r>
              <w:rPr>
                <w:rFonts w:hint="eastAsia" w:ascii="Times New Roman" w:hAnsi="Times New Roman" w:cs="Times New Roman"/>
                <w:color w:val="auto"/>
                <w:spacing w:val="0"/>
                <w:sz w:val="24"/>
                <w:highlight w:val="none"/>
                <w:lang w:val="en-US" w:eastAsia="zh-CN"/>
              </w:rPr>
              <w:t>交通运输监管</w:t>
            </w:r>
            <w:r>
              <w:rPr>
                <w:rFonts w:hint="default" w:ascii="Times New Roman" w:hAnsi="Times New Roman" w:eastAsia="仿宋" w:cs="Times New Roman"/>
                <w:spacing w:val="0"/>
                <w:sz w:val="24"/>
                <w:highlight w:val="none"/>
                <w:lang w:val="en-US" w:eastAsia="zh-CN"/>
              </w:rPr>
              <w:t>部门或其质量安全监督机构的，每发现1次扣2分。</w:t>
            </w:r>
          </w:p>
        </w:tc>
        <w:tc>
          <w:tcPr>
            <w:tcW w:w="2010" w:type="dxa"/>
            <w:vAlign w:val="center"/>
          </w:tcPr>
          <w:p w14:paraId="5E9F15D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查看资料和日常监督检查掌握情况。</w:t>
            </w:r>
          </w:p>
        </w:tc>
        <w:tc>
          <w:tcPr>
            <w:tcW w:w="1863" w:type="dxa"/>
            <w:vMerge w:val="restart"/>
            <w:vAlign w:val="center"/>
          </w:tcPr>
          <w:p w14:paraId="1D98F14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基础分为10分，单项得分=基础分-扣分，最低得0分。</w:t>
            </w:r>
          </w:p>
        </w:tc>
      </w:tr>
      <w:tr w14:paraId="564518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16" w:type="dxa"/>
            <w:vMerge w:val="continue"/>
            <w:vAlign w:val="center"/>
          </w:tcPr>
          <w:p w14:paraId="39EEA33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1680" w:type="dxa"/>
            <w:vMerge w:val="continue"/>
            <w:vAlign w:val="center"/>
          </w:tcPr>
          <w:p w14:paraId="39554E2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rPr>
            </w:pPr>
          </w:p>
        </w:tc>
        <w:tc>
          <w:tcPr>
            <w:tcW w:w="7587" w:type="dxa"/>
            <w:vAlign w:val="center"/>
          </w:tcPr>
          <w:p w14:paraId="1E72E35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承保项目发生较大及以上生产安全责任事故的，扣10分；承保项目事故发生率每上升0.5%扣5分。</w:t>
            </w:r>
          </w:p>
        </w:tc>
        <w:tc>
          <w:tcPr>
            <w:tcW w:w="2010" w:type="dxa"/>
            <w:vAlign w:val="center"/>
          </w:tcPr>
          <w:p w14:paraId="0FBB525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查看资料，以应急部门数据为准。</w:t>
            </w:r>
          </w:p>
        </w:tc>
        <w:tc>
          <w:tcPr>
            <w:tcW w:w="1863" w:type="dxa"/>
            <w:vMerge w:val="continue"/>
            <w:vAlign w:val="center"/>
          </w:tcPr>
          <w:p w14:paraId="3040C4B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p>
        </w:tc>
      </w:tr>
      <w:tr w14:paraId="2DA07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16" w:type="dxa"/>
            <w:vAlign w:val="center"/>
          </w:tcPr>
          <w:p w14:paraId="6C90F0E7">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6</w:t>
            </w:r>
          </w:p>
        </w:tc>
        <w:tc>
          <w:tcPr>
            <w:tcW w:w="1680" w:type="dxa"/>
            <w:vAlign w:val="center"/>
          </w:tcPr>
          <w:p w14:paraId="42BD85CE">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加分项</w:t>
            </w:r>
          </w:p>
          <w:p w14:paraId="2EE44697">
            <w:pPr>
              <w:keepNext w:val="0"/>
              <w:keepLines w:val="0"/>
              <w:pageBreakBefore w:val="0"/>
              <w:widowControl w:val="0"/>
              <w:kinsoku/>
              <w:overflowPunct/>
              <w:topLinePunct w:val="0"/>
              <w:autoSpaceDE/>
              <w:autoSpaceDN/>
              <w:bidi w:val="0"/>
              <w:adjustRightInd/>
              <w:snapToGrid/>
              <w:jc w:val="center"/>
              <w:textAlignment w:val="auto"/>
              <w:rPr>
                <w:rFonts w:hint="default" w:ascii="Times New Roman" w:hAnsi="Times New Roman" w:eastAsia="仿宋" w:cs="Times New Roman"/>
                <w:b/>
                <w:bCs/>
                <w:spacing w:val="0"/>
                <w:sz w:val="24"/>
                <w:highlight w:val="none"/>
                <w:lang w:val="en-US" w:eastAsia="zh-CN"/>
              </w:rPr>
            </w:pPr>
            <w:r>
              <w:rPr>
                <w:rFonts w:hint="default" w:ascii="Times New Roman" w:hAnsi="Times New Roman" w:eastAsia="仿宋" w:cs="Times New Roman"/>
                <w:b/>
                <w:bCs/>
                <w:spacing w:val="0"/>
                <w:sz w:val="24"/>
                <w:highlight w:val="none"/>
                <w:lang w:val="en-US" w:eastAsia="zh-CN"/>
              </w:rPr>
              <w:t>（最高10分）</w:t>
            </w:r>
          </w:p>
        </w:tc>
        <w:tc>
          <w:tcPr>
            <w:tcW w:w="7587" w:type="dxa"/>
            <w:vAlign w:val="center"/>
          </w:tcPr>
          <w:p w14:paraId="6168F79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sz w:val="24"/>
                <w:highlight w:val="none"/>
                <w:lang w:val="en-US" w:eastAsia="zh-CN"/>
              </w:rPr>
            </w:pPr>
            <w:r>
              <w:rPr>
                <w:rFonts w:hint="default" w:ascii="Times New Roman" w:hAnsi="Times New Roman" w:eastAsia="仿宋" w:cs="Times New Roman"/>
                <w:spacing w:val="0"/>
                <w:sz w:val="24"/>
                <w:highlight w:val="none"/>
                <w:lang w:val="en-US" w:eastAsia="zh-CN"/>
              </w:rPr>
              <w:t>年度实际收取保费的</w:t>
            </w:r>
            <w:r>
              <w:rPr>
                <w:rFonts w:hint="eastAsia" w:ascii="Times New Roman" w:hAnsi="Times New Roman" w:cs="Times New Roman"/>
                <w:spacing w:val="0"/>
                <w:sz w:val="24"/>
                <w:highlight w:val="none"/>
                <w:lang w:val="en-US" w:eastAsia="zh-CN"/>
              </w:rPr>
              <w:t>16</w:t>
            </w:r>
            <w:r>
              <w:rPr>
                <w:rFonts w:hint="default" w:ascii="Times New Roman" w:hAnsi="Times New Roman" w:eastAsia="仿宋" w:cs="Times New Roman"/>
                <w:spacing w:val="0"/>
                <w:sz w:val="24"/>
                <w:highlight w:val="none"/>
                <w:lang w:val="en-US" w:eastAsia="zh-CN"/>
              </w:rPr>
              <w:t>%＜年度投入事故预防服务费用</w:t>
            </w:r>
            <w:r>
              <w:rPr>
                <w:rFonts w:hint="default" w:ascii="Times New Roman" w:hAnsi="Times New Roman" w:cs="Times New Roman"/>
                <w:spacing w:val="0"/>
                <w:sz w:val="24"/>
                <w:highlight w:val="none"/>
                <w:lang w:eastAsia="zh-CN"/>
              </w:rPr>
              <w:t>≤</w:t>
            </w:r>
            <w:r>
              <w:rPr>
                <w:rFonts w:hint="default" w:ascii="Times New Roman" w:hAnsi="Times New Roman" w:eastAsia="仿宋" w:cs="Times New Roman"/>
                <w:spacing w:val="0"/>
                <w:sz w:val="24"/>
                <w:highlight w:val="none"/>
                <w:lang w:val="en-US" w:eastAsia="zh-CN"/>
              </w:rPr>
              <w:t>年度实际收取保费的</w:t>
            </w:r>
            <w:r>
              <w:rPr>
                <w:rFonts w:hint="eastAsia" w:ascii="Times New Roman" w:hAnsi="Times New Roman" w:cs="Times New Roman"/>
                <w:spacing w:val="0"/>
                <w:sz w:val="24"/>
                <w:highlight w:val="none"/>
                <w:lang w:val="en-US" w:eastAsia="zh-CN"/>
              </w:rPr>
              <w:t>18</w:t>
            </w:r>
            <w:r>
              <w:rPr>
                <w:rFonts w:hint="default" w:ascii="Times New Roman" w:hAnsi="Times New Roman" w:eastAsia="仿宋" w:cs="Times New Roman"/>
                <w:spacing w:val="0"/>
                <w:sz w:val="24"/>
                <w:highlight w:val="none"/>
                <w:lang w:val="en-US" w:eastAsia="zh-CN"/>
              </w:rPr>
              <w:t>%，加</w:t>
            </w:r>
            <w:r>
              <w:rPr>
                <w:rFonts w:hint="default" w:ascii="Times New Roman" w:hAnsi="Times New Roman" w:cs="Times New Roman"/>
                <w:spacing w:val="0"/>
                <w:sz w:val="24"/>
                <w:highlight w:val="none"/>
                <w:lang w:eastAsia="zh-CN"/>
              </w:rPr>
              <w:t>4</w:t>
            </w:r>
            <w:r>
              <w:rPr>
                <w:rFonts w:hint="default" w:ascii="Times New Roman" w:hAnsi="Times New Roman" w:eastAsia="仿宋" w:cs="Times New Roman"/>
                <w:spacing w:val="0"/>
                <w:sz w:val="24"/>
                <w:highlight w:val="none"/>
                <w:lang w:val="en-US" w:eastAsia="zh-CN"/>
              </w:rPr>
              <w:t>分；年度实际收取保费的</w:t>
            </w:r>
            <w:r>
              <w:rPr>
                <w:rFonts w:hint="eastAsia" w:ascii="Times New Roman" w:hAnsi="Times New Roman" w:cs="Times New Roman"/>
                <w:spacing w:val="0"/>
                <w:sz w:val="24"/>
                <w:highlight w:val="none"/>
                <w:lang w:val="en-US" w:eastAsia="zh-CN"/>
              </w:rPr>
              <w:t>18</w:t>
            </w:r>
            <w:r>
              <w:rPr>
                <w:rFonts w:hint="default" w:ascii="Times New Roman" w:hAnsi="Times New Roman" w:eastAsia="仿宋" w:cs="Times New Roman"/>
                <w:spacing w:val="0"/>
                <w:sz w:val="24"/>
                <w:highlight w:val="none"/>
                <w:lang w:val="en-US" w:eastAsia="zh-CN"/>
              </w:rPr>
              <w:t>%</w:t>
            </w:r>
            <w:r>
              <w:rPr>
                <w:rFonts w:hint="default" w:ascii="Times New Roman" w:hAnsi="Times New Roman" w:cs="Times New Roman"/>
                <w:spacing w:val="0"/>
                <w:sz w:val="24"/>
                <w:highlight w:val="none"/>
                <w:lang w:eastAsia="zh-CN"/>
              </w:rPr>
              <w:t>＜</w:t>
            </w:r>
            <w:r>
              <w:rPr>
                <w:rFonts w:hint="default" w:ascii="Times New Roman" w:hAnsi="Times New Roman" w:eastAsia="仿宋" w:cs="Times New Roman"/>
                <w:spacing w:val="0"/>
                <w:sz w:val="24"/>
                <w:highlight w:val="none"/>
                <w:lang w:val="en-US" w:eastAsia="zh-CN"/>
              </w:rPr>
              <w:t>年度投入事故预防服务费用≤年度实际收取保费的</w:t>
            </w:r>
            <w:r>
              <w:rPr>
                <w:rFonts w:hint="eastAsia" w:ascii="Times New Roman" w:hAnsi="Times New Roman" w:cs="Times New Roman"/>
                <w:spacing w:val="0"/>
                <w:sz w:val="24"/>
                <w:highlight w:val="none"/>
                <w:lang w:val="en-US" w:eastAsia="zh-CN"/>
              </w:rPr>
              <w:t>20</w:t>
            </w:r>
            <w:r>
              <w:rPr>
                <w:rFonts w:hint="default" w:ascii="Times New Roman" w:hAnsi="Times New Roman" w:eastAsia="仿宋" w:cs="Times New Roman"/>
                <w:spacing w:val="0"/>
                <w:sz w:val="24"/>
                <w:highlight w:val="none"/>
                <w:lang w:val="en-US" w:eastAsia="zh-CN"/>
              </w:rPr>
              <w:t>%，加</w:t>
            </w:r>
            <w:r>
              <w:rPr>
                <w:rFonts w:hint="default" w:ascii="Times New Roman" w:hAnsi="Times New Roman" w:cs="Times New Roman"/>
                <w:spacing w:val="0"/>
                <w:sz w:val="24"/>
                <w:highlight w:val="none"/>
                <w:lang w:eastAsia="zh-CN"/>
              </w:rPr>
              <w:t>8</w:t>
            </w:r>
            <w:r>
              <w:rPr>
                <w:rFonts w:hint="default" w:ascii="Times New Roman" w:hAnsi="Times New Roman" w:eastAsia="仿宋" w:cs="Times New Roman"/>
                <w:spacing w:val="0"/>
                <w:sz w:val="24"/>
                <w:highlight w:val="none"/>
                <w:lang w:val="en-US" w:eastAsia="zh-CN"/>
              </w:rPr>
              <w:t>分。</w:t>
            </w:r>
          </w:p>
          <w:p w14:paraId="13D3540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 w:cs="Times New Roman"/>
                <w:spacing w:val="0"/>
                <w:highlight w:val="none"/>
                <w:lang w:eastAsia="zh-CN"/>
              </w:rPr>
            </w:pPr>
            <w:r>
              <w:rPr>
                <w:rFonts w:hint="default" w:ascii="Times New Roman" w:hAnsi="Times New Roman" w:eastAsia="仿宋" w:cs="Times New Roman"/>
                <w:spacing w:val="0"/>
                <w:sz w:val="24"/>
                <w:highlight w:val="none"/>
                <w:lang w:val="en-US" w:eastAsia="zh-CN"/>
              </w:rPr>
              <w:t>安责险工作受到国家级表彰或推广的，每次加5分；安责险工作受到省级表彰或推广的，每次加3分。</w:t>
            </w:r>
          </w:p>
        </w:tc>
        <w:tc>
          <w:tcPr>
            <w:tcW w:w="2010" w:type="dxa"/>
            <w:vAlign w:val="center"/>
          </w:tcPr>
          <w:p w14:paraId="2AC62920">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spacing w:val="0"/>
                <w:sz w:val="24"/>
                <w:highlight w:val="none"/>
                <w:lang w:val="en-US" w:eastAsia="zh-CN"/>
              </w:rPr>
              <w:t>查看资料、平台。</w:t>
            </w:r>
          </w:p>
        </w:tc>
        <w:tc>
          <w:tcPr>
            <w:tcW w:w="1863" w:type="dxa"/>
            <w:vAlign w:val="center"/>
          </w:tcPr>
          <w:p w14:paraId="15CE2068">
            <w:pPr>
              <w:keepNext w:val="0"/>
              <w:keepLines w:val="0"/>
              <w:pageBreakBefore w:val="0"/>
              <w:widowControl w:val="0"/>
              <w:kinsoku/>
              <w:overflowPunct/>
              <w:topLinePunct w:val="0"/>
              <w:autoSpaceDE/>
              <w:autoSpaceDN/>
              <w:bidi w:val="0"/>
              <w:adjustRightInd/>
              <w:snapToGrid/>
              <w:jc w:val="both"/>
              <w:textAlignment w:val="auto"/>
              <w:rPr>
                <w:rFonts w:hint="default" w:ascii="Times New Roman" w:hAnsi="Times New Roman" w:eastAsia="仿宋" w:cs="Times New Roman"/>
                <w:color w:val="auto"/>
                <w:spacing w:val="0"/>
                <w:sz w:val="24"/>
                <w:highlight w:val="none"/>
                <w:lang w:val="en-US" w:eastAsia="zh-CN"/>
              </w:rPr>
            </w:pPr>
            <w:r>
              <w:rPr>
                <w:rFonts w:hint="default" w:ascii="Times New Roman" w:hAnsi="Times New Roman" w:eastAsia="仿宋" w:cs="Times New Roman"/>
                <w:color w:val="auto"/>
                <w:spacing w:val="0"/>
                <w:sz w:val="24"/>
                <w:highlight w:val="none"/>
                <w:lang w:val="en-US" w:eastAsia="zh-CN"/>
              </w:rPr>
              <w:t>加分项，最高10分。</w:t>
            </w:r>
          </w:p>
        </w:tc>
      </w:tr>
      <w:bookmarkEnd w:id="0"/>
    </w:tbl>
    <w:p w14:paraId="0A4730FC">
      <w:pPr>
        <w:keepNext w:val="0"/>
        <w:keepLines w:val="0"/>
        <w:pageBreakBefore w:val="0"/>
        <w:widowControl w:val="0"/>
        <w:kinsoku/>
        <w:overflowPunct/>
        <w:topLinePunct w:val="0"/>
        <w:autoSpaceDE/>
        <w:autoSpaceDN/>
        <w:bidi w:val="0"/>
        <w:adjustRightInd/>
        <w:snapToGrid/>
        <w:ind w:firstLine="480" w:firstLineChars="200"/>
        <w:textAlignment w:val="auto"/>
        <w:rPr>
          <w:rFonts w:hint="eastAsia" w:ascii="仿宋_GB2312" w:eastAsia="仿宋_GB2312"/>
          <w:color w:val="auto"/>
          <w:spacing w:val="0"/>
          <w:sz w:val="24"/>
          <w:szCs w:val="24"/>
          <w:highlight w:val="none"/>
          <w:u w:val="none"/>
          <w:lang w:val="en-US" w:eastAsia="zh-CN"/>
        </w:rPr>
        <w:sectPr>
          <w:footerReference r:id="rId5" w:type="default"/>
          <w:pgSz w:w="16838" w:h="11906" w:orient="landscape"/>
          <w:pgMar w:top="1701" w:right="1440" w:bottom="1701" w:left="1440" w:header="1417" w:footer="1417" w:gutter="0"/>
          <w:pgNumType w:fmt="decimal"/>
          <w:cols w:space="0" w:num="1"/>
          <w:rtlGutter w:val="0"/>
          <w:docGrid w:type="lines" w:linePitch="312" w:charSpace="0"/>
        </w:sectPr>
      </w:pPr>
      <w:r>
        <w:rPr>
          <w:rFonts w:hint="eastAsia" w:ascii="仿宋_GB2312" w:eastAsia="仿宋_GB2312"/>
          <w:color w:val="auto"/>
          <w:spacing w:val="0"/>
          <w:sz w:val="24"/>
          <w:szCs w:val="24"/>
          <w:highlight w:val="none"/>
          <w:u w:val="none"/>
          <w:lang w:val="en-US" w:eastAsia="zh-CN"/>
        </w:rPr>
        <w:t>注：事故预防服务评估</w:t>
      </w:r>
      <w:r>
        <w:rPr>
          <w:rFonts w:hint="eastAsia" w:ascii="仿宋_GB2312" w:eastAsia="仿宋_GB2312"/>
          <w:color w:val="auto"/>
          <w:spacing w:val="0"/>
          <w:sz w:val="24"/>
          <w:szCs w:val="24"/>
          <w:highlight w:val="none"/>
          <w:u w:val="none"/>
          <w:lang w:val="zh-CN" w:eastAsia="zh-CN"/>
        </w:rPr>
        <w:t>表</w:t>
      </w:r>
      <w:r>
        <w:rPr>
          <w:rFonts w:hint="eastAsia" w:ascii="仿宋_GB2312" w:eastAsia="仿宋_GB2312"/>
          <w:color w:val="auto"/>
          <w:spacing w:val="0"/>
          <w:sz w:val="24"/>
          <w:szCs w:val="24"/>
          <w:highlight w:val="none"/>
          <w:u w:val="none"/>
          <w:lang w:val="en-US" w:eastAsia="zh-CN"/>
        </w:rPr>
        <w:t>适用共保体主承保机构、共保体其他成员承保机构及独立承保机构。对共保体主承保机构及独立承保机构评估时，应对所有评估指标（除单独涉及共保体其他成员承保机构相关指标外）进行评分；对共保体其他成员承保机构评估时，对不单独涉及其评估指标的，按照共保体主承保机构相关指标直接赋分</w:t>
      </w:r>
      <w:bookmarkEnd w:id="1"/>
    </w:p>
    <w:p w14:paraId="33390980">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5AAD766F">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71D95ADA">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30E42458">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624A3838">
      <w:pPr>
        <w:pStyle w:val="2"/>
        <w:keepNext w:val="0"/>
        <w:keepLines w:val="0"/>
        <w:pageBreakBefore w:val="0"/>
        <w:widowControl w:val="0"/>
        <w:tabs>
          <w:tab w:val="left" w:pos="8397"/>
        </w:tabs>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r>
        <w:rPr>
          <w:rFonts w:hint="eastAsia"/>
          <w:sz w:val="28"/>
          <w:szCs w:val="28"/>
          <w:highlight w:val="none"/>
          <w:lang w:val="en-US" w:eastAsia="zh-CN"/>
        </w:rPr>
        <w:t xml:space="preserve">  </w:t>
      </w:r>
    </w:p>
    <w:p w14:paraId="16CF6BC3">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55BAAB33">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7A77DEDD">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7AF42F94">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02582B26">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3A49A398">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3C9571B0">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29F5981F">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44D1BD4D">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2F3ACFB3">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4FCB09AB">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7ACD5D05">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147733A1">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1719E716">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7B2EE3F9">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p>
    <w:p w14:paraId="52693176">
      <w:pPr>
        <w:pStyle w:val="2"/>
        <w:keepNext w:val="0"/>
        <w:keepLines w:val="0"/>
        <w:pageBreakBefore w:val="0"/>
        <w:widowControl w:val="0"/>
        <w:kinsoku/>
        <w:wordWrap/>
        <w:overflowPunct/>
        <w:topLinePunct w:val="0"/>
        <w:autoSpaceDE/>
        <w:autoSpaceDN/>
        <w:bidi w:val="0"/>
        <w:adjustRightInd/>
        <w:snapToGrid/>
        <w:spacing w:after="0"/>
        <w:ind w:left="0" w:leftChars="0" w:firstLine="0" w:firstLineChars="0"/>
        <w:textAlignment w:val="auto"/>
        <w:rPr>
          <w:rFonts w:hint="default"/>
          <w:sz w:val="28"/>
          <w:szCs w:val="28"/>
          <w:highlight w:val="none"/>
          <w:lang w:val="en-US" w:eastAsia="zh-CN"/>
        </w:rPr>
      </w:pPr>
      <w:r>
        <w:rPr>
          <w:sz w:val="28"/>
          <w:highlight w:val="none"/>
        </w:rPr>
        <mc:AlternateContent>
          <mc:Choice Requires="wps">
            <w:drawing>
              <wp:anchor distT="0" distB="0" distL="114300" distR="114300" simplePos="0" relativeHeight="251662336" behindDoc="0" locked="0" layoutInCell="1" allowOverlap="1">
                <wp:simplePos x="0" y="0"/>
                <wp:positionH relativeFrom="column">
                  <wp:posOffset>-8890</wp:posOffset>
                </wp:positionH>
                <wp:positionV relativeFrom="paragraph">
                  <wp:posOffset>344805</wp:posOffset>
                </wp:positionV>
                <wp:extent cx="5572125"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572125" cy="0"/>
                        </a:xfrm>
                        <a:prstGeom prst="line">
                          <a:avLst/>
                        </a:prstGeom>
                        <a:noFill/>
                        <a:ln w="444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0.7pt;margin-top:27.15pt;height:0pt;width:438.75pt;z-index:251662336;mso-width-relative:page;mso-height-relative:page;" filled="f" stroked="t" coordsize="21600,21600" o:gfxdata="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3YeG/X&#10;AAAACAEAAA8AAAAAAAAAAQAgAAAAIgAAAGRycy9kb3ducmV2LnhtbFBLAQIUABQAAAAIAIdO4kB5&#10;hRd96AEAAL8DAAAOAAAAAAAAAAEAIAAAACYBAABkcnMvZTJvRG9jLnhtbFBLBQYAAAAABgAGAFkB&#10;AACABQAAAAA=&#10;">
                <v:fill on="f" focussize="0,0"/>
                <v:stroke weight="0.35pt" color="#000000" miterlimit="8" joinstyle="miter"/>
                <v:imagedata o:title=""/>
                <o:lock v:ext="edit" aspectratio="f"/>
              </v:line>
            </w:pict>
          </mc:Fallback>
        </mc:AlternateContent>
      </w:r>
    </w:p>
    <w:p w14:paraId="1F0D8132">
      <w:pPr>
        <w:pStyle w:val="2"/>
        <w:keepNext w:val="0"/>
        <w:keepLines w:val="0"/>
        <w:pageBreakBefore w:val="0"/>
        <w:widowControl w:val="0"/>
        <w:tabs>
          <w:tab w:val="left" w:pos="8397"/>
          <w:tab w:val="left" w:pos="8708"/>
        </w:tabs>
        <w:kinsoku/>
        <w:wordWrap/>
        <w:overflowPunct/>
        <w:topLinePunct w:val="0"/>
        <w:autoSpaceDE/>
        <w:autoSpaceDN/>
        <w:bidi w:val="0"/>
        <w:adjustRightInd/>
        <w:snapToGrid/>
        <w:spacing w:after="0"/>
        <w:ind w:left="0" w:leftChars="0" w:firstLine="272" w:firstLineChars="100"/>
        <w:textAlignment w:val="auto"/>
        <w:rPr>
          <w:rFonts w:hint="default"/>
          <w:sz w:val="28"/>
          <w:szCs w:val="28"/>
          <w:highlight w:val="none"/>
          <w:lang w:val="en-US" w:eastAsia="zh-CN"/>
        </w:rPr>
      </w:pPr>
      <w:r>
        <w:rPr>
          <w:sz w:val="28"/>
          <w:highlight w:val="none"/>
        </w:rPr>
        <mc:AlternateContent>
          <mc:Choice Requires="wps">
            <w:drawing>
              <wp:anchor distT="0" distB="0" distL="114300" distR="114300" simplePos="0" relativeHeight="251661312" behindDoc="0" locked="0" layoutInCell="1" allowOverlap="1">
                <wp:simplePos x="0" y="0"/>
                <wp:positionH relativeFrom="column">
                  <wp:posOffset>-8890</wp:posOffset>
                </wp:positionH>
                <wp:positionV relativeFrom="paragraph">
                  <wp:posOffset>370840</wp:posOffset>
                </wp:positionV>
                <wp:extent cx="5572125" cy="0"/>
                <wp:effectExtent l="0" t="4445" r="0" b="5080"/>
                <wp:wrapNone/>
                <wp:docPr id="2" name="直接连接符 2"/>
                <wp:cNvGraphicFramePr/>
                <a:graphic xmlns:a="http://schemas.openxmlformats.org/drawingml/2006/main">
                  <a:graphicData uri="http://schemas.microsoft.com/office/word/2010/wordprocessingShape">
                    <wps:wsp>
                      <wps:cNvCnPr/>
                      <wps:spPr>
                        <a:xfrm>
                          <a:off x="998855" y="9347835"/>
                          <a:ext cx="5572125" cy="0"/>
                        </a:xfrm>
                        <a:prstGeom prst="line">
                          <a:avLst/>
                        </a:prstGeom>
                        <a:noFill/>
                        <a:ln w="444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0.7pt;margin-top:29.2pt;height:0pt;width:438.75pt;z-index:251661312;mso-width-relative:page;mso-height-relative:page;" filled="f" stroked="t" coordsize="21600,21600" o:gfxdata="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1bY1GNcAAAAIAQAADwAAAAAAAAABACAAAAAiAAAAZHJzL2Rvd25yZXYueG1sUEsB&#10;AhQAFAAAAAgAh07iQCcDFav2AQAAygMAAA4AAAAAAAAAAQAgAAAAJgEAAGRycy9lMm9Eb2MueG1s&#10;UEsFBgAAAAAGAAYAWQEAAI4FAAAAAA==&#10;">
                <v:fill on="f" focussize="0,0"/>
                <v:stroke weight="0.35pt" color="#000000" miterlimit="8" joinstyle="miter"/>
                <v:imagedata o:title=""/>
                <o:lock v:ext="edit" aspectratio="f"/>
              </v:line>
            </w:pict>
          </mc:Fallback>
        </mc:AlternateContent>
      </w:r>
      <w:r>
        <w:rPr>
          <w:rFonts w:hint="eastAsia"/>
          <w:sz w:val="28"/>
          <w:szCs w:val="28"/>
          <w:highlight w:val="none"/>
          <w:lang w:val="en-US" w:eastAsia="zh-CN"/>
        </w:rPr>
        <w:t>湖南省交通运输厅办公室                   年 月 日印发</w:t>
      </w:r>
    </w:p>
    <w:sectPr>
      <w:pgSz w:w="11906" w:h="16838"/>
      <w:pgMar w:top="2098" w:right="1587" w:bottom="2098" w:left="1587" w:header="1701" w:footer="1701" w:gutter="0"/>
      <w:pgNumType w:fmt="decimal"/>
      <w:cols w:space="0" w:num="1"/>
      <w:titlePg/>
      <w:rtlGutter w:val="0"/>
      <w:docGrid w:type="linesAndChars" w:linePitch="574" w:charSpace="-16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59C832-E808-47AF-8B32-D2A30392BB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EC909046-1A41-4C6A-A78D-2A729653FCC8}"/>
  </w:font>
  <w:font w:name="仿宋_GB2312">
    <w:panose1 w:val="02010609030101010101"/>
    <w:charset w:val="86"/>
    <w:family w:val="modern"/>
    <w:pitch w:val="default"/>
    <w:sig w:usb0="00000001" w:usb1="080E0000" w:usb2="00000000" w:usb3="00000000" w:csb0="00040000" w:csb1="00000000"/>
    <w:embedRegular r:id="rId3" w:fontKey="{E50264B1-63A9-4084-8DBA-F50B37BA9222}"/>
  </w:font>
  <w:font w:name="方正小标宋简体">
    <w:panose1 w:val="02000000000000000000"/>
    <w:charset w:val="86"/>
    <w:family w:val="auto"/>
    <w:pitch w:val="default"/>
    <w:sig w:usb0="00000001" w:usb1="08000000" w:usb2="00000000" w:usb3="00000000" w:csb0="00040000" w:csb1="00000000"/>
    <w:embedRegular r:id="rId4" w:fontKey="{6EB64167-5F74-483E-A92D-48C30F65A439}"/>
  </w:font>
  <w:font w:name="楷体_GB2312">
    <w:panose1 w:val="02010609030101010101"/>
    <w:charset w:val="86"/>
    <w:family w:val="auto"/>
    <w:pitch w:val="default"/>
    <w:sig w:usb0="00000001" w:usb1="080E0000" w:usb2="00000000" w:usb3="00000000" w:csb0="00040000" w:csb1="00000000"/>
    <w:embedRegular r:id="rId5" w:fontKey="{AA48D342-E443-46FC-AC45-06968CEFAEB7}"/>
  </w:font>
  <w:font w:name="楷体">
    <w:panose1 w:val="02010609060101010101"/>
    <w:charset w:val="86"/>
    <w:family w:val="modern"/>
    <w:pitch w:val="default"/>
    <w:sig w:usb0="800002BF" w:usb1="38CF7CFA" w:usb2="00000016" w:usb3="00000000" w:csb0="00040001" w:csb1="00000000"/>
    <w:embedRegular r:id="rId6" w:fontKey="{8DA7B106-AA40-46AB-8486-79D303910556}"/>
  </w:font>
  <w:font w:name="WPSEMBED46">
    <w:panose1 w:val="02010609030101010101"/>
    <w:charset w:val="86"/>
    <w:family w:val="auto"/>
    <w:pitch w:val="default"/>
    <w:sig w:usb0="00000001" w:usb1="080E0000" w:usb2="00000000" w:usb3="00000000" w:csb0="00040000" w:csb1="00000000"/>
  </w:font>
  <w:font w:name="WPSEMBED47">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DCE4D">
    <w:pPr>
      <w:pStyle w:val="9"/>
      <w:bidi w:val="0"/>
      <w:rPr>
        <w:rFonts w:hint="default"/>
        <w:sz w:val="28"/>
        <w:szCs w:val="28"/>
        <w:lang w:val="en-US" w:eastAsia="zh-CN"/>
      </w:rPr>
    </w:pPr>
    <w:r>
      <w:rPr>
        <w:sz w:val="28"/>
        <w:szCs w:val="28"/>
      </w:rPr>
      <mc:AlternateContent>
        <mc:Choice Requires="wps">
          <w:drawing>
            <wp:anchor distT="0" distB="0" distL="114300" distR="114300" simplePos="0" relativeHeight="251659264" behindDoc="0" locked="0" layoutInCell="1" allowOverlap="1">
              <wp:simplePos x="0" y="0"/>
              <wp:positionH relativeFrom="margin">
                <wp:posOffset>4826000</wp:posOffset>
              </wp:positionH>
              <wp:positionV relativeFrom="paragraph">
                <wp:posOffset>499745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3C48D3">
                          <w:pPr>
                            <w:pStyle w:val="9"/>
                            <w:keepNext w:val="0"/>
                            <w:keepLines w:val="0"/>
                            <w:pageBreakBefore w:val="0"/>
                            <w:widowControl w:val="0"/>
                            <w:kinsoku/>
                            <w:wordWrap/>
                            <w:overflowPunct/>
                            <w:topLinePunct w:val="0"/>
                            <w:autoSpaceDE/>
                            <w:autoSpaceDN/>
                            <w:bidi w:val="0"/>
                            <w:adjustRightInd/>
                            <w:snapToGrid w:val="0"/>
                            <w:ind w:left="0" w:leftChars="0" w:right="320" w:rightChars="100"/>
                            <w:textAlignment w:val="auto"/>
                            <w:rPr>
                              <w:rFonts w:hint="eastAsia" w:ascii="宋体" w:hAnsi="宋体" w:eastAsia="宋体" w:cs="宋体"/>
                              <w:sz w:val="28"/>
                              <w:szCs w:val="28"/>
                              <w:lang w:eastAsia="zh-CN"/>
                            </w:rPr>
                          </w:pPr>
                        </w:p>
                        <w:p w14:paraId="5F125C01">
                          <w:pPr>
                            <w:pStyle w:val="9"/>
                            <w:keepNext w:val="0"/>
                            <w:keepLines w:val="0"/>
                            <w:pageBreakBefore w:val="0"/>
                            <w:widowControl w:val="0"/>
                            <w:kinsoku/>
                            <w:wordWrap/>
                            <w:overflowPunct/>
                            <w:topLinePunct w:val="0"/>
                            <w:autoSpaceDE/>
                            <w:autoSpaceDN/>
                            <w:bidi w:val="0"/>
                            <w:adjustRightInd/>
                            <w:snapToGrid w:val="0"/>
                            <w:ind w:left="0" w:leftChars="0" w:right="320" w:rightChars="1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0pt;margin-top:39.35pt;height:144pt;width:144pt;mso-position-horizontal-relative:margin;mso-wrap-style:none;z-index:251659264;mso-width-relative:page;mso-height-relative:page;" filled="f" stroked="f" coordsize="21600,21600" o:gfxdata="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L6G+HYAAAACwEAAA8AAAAAAAAAAQAgAAAAIgAAAGRycy9kb3du&#10;cmV2LnhtbFBLAQIUABQAAAAIAIdO4kCYx6cMOAIAAG8EAAAOAAAAAAAAAAEAIAAAACcBAABkcnMv&#10;ZTJvRG9jLnhtbFBLBQYAAAAABgAGAFkBAADRBQAAAAA=&#10;">
              <v:fill on="f" focussize="0,0"/>
              <v:stroke on="f" weight="0.5pt"/>
              <v:imagedata o:title=""/>
              <o:lock v:ext="edit" aspectratio="f"/>
              <v:textbox inset="0mm,0mm,0mm,0mm" style="mso-fit-shape-to-text:t;">
                <w:txbxContent>
                  <w:p w14:paraId="173C48D3">
                    <w:pPr>
                      <w:pStyle w:val="9"/>
                      <w:keepNext w:val="0"/>
                      <w:keepLines w:val="0"/>
                      <w:pageBreakBefore w:val="0"/>
                      <w:widowControl w:val="0"/>
                      <w:kinsoku/>
                      <w:wordWrap/>
                      <w:overflowPunct/>
                      <w:topLinePunct w:val="0"/>
                      <w:autoSpaceDE/>
                      <w:autoSpaceDN/>
                      <w:bidi w:val="0"/>
                      <w:adjustRightInd/>
                      <w:snapToGrid w:val="0"/>
                      <w:ind w:left="0" w:leftChars="0" w:right="320" w:rightChars="100"/>
                      <w:textAlignment w:val="auto"/>
                      <w:rPr>
                        <w:rFonts w:hint="eastAsia" w:ascii="宋体" w:hAnsi="宋体" w:eastAsia="宋体" w:cs="宋体"/>
                        <w:sz w:val="28"/>
                        <w:szCs w:val="28"/>
                        <w:lang w:eastAsia="zh-CN"/>
                      </w:rPr>
                    </w:pPr>
                  </w:p>
                  <w:p w14:paraId="5F125C01">
                    <w:pPr>
                      <w:pStyle w:val="9"/>
                      <w:keepNext w:val="0"/>
                      <w:keepLines w:val="0"/>
                      <w:pageBreakBefore w:val="0"/>
                      <w:widowControl w:val="0"/>
                      <w:kinsoku/>
                      <w:wordWrap/>
                      <w:overflowPunct/>
                      <w:topLinePunct w:val="0"/>
                      <w:autoSpaceDE/>
                      <w:autoSpaceDN/>
                      <w:bidi w:val="0"/>
                      <w:adjustRightInd/>
                      <w:snapToGrid w:val="0"/>
                      <w:ind w:left="0" w:leftChars="0" w:right="320" w:rightChars="1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34A5D">
    <w:pPr>
      <w:pStyle w:val="9"/>
      <w:jc w:val="center"/>
      <w:rPr>
        <w:rFonts w:hint="eastAsia" w:eastAsia="宋体"/>
        <w:sz w:val="21"/>
        <w:szCs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FDB2F3">
                          <w:pPr>
                            <w:pStyle w:val="9"/>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49FDB2F3">
                    <w:pPr>
                      <w:pStyle w:val="9"/>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94A08">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HorizontalSpacing w:val="156"/>
  <w:drawingGridVerticalSpacing w:val="287"/>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5YzAzMmJjYzBlOWE2MWQ5ZDEwMmNlYzY4YzNhNzYifQ=="/>
  </w:docVars>
  <w:rsids>
    <w:rsidRoot w:val="009A0C4F"/>
    <w:rsid w:val="0008349E"/>
    <w:rsid w:val="000A0175"/>
    <w:rsid w:val="000C6D33"/>
    <w:rsid w:val="001206B5"/>
    <w:rsid w:val="001F1F75"/>
    <w:rsid w:val="004F35F7"/>
    <w:rsid w:val="005F7598"/>
    <w:rsid w:val="006263FE"/>
    <w:rsid w:val="006A2CD5"/>
    <w:rsid w:val="0079090F"/>
    <w:rsid w:val="007B2B25"/>
    <w:rsid w:val="007E099D"/>
    <w:rsid w:val="00876B20"/>
    <w:rsid w:val="008946D1"/>
    <w:rsid w:val="008F060D"/>
    <w:rsid w:val="009737AE"/>
    <w:rsid w:val="009A0C4F"/>
    <w:rsid w:val="009B0118"/>
    <w:rsid w:val="00A55541"/>
    <w:rsid w:val="00A91FE7"/>
    <w:rsid w:val="00B2564A"/>
    <w:rsid w:val="00B655B7"/>
    <w:rsid w:val="00C72FCB"/>
    <w:rsid w:val="00D66EBD"/>
    <w:rsid w:val="00E33EB9"/>
    <w:rsid w:val="00E745CE"/>
    <w:rsid w:val="00F543D5"/>
    <w:rsid w:val="00F83907"/>
    <w:rsid w:val="00FB73F3"/>
    <w:rsid w:val="01213285"/>
    <w:rsid w:val="012B721F"/>
    <w:rsid w:val="014E27A9"/>
    <w:rsid w:val="01847FD4"/>
    <w:rsid w:val="01A30089"/>
    <w:rsid w:val="02370D08"/>
    <w:rsid w:val="02537554"/>
    <w:rsid w:val="02DF0BF3"/>
    <w:rsid w:val="02E02B02"/>
    <w:rsid w:val="03163FC7"/>
    <w:rsid w:val="03A07EB5"/>
    <w:rsid w:val="03C212AE"/>
    <w:rsid w:val="03CF4322"/>
    <w:rsid w:val="03FF0041"/>
    <w:rsid w:val="045175E8"/>
    <w:rsid w:val="04926E46"/>
    <w:rsid w:val="052C3CB3"/>
    <w:rsid w:val="05347C98"/>
    <w:rsid w:val="05EB4201"/>
    <w:rsid w:val="05FD70F4"/>
    <w:rsid w:val="063F7494"/>
    <w:rsid w:val="06706E6D"/>
    <w:rsid w:val="07720AB4"/>
    <w:rsid w:val="077778FC"/>
    <w:rsid w:val="078C1779"/>
    <w:rsid w:val="07AE70E5"/>
    <w:rsid w:val="07C646B2"/>
    <w:rsid w:val="07CD4559"/>
    <w:rsid w:val="07FE0C57"/>
    <w:rsid w:val="08256475"/>
    <w:rsid w:val="08367C1B"/>
    <w:rsid w:val="08747EC5"/>
    <w:rsid w:val="08DC1F59"/>
    <w:rsid w:val="08E254F6"/>
    <w:rsid w:val="09117FC3"/>
    <w:rsid w:val="094D1A49"/>
    <w:rsid w:val="097F4302"/>
    <w:rsid w:val="09907E9B"/>
    <w:rsid w:val="09E476AD"/>
    <w:rsid w:val="0A0C06A9"/>
    <w:rsid w:val="0A3619BF"/>
    <w:rsid w:val="0A6702C0"/>
    <w:rsid w:val="0A6F1ACD"/>
    <w:rsid w:val="0A8E043E"/>
    <w:rsid w:val="0AC311C3"/>
    <w:rsid w:val="0AE64CF6"/>
    <w:rsid w:val="0BB75014"/>
    <w:rsid w:val="0BBF2120"/>
    <w:rsid w:val="0C2F0D3B"/>
    <w:rsid w:val="0C554ABD"/>
    <w:rsid w:val="0CB2539E"/>
    <w:rsid w:val="0D265F45"/>
    <w:rsid w:val="0D462C13"/>
    <w:rsid w:val="0D643AB5"/>
    <w:rsid w:val="0DC23CF6"/>
    <w:rsid w:val="0DF00D01"/>
    <w:rsid w:val="0DFA4F52"/>
    <w:rsid w:val="0E9446DE"/>
    <w:rsid w:val="0EEDD4A0"/>
    <w:rsid w:val="0F2F1C93"/>
    <w:rsid w:val="0FBF7010"/>
    <w:rsid w:val="0FBFF46A"/>
    <w:rsid w:val="0FD03CD6"/>
    <w:rsid w:val="104B1892"/>
    <w:rsid w:val="106E618E"/>
    <w:rsid w:val="10822C0C"/>
    <w:rsid w:val="10853E21"/>
    <w:rsid w:val="10C8327A"/>
    <w:rsid w:val="11023504"/>
    <w:rsid w:val="11037080"/>
    <w:rsid w:val="112A2603"/>
    <w:rsid w:val="11367111"/>
    <w:rsid w:val="11591A84"/>
    <w:rsid w:val="11CA66FB"/>
    <w:rsid w:val="11E007BE"/>
    <w:rsid w:val="121F50C4"/>
    <w:rsid w:val="123A4896"/>
    <w:rsid w:val="12A54EF8"/>
    <w:rsid w:val="130B722D"/>
    <w:rsid w:val="13496871"/>
    <w:rsid w:val="134D213D"/>
    <w:rsid w:val="13EB529F"/>
    <w:rsid w:val="14046710"/>
    <w:rsid w:val="14185A5C"/>
    <w:rsid w:val="147B4679"/>
    <w:rsid w:val="149C754A"/>
    <w:rsid w:val="14E9352B"/>
    <w:rsid w:val="15432A4F"/>
    <w:rsid w:val="15A86DD2"/>
    <w:rsid w:val="15CA7B47"/>
    <w:rsid w:val="15E03BAA"/>
    <w:rsid w:val="15E45E62"/>
    <w:rsid w:val="16305DB0"/>
    <w:rsid w:val="169451B8"/>
    <w:rsid w:val="16E414CF"/>
    <w:rsid w:val="16FA1669"/>
    <w:rsid w:val="170306B5"/>
    <w:rsid w:val="175D00D0"/>
    <w:rsid w:val="17CD7F5F"/>
    <w:rsid w:val="184B4CE9"/>
    <w:rsid w:val="185E47C2"/>
    <w:rsid w:val="18727485"/>
    <w:rsid w:val="18955544"/>
    <w:rsid w:val="18965BB9"/>
    <w:rsid w:val="18A65A0D"/>
    <w:rsid w:val="1954339F"/>
    <w:rsid w:val="196526DD"/>
    <w:rsid w:val="19817AF6"/>
    <w:rsid w:val="19B37441"/>
    <w:rsid w:val="19FB3517"/>
    <w:rsid w:val="1A347E6C"/>
    <w:rsid w:val="1A8B221A"/>
    <w:rsid w:val="1ABD5E11"/>
    <w:rsid w:val="1AD73588"/>
    <w:rsid w:val="1B926A2B"/>
    <w:rsid w:val="1BC30C9B"/>
    <w:rsid w:val="1BDE0B52"/>
    <w:rsid w:val="1BDF833A"/>
    <w:rsid w:val="1C0938EB"/>
    <w:rsid w:val="1C393111"/>
    <w:rsid w:val="1C741A84"/>
    <w:rsid w:val="1CEC6D3A"/>
    <w:rsid w:val="1D4267BA"/>
    <w:rsid w:val="1D532DAD"/>
    <w:rsid w:val="1D885055"/>
    <w:rsid w:val="1DCB2607"/>
    <w:rsid w:val="1DF14661"/>
    <w:rsid w:val="1E55512C"/>
    <w:rsid w:val="1EA00D69"/>
    <w:rsid w:val="1EDE5815"/>
    <w:rsid w:val="1F332BEC"/>
    <w:rsid w:val="1F3E0AF4"/>
    <w:rsid w:val="1F6A78CF"/>
    <w:rsid w:val="1F977528"/>
    <w:rsid w:val="20081740"/>
    <w:rsid w:val="2008437B"/>
    <w:rsid w:val="20E2650A"/>
    <w:rsid w:val="210F0CAC"/>
    <w:rsid w:val="213B74CC"/>
    <w:rsid w:val="21A8593A"/>
    <w:rsid w:val="21DC40E5"/>
    <w:rsid w:val="21DD781E"/>
    <w:rsid w:val="21F834CB"/>
    <w:rsid w:val="225333B6"/>
    <w:rsid w:val="2279125E"/>
    <w:rsid w:val="230025CB"/>
    <w:rsid w:val="234F15F9"/>
    <w:rsid w:val="239B5475"/>
    <w:rsid w:val="23BB041F"/>
    <w:rsid w:val="240E6C87"/>
    <w:rsid w:val="24F32D2D"/>
    <w:rsid w:val="25763E37"/>
    <w:rsid w:val="258630D0"/>
    <w:rsid w:val="25D72817"/>
    <w:rsid w:val="26271A6D"/>
    <w:rsid w:val="26967A30"/>
    <w:rsid w:val="26F82EE9"/>
    <w:rsid w:val="271A36D7"/>
    <w:rsid w:val="27882707"/>
    <w:rsid w:val="27AF5178"/>
    <w:rsid w:val="27B92837"/>
    <w:rsid w:val="27C51BDC"/>
    <w:rsid w:val="28070B5A"/>
    <w:rsid w:val="280D0F82"/>
    <w:rsid w:val="28296BCB"/>
    <w:rsid w:val="283729DF"/>
    <w:rsid w:val="28D81FA9"/>
    <w:rsid w:val="28D8409E"/>
    <w:rsid w:val="29A97867"/>
    <w:rsid w:val="2A13303D"/>
    <w:rsid w:val="2A380C6D"/>
    <w:rsid w:val="2AAD345A"/>
    <w:rsid w:val="2AD54D80"/>
    <w:rsid w:val="2B2F2338"/>
    <w:rsid w:val="2B721FB5"/>
    <w:rsid w:val="2B9753F5"/>
    <w:rsid w:val="2BB917F7"/>
    <w:rsid w:val="2C0E3506"/>
    <w:rsid w:val="2C28301B"/>
    <w:rsid w:val="2C324027"/>
    <w:rsid w:val="2C5F2797"/>
    <w:rsid w:val="2CAE7663"/>
    <w:rsid w:val="2D1567B2"/>
    <w:rsid w:val="2D2F6EBE"/>
    <w:rsid w:val="2D615475"/>
    <w:rsid w:val="2D817322"/>
    <w:rsid w:val="2DE344D8"/>
    <w:rsid w:val="2E2A1F20"/>
    <w:rsid w:val="2E40447C"/>
    <w:rsid w:val="2E4E02B8"/>
    <w:rsid w:val="2E5C5207"/>
    <w:rsid w:val="2E646AA0"/>
    <w:rsid w:val="2E7C51C6"/>
    <w:rsid w:val="2EEF6D89"/>
    <w:rsid w:val="2EF12159"/>
    <w:rsid w:val="2F440E16"/>
    <w:rsid w:val="2F97DF1F"/>
    <w:rsid w:val="2FB96189"/>
    <w:rsid w:val="30022E92"/>
    <w:rsid w:val="300D2B48"/>
    <w:rsid w:val="301073F5"/>
    <w:rsid w:val="302F541B"/>
    <w:rsid w:val="30A63124"/>
    <w:rsid w:val="30B84D0F"/>
    <w:rsid w:val="30DF6954"/>
    <w:rsid w:val="31311E83"/>
    <w:rsid w:val="31727625"/>
    <w:rsid w:val="31C44EE5"/>
    <w:rsid w:val="31E6209A"/>
    <w:rsid w:val="32097593"/>
    <w:rsid w:val="32404547"/>
    <w:rsid w:val="328433CD"/>
    <w:rsid w:val="3306692B"/>
    <w:rsid w:val="333430A7"/>
    <w:rsid w:val="337F0AC2"/>
    <w:rsid w:val="33850D5E"/>
    <w:rsid w:val="33965DE5"/>
    <w:rsid w:val="33A95E71"/>
    <w:rsid w:val="33B332BD"/>
    <w:rsid w:val="33C95E75"/>
    <w:rsid w:val="341C5433"/>
    <w:rsid w:val="34267847"/>
    <w:rsid w:val="34A6415C"/>
    <w:rsid w:val="34B264AE"/>
    <w:rsid w:val="34FA54FA"/>
    <w:rsid w:val="35E82940"/>
    <w:rsid w:val="3639799E"/>
    <w:rsid w:val="3669320D"/>
    <w:rsid w:val="36720F0B"/>
    <w:rsid w:val="36A52B59"/>
    <w:rsid w:val="36EA387A"/>
    <w:rsid w:val="36FD5136"/>
    <w:rsid w:val="36FE72F2"/>
    <w:rsid w:val="373A1315"/>
    <w:rsid w:val="376F260E"/>
    <w:rsid w:val="37BA691B"/>
    <w:rsid w:val="37EF018C"/>
    <w:rsid w:val="393461C2"/>
    <w:rsid w:val="394279E3"/>
    <w:rsid w:val="39A608AD"/>
    <w:rsid w:val="39DF5441"/>
    <w:rsid w:val="3A052B0C"/>
    <w:rsid w:val="3A1053A2"/>
    <w:rsid w:val="3A402691"/>
    <w:rsid w:val="3A4625E4"/>
    <w:rsid w:val="3A4E5D48"/>
    <w:rsid w:val="3A750139"/>
    <w:rsid w:val="3A7678DE"/>
    <w:rsid w:val="3A7B2DBB"/>
    <w:rsid w:val="3AEC2CFC"/>
    <w:rsid w:val="3B1C2D96"/>
    <w:rsid w:val="3BA379DA"/>
    <w:rsid w:val="3BE330D5"/>
    <w:rsid w:val="3C7F99BA"/>
    <w:rsid w:val="3CB12F20"/>
    <w:rsid w:val="3CB240D6"/>
    <w:rsid w:val="3CD74CCB"/>
    <w:rsid w:val="3CDC4088"/>
    <w:rsid w:val="3D050018"/>
    <w:rsid w:val="3D083CD6"/>
    <w:rsid w:val="3DEC388A"/>
    <w:rsid w:val="3DFF6872"/>
    <w:rsid w:val="3DFFA6A1"/>
    <w:rsid w:val="3E355740"/>
    <w:rsid w:val="3E6364D0"/>
    <w:rsid w:val="3E656EC4"/>
    <w:rsid w:val="3E7E0266"/>
    <w:rsid w:val="3E855811"/>
    <w:rsid w:val="3E913C83"/>
    <w:rsid w:val="3E92467C"/>
    <w:rsid w:val="3EBFE8D9"/>
    <w:rsid w:val="3EE50648"/>
    <w:rsid w:val="3EF6731E"/>
    <w:rsid w:val="3EF6762E"/>
    <w:rsid w:val="3F156460"/>
    <w:rsid w:val="3F832348"/>
    <w:rsid w:val="3FB17AAE"/>
    <w:rsid w:val="3FE0573F"/>
    <w:rsid w:val="40081710"/>
    <w:rsid w:val="40247596"/>
    <w:rsid w:val="402B55A8"/>
    <w:rsid w:val="406A3836"/>
    <w:rsid w:val="40990BB8"/>
    <w:rsid w:val="40B5218C"/>
    <w:rsid w:val="40C47168"/>
    <w:rsid w:val="41297E8A"/>
    <w:rsid w:val="413E198F"/>
    <w:rsid w:val="414308CE"/>
    <w:rsid w:val="41475221"/>
    <w:rsid w:val="417E56B4"/>
    <w:rsid w:val="42024454"/>
    <w:rsid w:val="42CD136A"/>
    <w:rsid w:val="42DB10AD"/>
    <w:rsid w:val="42DE7149"/>
    <w:rsid w:val="4320551C"/>
    <w:rsid w:val="436C43BD"/>
    <w:rsid w:val="43B65851"/>
    <w:rsid w:val="43FF279D"/>
    <w:rsid w:val="44090677"/>
    <w:rsid w:val="44252AB5"/>
    <w:rsid w:val="449E215E"/>
    <w:rsid w:val="44B208D4"/>
    <w:rsid w:val="45090DC7"/>
    <w:rsid w:val="451D50BC"/>
    <w:rsid w:val="45933E22"/>
    <w:rsid w:val="45F07F39"/>
    <w:rsid w:val="46F73B05"/>
    <w:rsid w:val="46FD79BB"/>
    <w:rsid w:val="477E0A4F"/>
    <w:rsid w:val="47834FFF"/>
    <w:rsid w:val="47917332"/>
    <w:rsid w:val="47BE2885"/>
    <w:rsid w:val="47FC458C"/>
    <w:rsid w:val="480B473D"/>
    <w:rsid w:val="48450129"/>
    <w:rsid w:val="485853D9"/>
    <w:rsid w:val="487D749C"/>
    <w:rsid w:val="4A441292"/>
    <w:rsid w:val="4A6F572B"/>
    <w:rsid w:val="4AAD7EEB"/>
    <w:rsid w:val="4AAF2149"/>
    <w:rsid w:val="4AB979A6"/>
    <w:rsid w:val="4ABC1E5C"/>
    <w:rsid w:val="4AE1056C"/>
    <w:rsid w:val="4B210711"/>
    <w:rsid w:val="4B3B7F03"/>
    <w:rsid w:val="4B3C6EAF"/>
    <w:rsid w:val="4B7233C9"/>
    <w:rsid w:val="4B821158"/>
    <w:rsid w:val="4BAD35AC"/>
    <w:rsid w:val="4BB816F3"/>
    <w:rsid w:val="4BF16EC7"/>
    <w:rsid w:val="4C075D8F"/>
    <w:rsid w:val="4C0A3CCB"/>
    <w:rsid w:val="4C7540EB"/>
    <w:rsid w:val="4CA46CD9"/>
    <w:rsid w:val="4CBF3F23"/>
    <w:rsid w:val="4CC234A6"/>
    <w:rsid w:val="4CE03B8F"/>
    <w:rsid w:val="4CF31C7B"/>
    <w:rsid w:val="4D330C1E"/>
    <w:rsid w:val="4D4B0BFE"/>
    <w:rsid w:val="4D7A4610"/>
    <w:rsid w:val="4DE47A22"/>
    <w:rsid w:val="4DF031ED"/>
    <w:rsid w:val="4E17595B"/>
    <w:rsid w:val="4E1D29D8"/>
    <w:rsid w:val="4E572A7A"/>
    <w:rsid w:val="4E5D5425"/>
    <w:rsid w:val="4EB81F20"/>
    <w:rsid w:val="4ED80D9A"/>
    <w:rsid w:val="4F7F1CA1"/>
    <w:rsid w:val="4FCF56E5"/>
    <w:rsid w:val="5033405F"/>
    <w:rsid w:val="505E5CC2"/>
    <w:rsid w:val="507D912E"/>
    <w:rsid w:val="507F6623"/>
    <w:rsid w:val="508772BC"/>
    <w:rsid w:val="510415C2"/>
    <w:rsid w:val="511F7A28"/>
    <w:rsid w:val="518439D5"/>
    <w:rsid w:val="518A5B69"/>
    <w:rsid w:val="51B60B49"/>
    <w:rsid w:val="53060BDE"/>
    <w:rsid w:val="53126066"/>
    <w:rsid w:val="53193EF4"/>
    <w:rsid w:val="531A3151"/>
    <w:rsid w:val="532B6FFD"/>
    <w:rsid w:val="53432E0A"/>
    <w:rsid w:val="53755982"/>
    <w:rsid w:val="53E93EBE"/>
    <w:rsid w:val="54061316"/>
    <w:rsid w:val="540E726D"/>
    <w:rsid w:val="5419065F"/>
    <w:rsid w:val="54744984"/>
    <w:rsid w:val="54951036"/>
    <w:rsid w:val="54BB21EC"/>
    <w:rsid w:val="552273FB"/>
    <w:rsid w:val="5541544A"/>
    <w:rsid w:val="55947025"/>
    <w:rsid w:val="55956C62"/>
    <w:rsid w:val="55A0789C"/>
    <w:rsid w:val="55E16F31"/>
    <w:rsid w:val="563066D5"/>
    <w:rsid w:val="56526789"/>
    <w:rsid w:val="569A606F"/>
    <w:rsid w:val="570936E5"/>
    <w:rsid w:val="570D1213"/>
    <w:rsid w:val="57A669A6"/>
    <w:rsid w:val="57AF2712"/>
    <w:rsid w:val="57BD7A46"/>
    <w:rsid w:val="57C84CF5"/>
    <w:rsid w:val="57D857BD"/>
    <w:rsid w:val="581014EC"/>
    <w:rsid w:val="58326132"/>
    <w:rsid w:val="58337232"/>
    <w:rsid w:val="583F6D66"/>
    <w:rsid w:val="586948E1"/>
    <w:rsid w:val="59AC1575"/>
    <w:rsid w:val="59CD4C41"/>
    <w:rsid w:val="59FF9D92"/>
    <w:rsid w:val="5A4267A4"/>
    <w:rsid w:val="5A550A8B"/>
    <w:rsid w:val="5AAF002F"/>
    <w:rsid w:val="5AC06483"/>
    <w:rsid w:val="5B0D5B9C"/>
    <w:rsid w:val="5B1675F5"/>
    <w:rsid w:val="5BB32D39"/>
    <w:rsid w:val="5BC4325A"/>
    <w:rsid w:val="5C1C7002"/>
    <w:rsid w:val="5D1214AC"/>
    <w:rsid w:val="5D7F3F23"/>
    <w:rsid w:val="5DA616E5"/>
    <w:rsid w:val="5DB76C07"/>
    <w:rsid w:val="5DFF63A5"/>
    <w:rsid w:val="5E116D37"/>
    <w:rsid w:val="5E250356"/>
    <w:rsid w:val="5E3E42FE"/>
    <w:rsid w:val="5E457DAC"/>
    <w:rsid w:val="5E6E0A30"/>
    <w:rsid w:val="5E7007E4"/>
    <w:rsid w:val="5EAE2A74"/>
    <w:rsid w:val="5F007DC8"/>
    <w:rsid w:val="5F04627B"/>
    <w:rsid w:val="5F0708FD"/>
    <w:rsid w:val="5F2C27EE"/>
    <w:rsid w:val="5F2F4F84"/>
    <w:rsid w:val="5FCB1292"/>
    <w:rsid w:val="60134440"/>
    <w:rsid w:val="604453EA"/>
    <w:rsid w:val="608055DC"/>
    <w:rsid w:val="6097798E"/>
    <w:rsid w:val="60A007F9"/>
    <w:rsid w:val="611F6F34"/>
    <w:rsid w:val="61250DF8"/>
    <w:rsid w:val="613537A9"/>
    <w:rsid w:val="6153590D"/>
    <w:rsid w:val="616072D4"/>
    <w:rsid w:val="618617E0"/>
    <w:rsid w:val="619C6E12"/>
    <w:rsid w:val="61AE0894"/>
    <w:rsid w:val="6210503E"/>
    <w:rsid w:val="626C4AB2"/>
    <w:rsid w:val="62A75124"/>
    <w:rsid w:val="62D76813"/>
    <w:rsid w:val="630F7EC2"/>
    <w:rsid w:val="63487605"/>
    <w:rsid w:val="638C36BD"/>
    <w:rsid w:val="639B24A2"/>
    <w:rsid w:val="63E50971"/>
    <w:rsid w:val="63FD76D2"/>
    <w:rsid w:val="64076815"/>
    <w:rsid w:val="64603E97"/>
    <w:rsid w:val="64CB2923"/>
    <w:rsid w:val="64DF5998"/>
    <w:rsid w:val="654F59EC"/>
    <w:rsid w:val="65682360"/>
    <w:rsid w:val="656B4AAE"/>
    <w:rsid w:val="65D80D05"/>
    <w:rsid w:val="662A2546"/>
    <w:rsid w:val="66497B9A"/>
    <w:rsid w:val="66714D8E"/>
    <w:rsid w:val="66DE1EAC"/>
    <w:rsid w:val="66E7734F"/>
    <w:rsid w:val="66F0011F"/>
    <w:rsid w:val="675616FA"/>
    <w:rsid w:val="676171F0"/>
    <w:rsid w:val="68660AA0"/>
    <w:rsid w:val="68957BB9"/>
    <w:rsid w:val="68E037D9"/>
    <w:rsid w:val="68F74037"/>
    <w:rsid w:val="692D5419"/>
    <w:rsid w:val="6942228A"/>
    <w:rsid w:val="6979352D"/>
    <w:rsid w:val="69E1577E"/>
    <w:rsid w:val="6A0D79D9"/>
    <w:rsid w:val="6A333C45"/>
    <w:rsid w:val="6A6A0D24"/>
    <w:rsid w:val="6AA91D6A"/>
    <w:rsid w:val="6B1806A2"/>
    <w:rsid w:val="6B3E514F"/>
    <w:rsid w:val="6BEB688A"/>
    <w:rsid w:val="6C420D9D"/>
    <w:rsid w:val="6E10141D"/>
    <w:rsid w:val="6E760FFC"/>
    <w:rsid w:val="6E7D03CD"/>
    <w:rsid w:val="6E7F58CD"/>
    <w:rsid w:val="6EAC6E76"/>
    <w:rsid w:val="6EB03ECE"/>
    <w:rsid w:val="6FB973D8"/>
    <w:rsid w:val="6FEF7610"/>
    <w:rsid w:val="70451859"/>
    <w:rsid w:val="70477B5F"/>
    <w:rsid w:val="705876E0"/>
    <w:rsid w:val="70B63E6E"/>
    <w:rsid w:val="70D4376A"/>
    <w:rsid w:val="70E435AD"/>
    <w:rsid w:val="71135B76"/>
    <w:rsid w:val="7150039F"/>
    <w:rsid w:val="71766522"/>
    <w:rsid w:val="71BF6C8D"/>
    <w:rsid w:val="71F97090"/>
    <w:rsid w:val="72F74397"/>
    <w:rsid w:val="734E1777"/>
    <w:rsid w:val="73821E02"/>
    <w:rsid w:val="741E7F8A"/>
    <w:rsid w:val="743114C5"/>
    <w:rsid w:val="7466764D"/>
    <w:rsid w:val="747B0812"/>
    <w:rsid w:val="748605EB"/>
    <w:rsid w:val="74E53E06"/>
    <w:rsid w:val="74E57348"/>
    <w:rsid w:val="74F15F04"/>
    <w:rsid w:val="74F43E0B"/>
    <w:rsid w:val="750D1888"/>
    <w:rsid w:val="75114DB2"/>
    <w:rsid w:val="756761A1"/>
    <w:rsid w:val="756B2EB1"/>
    <w:rsid w:val="756FE5C0"/>
    <w:rsid w:val="75FAB983"/>
    <w:rsid w:val="763A7667"/>
    <w:rsid w:val="768A3704"/>
    <w:rsid w:val="7723535F"/>
    <w:rsid w:val="774C1139"/>
    <w:rsid w:val="77575A58"/>
    <w:rsid w:val="77BE863B"/>
    <w:rsid w:val="781D7728"/>
    <w:rsid w:val="7849663A"/>
    <w:rsid w:val="7872687C"/>
    <w:rsid w:val="789545C7"/>
    <w:rsid w:val="78AE14DE"/>
    <w:rsid w:val="78CE1A17"/>
    <w:rsid w:val="78F94761"/>
    <w:rsid w:val="78FB6291"/>
    <w:rsid w:val="79153A6D"/>
    <w:rsid w:val="79AD1812"/>
    <w:rsid w:val="79F52F20"/>
    <w:rsid w:val="7A1F0C69"/>
    <w:rsid w:val="7AF22D23"/>
    <w:rsid w:val="7AFA7780"/>
    <w:rsid w:val="7B040C71"/>
    <w:rsid w:val="7B096A9D"/>
    <w:rsid w:val="7B7DAF64"/>
    <w:rsid w:val="7BA27F4D"/>
    <w:rsid w:val="7BE22D42"/>
    <w:rsid w:val="7C044060"/>
    <w:rsid w:val="7C094B2B"/>
    <w:rsid w:val="7C1C6628"/>
    <w:rsid w:val="7C2F2507"/>
    <w:rsid w:val="7C5201B0"/>
    <w:rsid w:val="7C9603F6"/>
    <w:rsid w:val="7CBC58F6"/>
    <w:rsid w:val="7CC41E8F"/>
    <w:rsid w:val="7CDEC24C"/>
    <w:rsid w:val="7D6A7DE2"/>
    <w:rsid w:val="7D706D9B"/>
    <w:rsid w:val="7D82078B"/>
    <w:rsid w:val="7DB32118"/>
    <w:rsid w:val="7DB838A5"/>
    <w:rsid w:val="7DC317DF"/>
    <w:rsid w:val="7E481E63"/>
    <w:rsid w:val="7EA24776"/>
    <w:rsid w:val="7EAD7A36"/>
    <w:rsid w:val="7ED96D85"/>
    <w:rsid w:val="7EE85142"/>
    <w:rsid w:val="7EEF88C4"/>
    <w:rsid w:val="7EF72E69"/>
    <w:rsid w:val="7EFA18A7"/>
    <w:rsid w:val="7F1C88CA"/>
    <w:rsid w:val="7F2F906C"/>
    <w:rsid w:val="7F7FD34C"/>
    <w:rsid w:val="7F82519B"/>
    <w:rsid w:val="7F8F625F"/>
    <w:rsid w:val="7FAAD4EA"/>
    <w:rsid w:val="7FBF119A"/>
    <w:rsid w:val="7FE65CE9"/>
    <w:rsid w:val="7FF270CD"/>
    <w:rsid w:val="7FFEB6EA"/>
    <w:rsid w:val="998F4395"/>
    <w:rsid w:val="9A39EF0E"/>
    <w:rsid w:val="9E2F8B13"/>
    <w:rsid w:val="9F7DE763"/>
    <w:rsid w:val="A72F5159"/>
    <w:rsid w:val="AEF73F1F"/>
    <w:rsid w:val="B2BD9048"/>
    <w:rsid w:val="B356F40B"/>
    <w:rsid w:val="B7B54974"/>
    <w:rsid w:val="BD8C9968"/>
    <w:rsid w:val="BF9BBD31"/>
    <w:rsid w:val="BFFB9921"/>
    <w:rsid w:val="BFFB9ADD"/>
    <w:rsid w:val="CB369AC6"/>
    <w:rsid w:val="D1C41BAC"/>
    <w:rsid w:val="D626DE08"/>
    <w:rsid w:val="DCD7D2B9"/>
    <w:rsid w:val="DD5DED82"/>
    <w:rsid w:val="DDADACCB"/>
    <w:rsid w:val="DFBBEDF2"/>
    <w:rsid w:val="EF7FF8B6"/>
    <w:rsid w:val="F7CF85ED"/>
    <w:rsid w:val="FB37A017"/>
    <w:rsid w:val="FC9F6F95"/>
    <w:rsid w:val="FEAE1640"/>
    <w:rsid w:val="FEFF180F"/>
    <w:rsid w:val="FF77374C"/>
    <w:rsid w:val="FFC3B33C"/>
    <w:rsid w:val="FFE10CB4"/>
    <w:rsid w:val="FFFF7D4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32"/>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rPr>
      <w:rFonts w:ascii="Times New Roman" w:hAnsi="Times New Roman" w:eastAsia="仿宋_GB2312" w:cs="Times New Roman"/>
      <w:sz w:val="32"/>
    </w:rPr>
  </w:style>
  <w:style w:type="paragraph" w:styleId="3">
    <w:name w:val="Body Text Indent"/>
    <w:basedOn w:val="1"/>
    <w:unhideWhenUsed/>
    <w:qFormat/>
    <w:uiPriority w:val="99"/>
    <w:pPr>
      <w:spacing w:after="120"/>
      <w:ind w:left="420" w:leftChars="200"/>
    </w:pPr>
  </w:style>
  <w:style w:type="paragraph" w:styleId="7">
    <w:name w:val="annotation text"/>
    <w:basedOn w:val="1"/>
    <w:qFormat/>
    <w:uiPriority w:val="0"/>
    <w:pPr>
      <w:jc w:val="left"/>
    </w:pPr>
  </w:style>
  <w:style w:type="paragraph" w:styleId="8">
    <w:name w:val="Body Text"/>
    <w:basedOn w:val="1"/>
    <w:qFormat/>
    <w:uiPriority w:val="1"/>
    <w:pPr>
      <w:ind w:left="226" w:firstLine="640"/>
    </w:pPr>
    <w:rPr>
      <w:sz w:val="32"/>
      <w:szCs w:val="32"/>
    </w:rPr>
  </w:style>
  <w:style w:type="paragraph" w:styleId="9">
    <w:name w:val="footer"/>
    <w:basedOn w:val="1"/>
    <w:link w:val="21"/>
    <w:qFormat/>
    <w:uiPriority w:val="0"/>
    <w:pPr>
      <w:tabs>
        <w:tab w:val="center" w:pos="4153"/>
        <w:tab w:val="right" w:pos="8306"/>
      </w:tabs>
      <w:snapToGrid w:val="0"/>
      <w:jc w:val="left"/>
    </w:pPr>
    <w:rPr>
      <w:sz w:val="18"/>
      <w:szCs w:val="18"/>
    </w:rPr>
  </w:style>
  <w:style w:type="paragraph" w:styleId="10">
    <w:name w:val="header"/>
    <w:basedOn w:val="1"/>
    <w:link w:val="20"/>
    <w:qFormat/>
    <w:uiPriority w:val="0"/>
    <w:pPr>
      <w:tabs>
        <w:tab w:val="center" w:pos="4153"/>
        <w:tab w:val="right" w:pos="8306"/>
      </w:tabs>
      <w:snapToGrid w:val="0"/>
      <w:jc w:val="center"/>
    </w:pPr>
    <w:rPr>
      <w:sz w:val="18"/>
      <w:szCs w:val="18"/>
    </w:rPr>
  </w:style>
  <w:style w:type="paragraph" w:styleId="11">
    <w:name w:val="footnote text"/>
    <w:basedOn w:val="1"/>
    <w:qFormat/>
    <w:uiPriority w:val="0"/>
    <w:pPr>
      <w:snapToGrid w:val="0"/>
      <w:jc w:val="left"/>
    </w:pPr>
    <w:rPr>
      <w:sz w:val="18"/>
    </w:rPr>
  </w:style>
  <w:style w:type="paragraph" w:styleId="12">
    <w:name w:val="Normal (Web)"/>
    <w:basedOn w:val="1"/>
    <w:qFormat/>
    <w:uiPriority w:val="0"/>
    <w:pPr>
      <w:spacing w:beforeAutospacing="1" w:afterAutospacing="1"/>
      <w:jc w:val="left"/>
    </w:pPr>
    <w:rPr>
      <w:rFonts w:cs="Times New Roman"/>
      <w:kern w:val="0"/>
      <w:sz w:val="24"/>
    </w:rPr>
  </w:style>
  <w:style w:type="character" w:styleId="15">
    <w:name w:val="Strong"/>
    <w:basedOn w:val="14"/>
    <w:qFormat/>
    <w:uiPriority w:val="0"/>
    <w:rPr>
      <w:b/>
    </w:rPr>
  </w:style>
  <w:style w:type="character" w:styleId="16">
    <w:name w:val="Emphasis"/>
    <w:basedOn w:val="14"/>
    <w:qFormat/>
    <w:uiPriority w:val="0"/>
    <w:rPr>
      <w:i/>
    </w:rPr>
  </w:style>
  <w:style w:type="character" w:styleId="17">
    <w:name w:val="Hyperlink"/>
    <w:basedOn w:val="14"/>
    <w:qFormat/>
    <w:uiPriority w:val="0"/>
    <w:rPr>
      <w:color w:val="0000FF"/>
      <w:u w:val="single"/>
    </w:rPr>
  </w:style>
  <w:style w:type="character" w:styleId="18">
    <w:name w:val="footnote reference"/>
    <w:basedOn w:val="14"/>
    <w:qFormat/>
    <w:uiPriority w:val="0"/>
    <w:rPr>
      <w:vertAlign w:val="superscript"/>
    </w:rPr>
  </w:style>
  <w:style w:type="paragraph" w:styleId="19">
    <w:name w:val="List Paragraph"/>
    <w:basedOn w:val="1"/>
    <w:qFormat/>
    <w:uiPriority w:val="1"/>
    <w:pPr>
      <w:ind w:left="788" w:hanging="562"/>
    </w:pPr>
  </w:style>
  <w:style w:type="character" w:customStyle="1" w:styleId="20">
    <w:name w:val="页眉 字符"/>
    <w:basedOn w:val="14"/>
    <w:link w:val="10"/>
    <w:qFormat/>
    <w:uiPriority w:val="0"/>
    <w:rPr>
      <w:rFonts w:ascii="Calibri" w:hAnsi="Calibri" w:eastAsia="宋体" w:cs="Times New Roman"/>
      <w:kern w:val="2"/>
      <w:sz w:val="18"/>
      <w:szCs w:val="18"/>
    </w:rPr>
  </w:style>
  <w:style w:type="character" w:customStyle="1" w:styleId="21">
    <w:name w:val="页脚 字符"/>
    <w:basedOn w:val="14"/>
    <w:link w:val="9"/>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f5b4b12d-f3e8-444d-a4b5-a3a3da7f5a6d</errorID>
      <errorWord>加强对安全生产</errorWord>
      <group>L1_Word</group>
      <groupName>字词问题</groupName>
      <ability>L2_Typo</ability>
      <abilityName>字词错误</abilityName>
      <candidateList>
        <item>加强安全生产</item>
      </candidateList>
      <explain/>
      <paraID> C6A6524</paraID>
      <start>9</start>
      <end>16</end>
      <status>ignored</status>
      <modifiedWord/>
      <trackRevisions>false</trackRevisions>
    </reviewItem>
    <reviewItem>
      <errorID>8985d1a5-91e0-4971-a4f0-5760b65789f1</errorID>
      <errorWord>体主</errorWord>
      <group>L1_Word</group>
      <groupName>字词问题</groupName>
      <ability>L2_Typo</ability>
      <abilityName>字词错误</abilityName>
      <candidateList>
        <item>主体</item>
      </candidateList>
      <explain/>
      <paraID>2FFEBF12</paraID>
      <start>18</start>
      <end>20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8676b7-1463-416f-8448-7cc035703592}">
  <ds:schemaRefs/>
</ds:datastoreItem>
</file>

<file path=docProps/app.xml><?xml version="1.0" encoding="utf-8"?>
<Properties xmlns="http://schemas.openxmlformats.org/officeDocument/2006/extended-properties" xmlns:vt="http://schemas.openxmlformats.org/officeDocument/2006/docPropsVTypes">
  <Pages>19</Pages>
  <Words>8964</Words>
  <Characters>9029</Characters>
  <Lines>1</Lines>
  <Paragraphs>1</Paragraphs>
  <TotalTime>122</TotalTime>
  <ScaleCrop>false</ScaleCrop>
  <LinksUpToDate>false</LinksUpToDate>
  <CharactersWithSpaces>9047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2024-11-30T14:27:00Z</dcterms:created>
  <dc:creator>邓涛</dc:creator>
  <cp:lastModifiedBy>Neg。鲜森</cp:lastModifiedBy>
  <cp:lastPrinted>2025-10-13T00:20:00Z</cp:lastPrinted>
  <dcterms:modified xsi:type="dcterms:W3CDTF">2026-10-27T03:56:14Z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068370C3B96C41EAAC72EE25FFFA4D05_13</vt:lpwstr>
  </property>
  <property fmtid="{D5CDD505-2E9C-101B-9397-08002B2CF9AE}" pid="4" name="KSOSaveFontToCloudKey">
    <vt:lpwstr>306876364_cloud</vt:lpwstr>
  </property>
  <property fmtid="{D5CDD505-2E9C-101B-9397-08002B2CF9AE}" pid="5" name="KSOTemplateDocerSaveRecord">
    <vt:lpwstr>eyJoZGlkIjoiZWE5YzQ5MTRhMWFiYzkxNmIxODdlZjEwNWEyMDE5OWMiLCJ1c2VySWQiOiIzODk1NjE1NzUifQ==</vt:lpwstr>
  </property>
</Properties>
</file>