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atLeast"/>
        <w:jc w:val="center"/>
        <w:rPr>
          <w:rStyle w:val="3"/>
          <w:rFonts w:hint="eastAsia" w:asciiTheme="majorEastAsia" w:hAnsiTheme="majorEastAsia" w:eastAsiaTheme="majorEastAsia" w:cstheme="majorEastAsia"/>
          <w:color w:val="auto"/>
          <w:sz w:val="32"/>
          <w:szCs w:val="32"/>
          <w:u w:val="none"/>
        </w:rPr>
      </w:pPr>
      <w:r>
        <w:rPr>
          <w:rStyle w:val="3"/>
          <w:rFonts w:hint="eastAsia" w:asciiTheme="majorEastAsia" w:hAnsiTheme="majorEastAsia" w:eastAsiaTheme="majorEastAsia" w:cstheme="majorEastAsia"/>
          <w:color w:val="auto"/>
          <w:sz w:val="32"/>
          <w:szCs w:val="32"/>
          <w:u w:val="none"/>
        </w:rPr>
        <w:t xml:space="preserve">  </w:t>
      </w:r>
      <w:r>
        <w:rPr>
          <w:rStyle w:val="3"/>
          <w:rFonts w:hint="eastAsia" w:asciiTheme="majorEastAsia" w:hAnsiTheme="majorEastAsia" w:eastAsiaTheme="majorEastAsia" w:cstheme="majorEastAsia"/>
          <w:color w:val="auto"/>
          <w:sz w:val="32"/>
          <w:szCs w:val="32"/>
          <w:u w:val="none"/>
          <w:lang w:eastAsia="zh-CN"/>
        </w:rPr>
        <w:t>G59呼北高速湖南省新化至新宁段洋溪互通连接线项目施工全过程技术咨询服务和建设管理(代建)</w:t>
      </w:r>
      <w:r>
        <w:rPr>
          <w:rStyle w:val="3"/>
          <w:rFonts w:hint="eastAsia" w:asciiTheme="majorEastAsia" w:hAnsiTheme="majorEastAsia" w:eastAsiaTheme="majorEastAsia" w:cstheme="majorEastAsia"/>
          <w:color w:val="auto"/>
          <w:sz w:val="32"/>
          <w:szCs w:val="32"/>
          <w:u w:val="none"/>
        </w:rPr>
        <w:t xml:space="preserve"> 招标公告</w:t>
      </w:r>
    </w:p>
    <w:p>
      <w:pPr>
        <w:pStyle w:val="5"/>
        <w:keepNext/>
        <w:keepLines/>
        <w:spacing w:beforeAutospacing="0" w:afterAutospacing="0" w:line="440" w:lineRule="atLeast"/>
        <w:outlineLvl w:val="1"/>
        <w:rPr>
          <w:rStyle w:val="3"/>
          <w:rFonts w:hint="eastAsia" w:asciiTheme="majorEastAsia" w:hAnsiTheme="majorEastAsia" w:eastAsiaTheme="majorEastAsia" w:cstheme="majorEastAsia"/>
          <w:b/>
          <w:bCs/>
          <w:color w:val="auto"/>
          <w:kern w:val="44"/>
          <w:sz w:val="28"/>
          <w:szCs w:val="28"/>
        </w:rPr>
      </w:pPr>
      <w:bookmarkStart w:id="0" w:name="_Toc510015649"/>
      <w:bookmarkStart w:id="1" w:name="_Toc503235714"/>
      <w:r>
        <w:rPr>
          <w:rStyle w:val="3"/>
          <w:rFonts w:hint="eastAsia" w:asciiTheme="majorEastAsia" w:hAnsiTheme="majorEastAsia" w:eastAsiaTheme="majorEastAsia" w:cstheme="majorEastAsia"/>
          <w:b/>
          <w:bCs/>
          <w:color w:val="auto"/>
          <w:kern w:val="44"/>
          <w:sz w:val="28"/>
          <w:szCs w:val="28"/>
        </w:rPr>
        <w:t>1. 招标条件</w:t>
      </w:r>
      <w:bookmarkEnd w:id="0"/>
      <w:bookmarkEnd w:id="1"/>
    </w:p>
    <w:p>
      <w:pPr>
        <w:pStyle w:val="5"/>
        <w:spacing w:beforeAutospacing="0" w:line="440" w:lineRule="atLeast"/>
        <w:ind w:firstLine="480" w:firstLineChars="200"/>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本招标项目</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eastAsia="zh-CN"/>
        </w:rPr>
        <w:t>G59呼北高速湖南省新化至新宁段洋溪互通连接线项目施工全过程技术咨询服务和建设管理(代建)</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（项目名称）已由</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湖南省发展和改革委员会</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（项目审批、核准或备案机关名称）以</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湘发改基础</w:t>
      </w:r>
      <w:r>
        <w:rPr>
          <w:rStyle w:val="3"/>
          <w:rFonts w:hint="eastAsia" w:asciiTheme="majorEastAsia" w:hAnsiTheme="majorEastAsia" w:eastAsiaTheme="majorEastAsia" w:cstheme="majorEastAsia"/>
          <w:color w:val="auto"/>
          <w:sz w:val="24"/>
          <w:szCs w:val="24"/>
          <w:u w:val="single"/>
        </w:rPr>
        <w:t>〔2021〕</w:t>
      </w:r>
      <w:r>
        <w:rPr>
          <w:rStyle w:val="3"/>
          <w:rFonts w:hint="eastAsia" w:asciiTheme="majorEastAsia" w:hAnsiTheme="majorEastAsia" w:eastAsiaTheme="majorEastAsia" w:cstheme="majorEastAsia"/>
          <w:color w:val="auto"/>
          <w:sz w:val="24"/>
          <w:szCs w:val="24"/>
          <w:u w:val="single"/>
          <w:lang w:val="en-US" w:eastAsia="zh-CN"/>
        </w:rPr>
        <w:t>79号文</w:t>
      </w:r>
      <w:r>
        <w:rPr>
          <w:rStyle w:val="3"/>
          <w:rFonts w:hint="eastAsia" w:asciiTheme="majorEastAsia" w:hAnsiTheme="majorEastAsia" w:eastAsiaTheme="majorEastAsia" w:cstheme="majorEastAsia"/>
          <w:color w:val="auto"/>
          <w:sz w:val="24"/>
          <w:szCs w:val="24"/>
        </w:rPr>
        <w:t>（批文名称及编号）批准建设，项目业主为</w:t>
      </w:r>
      <w:r>
        <w:rPr>
          <w:rStyle w:val="3"/>
          <w:rFonts w:hint="eastAsia" w:asciiTheme="majorEastAsia" w:hAnsiTheme="majorEastAsia" w:eastAsiaTheme="majorEastAsia" w:cstheme="majorEastAsia"/>
          <w:color w:val="auto"/>
          <w:sz w:val="24"/>
          <w:szCs w:val="24"/>
          <w:u w:val="single"/>
          <w:lang w:eastAsia="zh-CN"/>
        </w:rPr>
        <w:t>新化县交通建设投资有限责任公司</w:t>
      </w:r>
      <w:r>
        <w:rPr>
          <w:rStyle w:val="3"/>
          <w:rFonts w:hint="eastAsia" w:asciiTheme="majorEastAsia" w:hAnsiTheme="majorEastAsia" w:eastAsiaTheme="majorEastAsia" w:cstheme="majorEastAsia"/>
          <w:color w:val="auto"/>
          <w:sz w:val="24"/>
          <w:szCs w:val="24"/>
        </w:rPr>
        <w:t>，建设资金来自</w:t>
      </w:r>
      <w:r>
        <w:rPr>
          <w:rStyle w:val="3"/>
          <w:rFonts w:hint="eastAsia" w:asciiTheme="majorEastAsia" w:hAnsiTheme="majorEastAsia" w:eastAsiaTheme="majorEastAsia" w:cstheme="majorEastAsia"/>
          <w:color w:val="auto"/>
          <w:sz w:val="24"/>
          <w:szCs w:val="24"/>
          <w:u w:val="single"/>
          <w:lang w:val="en-US" w:eastAsia="zh-CN"/>
        </w:rPr>
        <w:t>项目资本金、政府补助及社会资本方筹措</w:t>
      </w:r>
      <w:r>
        <w:rPr>
          <w:rStyle w:val="3"/>
          <w:rFonts w:hint="eastAsia" w:asciiTheme="majorEastAsia" w:hAnsiTheme="majorEastAsia" w:eastAsiaTheme="majorEastAsia" w:cstheme="majorEastAsia"/>
          <w:color w:val="auto"/>
          <w:sz w:val="24"/>
          <w:szCs w:val="24"/>
        </w:rPr>
        <w:t>（资金来源），出资比例为</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0.28:0.11:0.61</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，招标人为</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eastAsia="zh-CN"/>
        </w:rPr>
        <w:t>新化县交通建设投资有限责任公司</w:t>
      </w:r>
      <w:r>
        <w:rPr>
          <w:rStyle w:val="3"/>
          <w:rFonts w:hint="eastAsia" w:asciiTheme="majorEastAsia" w:hAnsiTheme="majorEastAsia" w:eastAsiaTheme="majorEastAsia" w:cstheme="majorEastAsia"/>
          <w:color w:val="auto"/>
          <w:sz w:val="24"/>
          <w:szCs w:val="24"/>
        </w:rPr>
        <w:t xml:space="preserve">。项目已具备招标条件，现对该项目的咨询服务进行公开招标。 </w:t>
      </w:r>
    </w:p>
    <w:p>
      <w:pPr>
        <w:pStyle w:val="5"/>
        <w:spacing w:afterAutospacing="0" w:line="440" w:lineRule="atLeast"/>
        <w:ind w:firstLine="480" w:firstLineChars="200"/>
        <w:rPr>
          <w:rStyle w:val="3"/>
          <w:rFonts w:hint="eastAsia" w:asciiTheme="majorEastAsia" w:hAnsiTheme="majorEastAsia" w:eastAsiaTheme="majorEastAsia" w:cstheme="majorEastAsia"/>
          <w:bCs/>
          <w:color w:val="auto"/>
          <w:sz w:val="22"/>
        </w:rPr>
      </w:pPr>
      <w:r>
        <w:rPr>
          <w:rStyle w:val="3"/>
          <w:rFonts w:hint="eastAsia" w:asciiTheme="majorEastAsia" w:hAnsiTheme="majorEastAsia" w:eastAsiaTheme="majorEastAsia" w:cstheme="majorEastAsia"/>
          <w:bCs/>
          <w:color w:val="auto"/>
          <w:sz w:val="24"/>
          <w:szCs w:val="24"/>
        </w:rPr>
        <w:t>公路工程建设项目审批或者核准之前的咨询服务（如可行性研究报告编制）的招标条件应另行表述。</w:t>
      </w:r>
    </w:p>
    <w:p>
      <w:pPr>
        <w:pStyle w:val="5"/>
        <w:keepNext/>
        <w:keepLines/>
        <w:spacing w:beforeAutospacing="0" w:afterAutospacing="0" w:line="440" w:lineRule="atLeast"/>
        <w:outlineLvl w:val="1"/>
        <w:rPr>
          <w:rStyle w:val="3"/>
          <w:rFonts w:hint="eastAsia" w:asciiTheme="majorEastAsia" w:hAnsiTheme="majorEastAsia" w:eastAsiaTheme="majorEastAsia" w:cstheme="majorEastAsia"/>
          <w:b/>
          <w:bCs/>
          <w:color w:val="auto"/>
          <w:kern w:val="44"/>
          <w:sz w:val="28"/>
          <w:szCs w:val="28"/>
        </w:rPr>
      </w:pPr>
      <w:bookmarkStart w:id="2" w:name="_Toc503235715"/>
      <w:bookmarkStart w:id="3" w:name="_Toc510015650"/>
      <w:r>
        <w:rPr>
          <w:rStyle w:val="3"/>
          <w:rFonts w:hint="eastAsia" w:asciiTheme="majorEastAsia" w:hAnsiTheme="majorEastAsia" w:eastAsiaTheme="majorEastAsia" w:cstheme="majorEastAsia"/>
          <w:b/>
          <w:bCs/>
          <w:color w:val="auto"/>
          <w:kern w:val="44"/>
          <w:sz w:val="28"/>
          <w:szCs w:val="28"/>
        </w:rPr>
        <w:t>2. 项目概况与招标范围</w:t>
      </w:r>
      <w:bookmarkEnd w:id="2"/>
      <w:bookmarkEnd w:id="3"/>
    </w:p>
    <w:p>
      <w:pPr>
        <w:pStyle w:val="5"/>
        <w:spacing w:beforeAutospacing="0" w:line="440" w:lineRule="atLeast"/>
        <w:ind w:firstLine="540" w:firstLineChars="225"/>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2.1 建设地点：湖南省</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娄底</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市/州</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新化</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县/区境内。</w:t>
      </w:r>
    </w:p>
    <w:p>
      <w:pPr>
        <w:pStyle w:val="5"/>
        <w:spacing w:line="440" w:lineRule="atLeast"/>
        <w:ind w:firstLine="540" w:firstLineChars="225"/>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2.2 项目建设规模及招标范围：项目起点</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新化县城娄底大道陈家泷附近</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，终点</w:t>
      </w:r>
      <w:r>
        <w:rPr>
          <w:rStyle w:val="3"/>
          <w:rFonts w:hint="eastAsia" w:asciiTheme="majorEastAsia" w:hAnsiTheme="majorEastAsia" w:eastAsiaTheme="majorEastAsia" w:cstheme="majorEastAsia"/>
          <w:color w:val="auto"/>
          <w:sz w:val="24"/>
          <w:szCs w:val="24"/>
          <w:u w:val="single"/>
          <w:lang w:val="en-US" w:eastAsia="zh-CN"/>
        </w:rPr>
        <w:t>洋溪镇刘家函，与洋溪互通和新化高铁南站相接</w:t>
      </w:r>
      <w:r>
        <w:rPr>
          <w:rStyle w:val="3"/>
          <w:rFonts w:hint="eastAsia" w:asciiTheme="majorEastAsia" w:hAnsiTheme="majorEastAsia" w:eastAsiaTheme="majorEastAsia" w:cstheme="majorEastAsia"/>
          <w:color w:val="auto"/>
          <w:sz w:val="24"/>
          <w:szCs w:val="24"/>
        </w:rPr>
        <w:t>，沿线经过的主要控制点为</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新化县城和新化高铁南站、洋溪互通</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；主线全长</w:t>
      </w:r>
      <w:r>
        <w:rPr>
          <w:rStyle w:val="3"/>
          <w:rFonts w:hint="eastAsia" w:asciiTheme="majorEastAsia" w:hAnsiTheme="majorEastAsia" w:eastAsiaTheme="majorEastAsia" w:cstheme="majorEastAsia"/>
          <w:color w:val="auto"/>
          <w:sz w:val="24"/>
          <w:szCs w:val="24"/>
          <w:u w:val="single"/>
        </w:rPr>
        <w:t xml:space="preserve">  约</w:t>
      </w:r>
      <w:r>
        <w:rPr>
          <w:rStyle w:val="3"/>
          <w:rFonts w:hint="eastAsia" w:asciiTheme="majorEastAsia" w:hAnsiTheme="majorEastAsia" w:eastAsiaTheme="majorEastAsia" w:cstheme="majorEastAsia"/>
          <w:color w:val="auto"/>
          <w:sz w:val="24"/>
          <w:szCs w:val="24"/>
          <w:u w:val="single"/>
          <w:lang w:val="en-US" w:eastAsia="zh-CN"/>
        </w:rPr>
        <w:t xml:space="preserve"> 23.243</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 xml:space="preserve"> 公里（支线长</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 xml:space="preserve"> 公里），按</w:t>
      </w:r>
      <w:r>
        <w:rPr>
          <w:rStyle w:val="3"/>
          <w:rFonts w:hint="eastAsia" w:asciiTheme="majorEastAsia" w:hAnsiTheme="majorEastAsia" w:eastAsiaTheme="majorEastAsia" w:cstheme="majorEastAsia"/>
          <w:color w:val="auto"/>
          <w:spacing w:val="-1"/>
          <w:sz w:val="21"/>
          <w:szCs w:val="21"/>
          <w:u w:val="single"/>
          <w:lang w:val="en-US" w:eastAsia="zh-CN"/>
        </w:rPr>
        <w:t>二</w:t>
      </w:r>
      <w:r>
        <w:rPr>
          <w:rStyle w:val="3"/>
          <w:rFonts w:hint="eastAsia" w:asciiTheme="majorEastAsia" w:hAnsiTheme="majorEastAsia" w:eastAsiaTheme="majorEastAsia" w:cstheme="majorEastAsia"/>
          <w:color w:val="auto"/>
          <w:sz w:val="24"/>
          <w:szCs w:val="24"/>
        </w:rPr>
        <w:t>级公路标准、设计速度</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 xml:space="preserve">60 </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公里/小时建设，路基宽</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12</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米，路面宽</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10.5</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米，桥涵设计荷载为公路</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pacing w:val="-1"/>
          <w:sz w:val="21"/>
          <w:szCs w:val="21"/>
          <w:u w:val="single"/>
          <w:lang w:val="en-US" w:eastAsia="zh-CN"/>
        </w:rPr>
        <w:t>Ⅰ</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（Ⅰ或Ⅱ）级。现对该项目</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（L1K0+000--L1K23+243）</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（桩号范围）的</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路基、路面、桥梁、涵洞、交叉、交通安全设施及附属设施等工程的全过程技术咨询服务和建设管理(代建)</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（路基、路面、桥梁、涵洞、隧道、交叉、交通安全设施、房建、机电工程）咨询服务进行公开招标。</w:t>
      </w:r>
    </w:p>
    <w:p>
      <w:pPr>
        <w:pStyle w:val="5"/>
        <w:widowControl/>
        <w:jc w:val="left"/>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br w:type="page"/>
      </w:r>
      <w:r>
        <w:rPr>
          <w:rStyle w:val="3"/>
          <w:rFonts w:hint="eastAsia" w:asciiTheme="majorEastAsia" w:hAnsiTheme="majorEastAsia" w:eastAsiaTheme="majorEastAsia" w:cstheme="majorEastAsia"/>
          <w:color w:val="auto"/>
          <w:sz w:val="24"/>
          <w:szCs w:val="24"/>
        </w:rPr>
        <w:t>本次咨询服务招标工程共分为</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1</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个标段。其标段划分及工程内容等见下表。</w:t>
      </w:r>
    </w:p>
    <w:tbl>
      <w:tblPr>
        <w:tblStyle w:val="2"/>
        <w:tblW w:w="53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497"/>
        <w:gridCol w:w="990"/>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6" w:type="pct"/>
            <w:noWrap w:val="0"/>
            <w:vAlign w:val="center"/>
          </w:tcPr>
          <w:p>
            <w:pPr>
              <w:pStyle w:val="5"/>
              <w:spacing w:line="440" w:lineRule="atLeast"/>
              <w:jc w:val="center"/>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标段号</w:t>
            </w:r>
          </w:p>
        </w:tc>
        <w:tc>
          <w:tcPr>
            <w:tcW w:w="1372" w:type="pct"/>
            <w:noWrap w:val="0"/>
            <w:vAlign w:val="center"/>
          </w:tcPr>
          <w:p>
            <w:pPr>
              <w:pStyle w:val="5"/>
              <w:spacing w:line="440" w:lineRule="atLeast"/>
              <w:jc w:val="center"/>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桩号</w:t>
            </w:r>
          </w:p>
        </w:tc>
        <w:tc>
          <w:tcPr>
            <w:tcW w:w="544" w:type="pct"/>
            <w:noWrap w:val="0"/>
            <w:vAlign w:val="center"/>
          </w:tcPr>
          <w:p>
            <w:pPr>
              <w:pStyle w:val="5"/>
              <w:spacing w:line="440" w:lineRule="atLeast"/>
              <w:jc w:val="center"/>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长度</w:t>
            </w:r>
          </w:p>
          <w:p>
            <w:pPr>
              <w:pStyle w:val="5"/>
              <w:spacing w:line="440" w:lineRule="atLeast"/>
              <w:jc w:val="center"/>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（Km）</w:t>
            </w:r>
          </w:p>
        </w:tc>
        <w:tc>
          <w:tcPr>
            <w:tcW w:w="2526" w:type="pct"/>
            <w:noWrap w:val="0"/>
            <w:vAlign w:val="center"/>
          </w:tcPr>
          <w:p>
            <w:pPr>
              <w:pStyle w:val="5"/>
              <w:spacing w:line="440" w:lineRule="atLeast"/>
              <w:jc w:val="center"/>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6" w:type="pct"/>
            <w:noWrap w:val="0"/>
            <w:vAlign w:val="center"/>
          </w:tcPr>
          <w:p>
            <w:pPr>
              <w:pStyle w:val="5"/>
              <w:adjustRightInd w:val="0"/>
              <w:snapToGrid w:val="0"/>
              <w:spacing w:line="440" w:lineRule="atLeast"/>
              <w:jc w:val="center"/>
              <w:rPr>
                <w:rStyle w:val="3"/>
                <w:rFonts w:hint="eastAsia" w:asciiTheme="majorEastAsia" w:hAnsiTheme="majorEastAsia" w:eastAsiaTheme="majorEastAsia" w:cstheme="majorEastAsia"/>
                <w:color w:val="auto"/>
                <w:sz w:val="24"/>
                <w:szCs w:val="24"/>
                <w:lang w:val="en-US" w:eastAsia="zh-CN"/>
              </w:rPr>
            </w:pPr>
            <w:r>
              <w:rPr>
                <w:rStyle w:val="3"/>
                <w:rFonts w:hint="eastAsia" w:asciiTheme="majorEastAsia" w:hAnsiTheme="majorEastAsia" w:eastAsiaTheme="majorEastAsia" w:cstheme="majorEastAsia"/>
                <w:color w:val="auto"/>
                <w:sz w:val="24"/>
                <w:szCs w:val="24"/>
                <w:lang w:val="en-US" w:eastAsia="zh-CN"/>
              </w:rPr>
              <w:t>/</w:t>
            </w:r>
          </w:p>
        </w:tc>
        <w:tc>
          <w:tcPr>
            <w:tcW w:w="1372" w:type="pct"/>
            <w:noWrap w:val="0"/>
            <w:vAlign w:val="center"/>
          </w:tcPr>
          <w:p>
            <w:pPr>
              <w:pStyle w:val="5"/>
              <w:adjustRightInd w:val="0"/>
              <w:snapToGrid w:val="0"/>
              <w:spacing w:line="440" w:lineRule="atLeast"/>
              <w:jc w:val="center"/>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lang w:val="en-US" w:eastAsia="zh-CN"/>
              </w:rPr>
              <w:t>L1K0+000--L1K23+243</w:t>
            </w:r>
          </w:p>
        </w:tc>
        <w:tc>
          <w:tcPr>
            <w:tcW w:w="544" w:type="pct"/>
            <w:noWrap w:val="0"/>
            <w:vAlign w:val="center"/>
          </w:tcPr>
          <w:p>
            <w:pPr>
              <w:pStyle w:val="5"/>
              <w:adjustRightInd w:val="0"/>
              <w:snapToGrid w:val="0"/>
              <w:spacing w:line="440" w:lineRule="atLeast"/>
              <w:jc w:val="center"/>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lang w:val="en-US" w:eastAsia="zh-CN"/>
              </w:rPr>
              <w:t>约23.243</w:t>
            </w:r>
          </w:p>
        </w:tc>
        <w:tc>
          <w:tcPr>
            <w:tcW w:w="2526" w:type="pct"/>
            <w:noWrap w:val="0"/>
            <w:vAlign w:val="center"/>
          </w:tcPr>
          <w:p>
            <w:pPr>
              <w:pStyle w:val="5"/>
              <w:adjustRightInd w:val="0"/>
              <w:snapToGrid w:val="0"/>
              <w:spacing w:line="440" w:lineRule="atLeast"/>
              <w:jc w:val="left"/>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lang w:val="en-US" w:eastAsia="zh-CN"/>
              </w:rPr>
              <w:t>项目实施全过程技术咨询服务和建设管理(代建)。包含全线路基、路面、桥梁、涵洞、交叉、交通安全设施及附属设施等工程的全过程技术咨询服务和建设管理(代建)咨询服务进行公开招标。（包含但不限于代建合同生效开始的施工准备阶段、施工阶段、到实体交竣工验收移交手续完成期间的项目的前期工作、报批报建、项目施工过程中的质量安全进度管理、费用优化、变更方案优化、与工程有关的技术咨询、交竣工验收及备案、竣工结算、决算、缺陷责任期等进行全过程管理）</w:t>
            </w:r>
          </w:p>
        </w:tc>
      </w:tr>
    </w:tbl>
    <w:p>
      <w:pPr>
        <w:pStyle w:val="5"/>
        <w:spacing w:line="440" w:lineRule="atLeast"/>
        <w:ind w:firstLine="540" w:firstLineChars="225"/>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公路工程建设项目审批或者核准之前的咨询服务项目招标的建设地点、规模、招标范围、标段划分等应根据具体情况另行说明。</w:t>
      </w:r>
    </w:p>
    <w:p>
      <w:pPr>
        <w:pStyle w:val="5"/>
        <w:spacing w:afterAutospacing="0" w:line="440" w:lineRule="atLeast"/>
        <w:ind w:firstLine="540" w:firstLineChars="225"/>
        <w:rPr>
          <w:rStyle w:val="3"/>
          <w:rFonts w:hint="eastAsia" w:asciiTheme="majorEastAsia" w:hAnsiTheme="majorEastAsia" w:eastAsiaTheme="majorEastAsia" w:cstheme="majorEastAsia"/>
          <w:color w:val="auto"/>
          <w:sz w:val="24"/>
          <w:szCs w:val="24"/>
          <w:lang w:eastAsia="zh-CN"/>
        </w:rPr>
      </w:pPr>
      <w:r>
        <w:rPr>
          <w:rStyle w:val="3"/>
          <w:rFonts w:hint="eastAsia" w:asciiTheme="majorEastAsia" w:hAnsiTheme="majorEastAsia" w:eastAsiaTheme="majorEastAsia" w:cstheme="majorEastAsia"/>
          <w:color w:val="auto"/>
          <w:sz w:val="24"/>
          <w:szCs w:val="24"/>
        </w:rPr>
        <w:t xml:space="preserve">本次招标咨询服务期限为： </w:t>
      </w:r>
      <w:r>
        <w:rPr>
          <w:rStyle w:val="3"/>
          <w:rFonts w:hint="eastAsia" w:asciiTheme="majorEastAsia" w:hAnsiTheme="majorEastAsia" w:eastAsiaTheme="majorEastAsia" w:cstheme="majorEastAsia"/>
          <w:color w:val="auto"/>
          <w:sz w:val="24"/>
          <w:szCs w:val="24"/>
          <w:lang w:val="en-US" w:eastAsia="zh-CN"/>
        </w:rPr>
        <w:t>本项目合同签订之日起，至本项目竣工验收完成，总工期1460日历天（其中施工期管理730日历天，缺陷责任责任期730日历天）</w:t>
      </w:r>
      <w:r>
        <w:rPr>
          <w:rStyle w:val="3"/>
          <w:rFonts w:hint="eastAsia" w:asciiTheme="majorEastAsia" w:hAnsiTheme="majorEastAsia" w:eastAsiaTheme="majorEastAsia" w:cstheme="majorEastAsia"/>
          <w:color w:val="auto"/>
          <w:sz w:val="24"/>
          <w:szCs w:val="24"/>
          <w:lang w:eastAsia="zh-CN"/>
        </w:rPr>
        <w:t>。</w:t>
      </w:r>
    </w:p>
    <w:p>
      <w:pPr>
        <w:pStyle w:val="5"/>
        <w:keepNext/>
        <w:keepLines/>
        <w:spacing w:beforeAutospacing="0" w:afterAutospacing="0" w:line="440" w:lineRule="atLeast"/>
        <w:outlineLvl w:val="1"/>
        <w:rPr>
          <w:rStyle w:val="3"/>
          <w:rFonts w:hint="eastAsia" w:asciiTheme="majorEastAsia" w:hAnsiTheme="majorEastAsia" w:eastAsiaTheme="majorEastAsia" w:cstheme="majorEastAsia"/>
          <w:b/>
          <w:bCs/>
          <w:color w:val="auto"/>
          <w:kern w:val="44"/>
          <w:sz w:val="28"/>
          <w:szCs w:val="28"/>
        </w:rPr>
      </w:pPr>
      <w:bookmarkStart w:id="4" w:name="_Toc503235716"/>
      <w:bookmarkStart w:id="5" w:name="_Toc510015651"/>
      <w:r>
        <w:rPr>
          <w:rStyle w:val="3"/>
          <w:rFonts w:hint="eastAsia" w:asciiTheme="majorEastAsia" w:hAnsiTheme="majorEastAsia" w:eastAsiaTheme="majorEastAsia" w:cstheme="majorEastAsia"/>
          <w:b/>
          <w:bCs/>
          <w:color w:val="auto"/>
          <w:kern w:val="44"/>
          <w:sz w:val="28"/>
          <w:szCs w:val="28"/>
        </w:rPr>
        <w:t>3. 投标人资格要求</w:t>
      </w:r>
      <w:bookmarkEnd w:id="4"/>
      <w:bookmarkEnd w:id="5"/>
    </w:p>
    <w:p>
      <w:pPr>
        <w:pStyle w:val="5"/>
        <w:spacing w:beforeAutospacing="0" w:line="440" w:lineRule="atLeast"/>
        <w:ind w:firstLine="480" w:firstLineChars="200"/>
        <w:rPr>
          <w:rStyle w:val="3"/>
          <w:rFonts w:hint="eastAsia" w:asciiTheme="majorEastAsia" w:hAnsiTheme="majorEastAsia" w:eastAsiaTheme="majorEastAsia" w:cstheme="majorEastAsia"/>
          <w:color w:val="auto"/>
          <w:sz w:val="24"/>
          <w:szCs w:val="20"/>
        </w:rPr>
      </w:pPr>
      <w:r>
        <w:rPr>
          <w:rStyle w:val="3"/>
          <w:rFonts w:hint="eastAsia" w:asciiTheme="majorEastAsia" w:hAnsiTheme="majorEastAsia" w:eastAsiaTheme="majorEastAsia" w:cstheme="majorEastAsia"/>
          <w:color w:val="auto"/>
          <w:sz w:val="24"/>
          <w:szCs w:val="20"/>
        </w:rPr>
        <w:t>3.1  本次招标要求投标人须具备：</w:t>
      </w:r>
    </w:p>
    <w:p>
      <w:pPr>
        <w:pStyle w:val="5"/>
        <w:spacing w:line="440" w:lineRule="atLeast"/>
        <w:ind w:firstLine="480" w:firstLineChars="200"/>
        <w:rPr>
          <w:rStyle w:val="3"/>
          <w:rFonts w:hint="eastAsia" w:asciiTheme="majorEastAsia" w:hAnsiTheme="majorEastAsia" w:eastAsiaTheme="majorEastAsia" w:cstheme="majorEastAsia"/>
          <w:color w:val="auto"/>
          <w:sz w:val="24"/>
          <w:szCs w:val="20"/>
        </w:rPr>
      </w:pPr>
      <w:r>
        <w:rPr>
          <w:rStyle w:val="3"/>
          <w:rFonts w:hint="eastAsia" w:asciiTheme="majorEastAsia" w:hAnsiTheme="majorEastAsia" w:eastAsiaTheme="majorEastAsia" w:cstheme="majorEastAsia"/>
          <w:color w:val="auto"/>
          <w:sz w:val="24"/>
          <w:szCs w:val="20"/>
        </w:rPr>
        <w:t>（1）独立法人资格，持有有效的营业执照（或事业单位法人证书, 或社会团体 法人登记证书） (投标人为企业的，还应具备组织机构代码证，按照“三证合一”或 “五证合一”登记制度进行登记的，可仅提供营业执照副本；投标人为依法允许经营 的事业单位的，应具有事业单位法人证书和组织机构代码证；投标人为社会团体的， 应具有社会团体法人登记证书，下同)；</w:t>
      </w:r>
    </w:p>
    <w:p>
      <w:pPr>
        <w:pStyle w:val="5"/>
        <w:spacing w:line="440" w:lineRule="atLeast"/>
        <w:ind w:firstLine="480" w:firstLineChars="200"/>
        <w:rPr>
          <w:rStyle w:val="3"/>
          <w:rFonts w:hint="eastAsia" w:asciiTheme="majorEastAsia" w:hAnsiTheme="majorEastAsia" w:eastAsiaTheme="majorEastAsia" w:cstheme="majorEastAsia"/>
          <w:color w:val="auto"/>
          <w:sz w:val="24"/>
          <w:szCs w:val="20"/>
          <w:lang w:eastAsia="zh-CN"/>
        </w:rPr>
      </w:pPr>
      <w:r>
        <w:rPr>
          <w:rStyle w:val="3"/>
          <w:rFonts w:hint="eastAsia" w:asciiTheme="majorEastAsia" w:hAnsiTheme="majorEastAsia" w:eastAsiaTheme="majorEastAsia" w:cstheme="majorEastAsia"/>
          <w:color w:val="auto"/>
          <w:sz w:val="24"/>
          <w:szCs w:val="20"/>
        </w:rPr>
        <w:t>（2）具有下列一项或者多项资质(资信)：工程咨询</w:t>
      </w:r>
      <w:r>
        <w:rPr>
          <w:rStyle w:val="3"/>
          <w:rFonts w:hint="eastAsia" w:asciiTheme="majorEastAsia" w:hAnsiTheme="majorEastAsia" w:eastAsiaTheme="majorEastAsia" w:cstheme="majorEastAsia"/>
          <w:color w:val="auto"/>
          <w:sz w:val="24"/>
          <w:szCs w:val="20"/>
          <w:lang w:val="en-US" w:eastAsia="zh-CN"/>
        </w:rPr>
        <w:t>公路</w:t>
      </w:r>
      <w:r>
        <w:rPr>
          <w:rStyle w:val="3"/>
          <w:rFonts w:hint="eastAsia" w:asciiTheme="majorEastAsia" w:hAnsiTheme="majorEastAsia" w:eastAsiaTheme="majorEastAsia" w:cstheme="majorEastAsia"/>
          <w:color w:val="auto"/>
          <w:sz w:val="24"/>
          <w:szCs w:val="20"/>
        </w:rPr>
        <w:t>工程专业甲级或综合甲级、工程监理</w:t>
      </w:r>
      <w:r>
        <w:rPr>
          <w:rStyle w:val="3"/>
          <w:rFonts w:hint="eastAsia" w:asciiTheme="majorEastAsia" w:hAnsiTheme="majorEastAsia" w:eastAsiaTheme="majorEastAsia" w:cstheme="majorEastAsia"/>
          <w:color w:val="auto"/>
          <w:sz w:val="24"/>
          <w:szCs w:val="20"/>
          <w:lang w:val="en-US" w:eastAsia="zh-CN"/>
        </w:rPr>
        <w:t>公路</w:t>
      </w:r>
      <w:r>
        <w:rPr>
          <w:rStyle w:val="3"/>
          <w:rFonts w:hint="eastAsia" w:asciiTheme="majorEastAsia" w:hAnsiTheme="majorEastAsia" w:eastAsiaTheme="majorEastAsia" w:cstheme="majorEastAsia"/>
          <w:color w:val="auto"/>
          <w:sz w:val="24"/>
          <w:szCs w:val="20"/>
        </w:rPr>
        <w:t>工程（资质类别）甲级或综合资质、工程设计</w:t>
      </w:r>
      <w:r>
        <w:rPr>
          <w:rStyle w:val="3"/>
          <w:rFonts w:hint="eastAsia" w:asciiTheme="majorEastAsia" w:hAnsiTheme="majorEastAsia" w:eastAsiaTheme="majorEastAsia" w:cstheme="majorEastAsia"/>
          <w:color w:val="auto"/>
          <w:sz w:val="24"/>
          <w:szCs w:val="20"/>
          <w:lang w:val="en-US" w:eastAsia="zh-CN"/>
        </w:rPr>
        <w:t>公路</w:t>
      </w:r>
      <w:r>
        <w:rPr>
          <w:rStyle w:val="3"/>
          <w:rFonts w:hint="eastAsia" w:asciiTheme="majorEastAsia" w:hAnsiTheme="majorEastAsia" w:eastAsiaTheme="majorEastAsia" w:cstheme="majorEastAsia"/>
          <w:color w:val="auto"/>
          <w:sz w:val="24"/>
          <w:szCs w:val="20"/>
        </w:rPr>
        <w:t>工程专业甲级或综合甲级</w:t>
      </w:r>
      <w:r>
        <w:rPr>
          <w:rStyle w:val="3"/>
          <w:rFonts w:hint="eastAsia" w:asciiTheme="majorEastAsia" w:hAnsiTheme="majorEastAsia" w:eastAsiaTheme="majorEastAsia" w:cstheme="majorEastAsia"/>
          <w:color w:val="auto"/>
          <w:sz w:val="24"/>
          <w:szCs w:val="20"/>
          <w:lang w:eastAsia="zh-CN"/>
        </w:rPr>
        <w:t>。</w:t>
      </w:r>
    </w:p>
    <w:p>
      <w:pPr>
        <w:pStyle w:val="5"/>
        <w:spacing w:line="440" w:lineRule="atLeast"/>
        <w:ind w:firstLine="480" w:firstLineChars="200"/>
        <w:rPr>
          <w:rStyle w:val="3"/>
          <w:rFonts w:hint="eastAsia" w:asciiTheme="majorEastAsia" w:hAnsiTheme="majorEastAsia" w:eastAsiaTheme="majorEastAsia" w:cstheme="majorEastAsia"/>
          <w:color w:val="auto"/>
          <w:sz w:val="24"/>
          <w:szCs w:val="20"/>
        </w:rPr>
      </w:pPr>
      <w:r>
        <w:rPr>
          <w:rStyle w:val="3"/>
          <w:rFonts w:hint="eastAsia" w:asciiTheme="majorEastAsia" w:hAnsiTheme="majorEastAsia" w:eastAsiaTheme="majorEastAsia" w:cstheme="majorEastAsia"/>
          <w:color w:val="auto"/>
          <w:sz w:val="24"/>
          <w:szCs w:val="20"/>
        </w:rPr>
        <w:t>（3）业绩要求：近</w:t>
      </w:r>
      <w:r>
        <w:rPr>
          <w:rStyle w:val="3"/>
          <w:rFonts w:hint="eastAsia" w:asciiTheme="majorEastAsia" w:hAnsiTheme="majorEastAsia" w:eastAsiaTheme="majorEastAsia" w:cstheme="majorEastAsia"/>
          <w:color w:val="auto"/>
          <w:sz w:val="24"/>
          <w:szCs w:val="20"/>
          <w:lang w:val="en-US" w:eastAsia="zh-CN"/>
        </w:rPr>
        <w:t xml:space="preserve"> 8</w:t>
      </w:r>
      <w:r>
        <w:rPr>
          <w:rStyle w:val="3"/>
          <w:rFonts w:hint="eastAsia" w:asciiTheme="majorEastAsia" w:hAnsiTheme="majorEastAsia" w:eastAsiaTheme="majorEastAsia" w:cstheme="majorEastAsia"/>
          <w:color w:val="auto"/>
          <w:sz w:val="24"/>
          <w:szCs w:val="20"/>
        </w:rPr>
        <w:t>年内（投标截止之日前一日回溯</w:t>
      </w:r>
      <w:r>
        <w:rPr>
          <w:rStyle w:val="3"/>
          <w:rFonts w:hint="eastAsia" w:asciiTheme="majorEastAsia" w:hAnsiTheme="majorEastAsia" w:eastAsiaTheme="majorEastAsia" w:cstheme="majorEastAsia"/>
          <w:color w:val="auto"/>
          <w:sz w:val="24"/>
          <w:szCs w:val="20"/>
          <w:lang w:val="en-US" w:eastAsia="zh-CN"/>
        </w:rPr>
        <w:t xml:space="preserve"> 8</w:t>
      </w:r>
      <w:r>
        <w:rPr>
          <w:rStyle w:val="3"/>
          <w:rFonts w:hint="eastAsia" w:asciiTheme="majorEastAsia" w:hAnsiTheme="majorEastAsia" w:eastAsiaTheme="majorEastAsia" w:cstheme="majorEastAsia"/>
          <w:color w:val="auto"/>
          <w:sz w:val="24"/>
          <w:szCs w:val="20"/>
        </w:rPr>
        <w:t>年，下同）至少完成过</w:t>
      </w:r>
      <w:r>
        <w:rPr>
          <w:rStyle w:val="3"/>
          <w:rFonts w:hint="eastAsia" w:asciiTheme="majorEastAsia" w:hAnsiTheme="majorEastAsia" w:eastAsiaTheme="majorEastAsia" w:cstheme="majorEastAsia"/>
          <w:color w:val="auto"/>
          <w:sz w:val="24"/>
          <w:szCs w:val="20"/>
          <w:lang w:eastAsia="zh-CN"/>
        </w:rPr>
        <w:t>承担过</w:t>
      </w:r>
      <w:r>
        <w:rPr>
          <w:rStyle w:val="3"/>
          <w:rFonts w:hint="eastAsia" w:asciiTheme="majorEastAsia" w:hAnsiTheme="majorEastAsia" w:eastAsiaTheme="majorEastAsia" w:cstheme="majorEastAsia"/>
          <w:color w:val="auto"/>
          <w:sz w:val="24"/>
          <w:szCs w:val="20"/>
        </w:rPr>
        <w:t>1</w:t>
      </w:r>
      <w:r>
        <w:rPr>
          <w:rStyle w:val="3"/>
          <w:rFonts w:hint="eastAsia" w:asciiTheme="majorEastAsia" w:hAnsiTheme="majorEastAsia" w:eastAsiaTheme="majorEastAsia" w:cstheme="majorEastAsia"/>
          <w:color w:val="auto"/>
          <w:sz w:val="24"/>
          <w:szCs w:val="20"/>
          <w:lang w:val="en-US" w:eastAsia="zh-CN"/>
        </w:rPr>
        <w:t>条长度不低于23km</w:t>
      </w:r>
      <w:r>
        <w:rPr>
          <w:rStyle w:val="3"/>
          <w:rFonts w:hint="eastAsia" w:asciiTheme="majorEastAsia" w:hAnsiTheme="majorEastAsia" w:eastAsiaTheme="majorEastAsia" w:cstheme="majorEastAsia"/>
          <w:color w:val="auto"/>
          <w:sz w:val="24"/>
          <w:szCs w:val="20"/>
          <w:lang w:eastAsia="zh-CN"/>
        </w:rPr>
        <w:t>的</w:t>
      </w:r>
      <w:r>
        <w:rPr>
          <w:rStyle w:val="3"/>
          <w:rFonts w:hint="eastAsia" w:asciiTheme="majorEastAsia" w:hAnsiTheme="majorEastAsia" w:eastAsiaTheme="majorEastAsia" w:cstheme="majorEastAsia"/>
          <w:color w:val="auto"/>
          <w:sz w:val="24"/>
          <w:szCs w:val="20"/>
          <w:lang w:val="en-US" w:eastAsia="zh-CN"/>
        </w:rPr>
        <w:t>二级及以上</w:t>
      </w:r>
      <w:r>
        <w:rPr>
          <w:rStyle w:val="3"/>
          <w:rFonts w:hint="eastAsia" w:asciiTheme="majorEastAsia" w:hAnsiTheme="majorEastAsia" w:eastAsiaTheme="majorEastAsia" w:cstheme="majorEastAsia"/>
          <w:color w:val="auto"/>
          <w:sz w:val="24"/>
          <w:szCs w:val="20"/>
          <w:lang w:eastAsia="zh-CN"/>
        </w:rPr>
        <w:t>公路</w:t>
      </w:r>
      <w:r>
        <w:rPr>
          <w:rStyle w:val="3"/>
          <w:rFonts w:hint="eastAsia" w:asciiTheme="majorEastAsia" w:hAnsiTheme="majorEastAsia" w:eastAsiaTheme="majorEastAsia" w:cstheme="majorEastAsia"/>
          <w:color w:val="auto"/>
          <w:sz w:val="24"/>
          <w:szCs w:val="20"/>
          <w:lang w:val="en-US" w:eastAsia="zh-CN"/>
        </w:rPr>
        <w:t>的</w:t>
      </w:r>
      <w:r>
        <w:rPr>
          <w:rStyle w:val="3"/>
          <w:rFonts w:hint="eastAsia" w:asciiTheme="majorEastAsia" w:hAnsiTheme="majorEastAsia" w:eastAsiaTheme="majorEastAsia" w:cstheme="majorEastAsia"/>
          <w:color w:val="auto"/>
          <w:sz w:val="24"/>
          <w:szCs w:val="20"/>
          <w:lang w:eastAsia="zh-CN"/>
        </w:rPr>
        <w:t>项目</w:t>
      </w:r>
      <w:r>
        <w:rPr>
          <w:rStyle w:val="3"/>
          <w:rFonts w:hint="eastAsia" w:asciiTheme="majorEastAsia" w:hAnsiTheme="majorEastAsia" w:eastAsiaTheme="majorEastAsia" w:cstheme="majorEastAsia"/>
          <w:color w:val="auto"/>
          <w:sz w:val="24"/>
          <w:szCs w:val="20"/>
          <w:lang w:val="en-US" w:eastAsia="zh-CN"/>
        </w:rPr>
        <w:t>业绩</w:t>
      </w:r>
      <w:r>
        <w:rPr>
          <w:rStyle w:val="3"/>
          <w:rFonts w:hint="eastAsia" w:asciiTheme="majorEastAsia" w:hAnsiTheme="majorEastAsia" w:eastAsiaTheme="majorEastAsia" w:cstheme="majorEastAsia"/>
          <w:color w:val="auto"/>
          <w:sz w:val="24"/>
          <w:szCs w:val="20"/>
          <w:lang w:eastAsia="zh-CN"/>
        </w:rPr>
        <w:t>(业绩类型是指工程咨询服务、工程设计服务、工程监理咨询服务、</w:t>
      </w:r>
      <w:r>
        <w:rPr>
          <w:rStyle w:val="3"/>
          <w:rFonts w:hint="eastAsia" w:asciiTheme="majorEastAsia" w:hAnsiTheme="majorEastAsia" w:eastAsiaTheme="majorEastAsia" w:cstheme="majorEastAsia"/>
          <w:color w:val="auto"/>
          <w:sz w:val="24"/>
          <w:szCs w:val="20"/>
          <w:lang w:val="en-US" w:eastAsia="zh-CN"/>
        </w:rPr>
        <w:t>公路</w:t>
      </w:r>
      <w:r>
        <w:rPr>
          <w:rStyle w:val="3"/>
          <w:rFonts w:hint="eastAsia" w:asciiTheme="majorEastAsia" w:hAnsiTheme="majorEastAsia" w:eastAsiaTheme="majorEastAsia" w:cstheme="majorEastAsia"/>
          <w:color w:val="auto"/>
          <w:sz w:val="24"/>
          <w:szCs w:val="20"/>
          <w:lang w:eastAsia="zh-CN"/>
        </w:rPr>
        <w:t>工程代建管理服务。）</w:t>
      </w:r>
    </w:p>
    <w:p>
      <w:pPr>
        <w:pStyle w:val="5"/>
        <w:spacing w:line="440" w:lineRule="atLeast"/>
        <w:ind w:firstLine="480" w:firstLineChars="200"/>
        <w:rPr>
          <w:rStyle w:val="3"/>
          <w:rFonts w:hint="eastAsia" w:asciiTheme="majorEastAsia" w:hAnsiTheme="majorEastAsia" w:eastAsiaTheme="majorEastAsia" w:cstheme="majorEastAsia"/>
          <w:color w:val="auto"/>
          <w:sz w:val="24"/>
          <w:szCs w:val="20"/>
          <w:lang w:val="en-US" w:eastAsia="zh-CN"/>
        </w:rPr>
      </w:pPr>
      <w:r>
        <w:rPr>
          <w:rStyle w:val="3"/>
          <w:rFonts w:hint="eastAsia" w:asciiTheme="majorEastAsia" w:hAnsiTheme="majorEastAsia" w:eastAsiaTheme="majorEastAsia" w:cstheme="majorEastAsia"/>
          <w:color w:val="auto"/>
          <w:sz w:val="24"/>
          <w:szCs w:val="20"/>
        </w:rPr>
        <w:t>（4）人员要求：</w:t>
      </w:r>
      <w:r>
        <w:rPr>
          <w:rStyle w:val="3"/>
          <w:rFonts w:hint="eastAsia" w:asciiTheme="majorEastAsia" w:hAnsiTheme="majorEastAsia" w:eastAsiaTheme="majorEastAsia" w:cstheme="majorEastAsia"/>
          <w:color w:val="auto"/>
          <w:sz w:val="24"/>
          <w:szCs w:val="20"/>
          <w:lang w:val="en-US" w:eastAsia="zh-CN"/>
        </w:rPr>
        <w:t>技术服务人员等方面应具有相应的咨询服务能力</w:t>
      </w:r>
    </w:p>
    <w:p>
      <w:pPr>
        <w:pStyle w:val="5"/>
        <w:spacing w:line="440" w:lineRule="atLeast"/>
        <w:ind w:firstLine="480" w:firstLineChars="200"/>
        <w:rPr>
          <w:rStyle w:val="3"/>
          <w:rFonts w:hint="eastAsia" w:asciiTheme="majorEastAsia" w:hAnsiTheme="majorEastAsia" w:eastAsiaTheme="majorEastAsia" w:cstheme="majorEastAsia"/>
          <w:color w:val="auto"/>
          <w:sz w:val="24"/>
          <w:szCs w:val="20"/>
        </w:rPr>
      </w:pPr>
      <w:r>
        <w:rPr>
          <w:rStyle w:val="3"/>
          <w:rFonts w:hint="eastAsia" w:asciiTheme="majorEastAsia" w:hAnsiTheme="majorEastAsia" w:eastAsiaTheme="majorEastAsia" w:cstheme="majorEastAsia"/>
          <w:color w:val="auto"/>
          <w:sz w:val="24"/>
          <w:szCs w:val="20"/>
        </w:rPr>
        <w:t xml:space="preserve">3.2 </w:t>
      </w:r>
      <w:r>
        <w:rPr>
          <w:rStyle w:val="3"/>
          <w:rFonts w:hint="eastAsia" w:asciiTheme="majorEastAsia" w:hAnsiTheme="majorEastAsia" w:eastAsiaTheme="majorEastAsia" w:cstheme="majorEastAsia"/>
          <w:color w:val="auto"/>
          <w:sz w:val="24"/>
          <w:szCs w:val="24"/>
        </w:rPr>
        <w:t>本次招标</w:t>
      </w:r>
      <w:r>
        <w:rPr>
          <w:rStyle w:val="3"/>
          <w:rFonts w:hint="eastAsia" w:asciiTheme="majorEastAsia" w:hAnsiTheme="majorEastAsia" w:eastAsiaTheme="majorEastAsia" w:cstheme="majorEastAsia"/>
          <w:color w:val="auto"/>
          <w:sz w:val="24"/>
          <w:szCs w:val="24"/>
          <w:u w:val="single"/>
        </w:rPr>
        <w:t>（不接受）</w:t>
      </w:r>
      <w:r>
        <w:rPr>
          <w:rStyle w:val="3"/>
          <w:rFonts w:hint="eastAsia" w:asciiTheme="majorEastAsia" w:hAnsiTheme="majorEastAsia" w:eastAsiaTheme="majorEastAsia" w:cstheme="majorEastAsia"/>
          <w:color w:val="auto"/>
          <w:sz w:val="24"/>
          <w:szCs w:val="24"/>
        </w:rPr>
        <w:t>联合体投标。联合体投标的，联合体所有成员数量不得超过</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家，且应满足下列要求：</w:t>
      </w:r>
      <w:r>
        <w:rPr>
          <w:rStyle w:val="3"/>
          <w:rFonts w:hint="eastAsia" w:asciiTheme="majorEastAsia" w:hAnsiTheme="majorEastAsia" w:eastAsiaTheme="majorEastAsia" w:cstheme="majorEastAsia"/>
          <w:color w:val="auto"/>
          <w:sz w:val="24"/>
          <w:szCs w:val="20"/>
          <w:u w:val="single"/>
        </w:rPr>
        <w:t xml:space="preserve">  </w:t>
      </w:r>
      <w:r>
        <w:rPr>
          <w:rStyle w:val="3"/>
          <w:rFonts w:hint="eastAsia" w:asciiTheme="majorEastAsia" w:hAnsiTheme="majorEastAsia" w:eastAsiaTheme="majorEastAsia" w:cstheme="majorEastAsia"/>
          <w:color w:val="auto"/>
          <w:sz w:val="24"/>
          <w:szCs w:val="20"/>
          <w:u w:val="single"/>
          <w:lang w:val="en-US" w:eastAsia="zh-CN"/>
        </w:rPr>
        <w:t>/</w:t>
      </w:r>
      <w:r>
        <w:rPr>
          <w:rStyle w:val="3"/>
          <w:rFonts w:hint="eastAsia" w:asciiTheme="majorEastAsia" w:hAnsiTheme="majorEastAsia" w:eastAsiaTheme="majorEastAsia" w:cstheme="majorEastAsia"/>
          <w:color w:val="auto"/>
          <w:sz w:val="24"/>
          <w:szCs w:val="20"/>
          <w:u w:val="single"/>
        </w:rPr>
        <w:t xml:space="preserve">        </w:t>
      </w:r>
      <w:r>
        <w:rPr>
          <w:rStyle w:val="3"/>
          <w:rFonts w:hint="eastAsia" w:asciiTheme="majorEastAsia" w:hAnsiTheme="majorEastAsia" w:eastAsiaTheme="majorEastAsia" w:cstheme="majorEastAsia"/>
          <w:color w:val="auto"/>
          <w:sz w:val="24"/>
          <w:szCs w:val="20"/>
        </w:rPr>
        <w:t>。</w:t>
      </w:r>
    </w:p>
    <w:p>
      <w:pPr>
        <w:pStyle w:val="5"/>
        <w:spacing w:line="420" w:lineRule="atLeast"/>
        <w:ind w:firstLine="480" w:firstLineChars="200"/>
        <w:rPr>
          <w:rStyle w:val="3"/>
          <w:rFonts w:hint="eastAsia" w:asciiTheme="majorEastAsia" w:hAnsiTheme="majorEastAsia" w:eastAsiaTheme="majorEastAsia" w:cstheme="majorEastAsia"/>
          <w:color w:val="auto"/>
          <w:sz w:val="24"/>
          <w:szCs w:val="24"/>
        </w:rPr>
      </w:pPr>
      <w:bookmarkStart w:id="6" w:name="_Hlk2767314"/>
      <w:r>
        <w:rPr>
          <w:rStyle w:val="3"/>
          <w:rFonts w:hint="eastAsia" w:asciiTheme="majorEastAsia" w:hAnsiTheme="majorEastAsia" w:eastAsiaTheme="majorEastAsia" w:cstheme="majorEastAsia"/>
          <w:color w:val="auto"/>
          <w:sz w:val="24"/>
          <w:szCs w:val="20"/>
        </w:rPr>
        <w:t>3.3</w:t>
      </w:r>
      <w:r>
        <w:rPr>
          <w:rStyle w:val="3"/>
          <w:rFonts w:hint="eastAsia" w:asciiTheme="majorEastAsia" w:hAnsiTheme="majorEastAsia" w:eastAsiaTheme="majorEastAsia" w:cstheme="majorEastAsia"/>
          <w:color w:val="auto"/>
          <w:sz w:val="24"/>
          <w:szCs w:val="24"/>
        </w:rPr>
        <w:t xml:space="preserve"> 每个投标人可在本次招标中对</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1</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个标段投标，每个投标人允许中</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1</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个标。</w:t>
      </w:r>
    </w:p>
    <w:p>
      <w:pPr>
        <w:pStyle w:val="5"/>
        <w:autoSpaceDE w:val="0"/>
        <w:autoSpaceDN w:val="0"/>
        <w:adjustRightInd w:val="0"/>
        <w:spacing w:line="420" w:lineRule="atLeast"/>
        <w:ind w:firstLine="480" w:firstLineChars="200"/>
        <w:rPr>
          <w:rStyle w:val="3"/>
          <w:rFonts w:hint="eastAsia" w:asciiTheme="majorEastAsia" w:hAnsiTheme="majorEastAsia" w:eastAsiaTheme="majorEastAsia" w:cstheme="majorEastAsia"/>
          <w:color w:val="auto"/>
          <w:kern w:val="0"/>
          <w:sz w:val="24"/>
          <w:szCs w:val="24"/>
        </w:rPr>
      </w:pPr>
      <w:r>
        <w:rPr>
          <w:rStyle w:val="3"/>
          <w:rFonts w:hint="eastAsia" w:asciiTheme="majorEastAsia" w:hAnsiTheme="majorEastAsia" w:eastAsiaTheme="majorEastAsia" w:cstheme="majorEastAsia"/>
          <w:color w:val="auto"/>
          <w:sz w:val="24"/>
          <w:szCs w:val="20"/>
        </w:rPr>
        <w:t xml:space="preserve">3.4 </w:t>
      </w:r>
      <w:r>
        <w:rPr>
          <w:rStyle w:val="3"/>
          <w:rFonts w:hint="eastAsia" w:asciiTheme="majorEastAsia" w:hAnsiTheme="majorEastAsia" w:eastAsiaTheme="majorEastAsia" w:cstheme="majorEastAsia"/>
          <w:color w:val="auto"/>
          <w:sz w:val="24"/>
          <w:szCs w:val="24"/>
        </w:rPr>
        <w:t>与招标人存在利害关系且可能影响招标公正性的单位，不得参加投标。</w:t>
      </w:r>
      <w:r>
        <w:rPr>
          <w:rStyle w:val="3"/>
          <w:rFonts w:hint="eastAsia" w:asciiTheme="majorEastAsia" w:hAnsiTheme="majorEastAsia" w:eastAsiaTheme="majorEastAsia" w:cstheme="majorEastAsia"/>
          <w:color w:val="auto"/>
          <w:kern w:val="0"/>
          <w:sz w:val="24"/>
          <w:szCs w:val="24"/>
        </w:rPr>
        <w:t>单位负责人为同一人或者存在控股、管理关系的不同单位（即利益相关人），不得参加同一标段投标，否则，相关投标均无效。</w:t>
      </w:r>
    </w:p>
    <w:p>
      <w:pPr>
        <w:pStyle w:val="5"/>
        <w:spacing w:afterAutospacing="0" w:line="420" w:lineRule="atLeast"/>
        <w:ind w:firstLine="480" w:firstLineChars="200"/>
        <w:rPr>
          <w:rStyle w:val="3"/>
          <w:rFonts w:hint="eastAsia" w:asciiTheme="majorEastAsia" w:hAnsiTheme="majorEastAsia" w:eastAsiaTheme="majorEastAsia" w:cstheme="majorEastAsia"/>
          <w:color w:val="auto"/>
          <w:szCs w:val="24"/>
        </w:rPr>
      </w:pPr>
      <w:r>
        <w:rPr>
          <w:rStyle w:val="3"/>
          <w:rFonts w:hint="eastAsia" w:asciiTheme="majorEastAsia" w:hAnsiTheme="majorEastAsia" w:eastAsiaTheme="majorEastAsia" w:cstheme="majorEastAsia"/>
          <w:color w:val="auto"/>
          <w:sz w:val="24"/>
          <w:szCs w:val="24"/>
        </w:rPr>
        <w:t>3.</w:t>
      </w:r>
      <w:r>
        <w:rPr>
          <w:rStyle w:val="3"/>
          <w:rFonts w:hint="eastAsia" w:asciiTheme="majorEastAsia" w:hAnsiTheme="majorEastAsia" w:eastAsiaTheme="majorEastAsia" w:cstheme="majorEastAsia"/>
          <w:color w:val="auto"/>
          <w:kern w:val="44"/>
          <w:sz w:val="24"/>
          <w:szCs w:val="44"/>
        </w:rPr>
        <w:t>5</w:t>
      </w:r>
      <w:r>
        <w:rPr>
          <w:rStyle w:val="3"/>
          <w:rFonts w:hint="eastAsia" w:asciiTheme="majorEastAsia" w:hAnsiTheme="majorEastAsia" w:eastAsiaTheme="majorEastAsia" w:cstheme="majorEastAsia"/>
          <w:color w:val="auto"/>
          <w:sz w:val="24"/>
          <w:szCs w:val="24"/>
        </w:rPr>
        <w:t xml:space="preserve"> </w:t>
      </w:r>
      <w:r>
        <w:rPr>
          <w:rStyle w:val="3"/>
          <w:rFonts w:hint="eastAsia" w:asciiTheme="majorEastAsia" w:hAnsiTheme="majorEastAsia" w:eastAsiaTheme="majorEastAsia" w:cstheme="majorEastAsia"/>
          <w:color w:val="auto"/>
          <w:sz w:val="24"/>
          <w:szCs w:val="20"/>
        </w:rPr>
        <w:t>招标人不接受</w:t>
      </w:r>
      <w:r>
        <w:rPr>
          <w:rStyle w:val="3"/>
          <w:rFonts w:hint="eastAsia" w:asciiTheme="majorEastAsia" w:hAnsiTheme="majorEastAsia" w:eastAsiaTheme="majorEastAsia" w:cstheme="majorEastAsia"/>
          <w:color w:val="auto"/>
          <w:sz w:val="24"/>
        </w:rPr>
        <w:t>在全国企业信用信息公示系统（http://www.gsxt.gov.cn）中被列入严重违法失信企业名单的或在“信用中国”网站（www.creditchina.gov.cn）中被列入失信被执行人名单的投标人投标。</w:t>
      </w:r>
      <w:bookmarkEnd w:id="6"/>
    </w:p>
    <w:p>
      <w:pPr>
        <w:pStyle w:val="5"/>
        <w:keepNext/>
        <w:keepLines/>
        <w:spacing w:beforeAutospacing="0" w:afterAutospacing="0" w:line="440" w:lineRule="atLeast"/>
        <w:outlineLvl w:val="1"/>
        <w:rPr>
          <w:rStyle w:val="3"/>
          <w:rFonts w:hint="eastAsia" w:asciiTheme="majorEastAsia" w:hAnsiTheme="majorEastAsia" w:eastAsiaTheme="majorEastAsia" w:cstheme="majorEastAsia"/>
          <w:b/>
          <w:bCs/>
          <w:color w:val="auto"/>
          <w:kern w:val="44"/>
          <w:sz w:val="28"/>
          <w:szCs w:val="28"/>
        </w:rPr>
      </w:pPr>
      <w:bookmarkStart w:id="7" w:name="_Toc503235718"/>
      <w:bookmarkStart w:id="8" w:name="_Toc510015652"/>
      <w:r>
        <w:rPr>
          <w:rStyle w:val="3"/>
          <w:rFonts w:hint="eastAsia" w:asciiTheme="majorEastAsia" w:hAnsiTheme="majorEastAsia" w:eastAsiaTheme="majorEastAsia" w:cstheme="majorEastAsia"/>
          <w:b/>
          <w:bCs/>
          <w:color w:val="auto"/>
          <w:kern w:val="44"/>
          <w:sz w:val="28"/>
          <w:szCs w:val="28"/>
        </w:rPr>
        <w:t>4. 招标文件的获取</w:t>
      </w:r>
      <w:bookmarkEnd w:id="7"/>
      <w:bookmarkEnd w:id="8"/>
      <w:r>
        <w:rPr>
          <w:rStyle w:val="3"/>
          <w:rFonts w:hint="eastAsia" w:asciiTheme="majorEastAsia" w:hAnsiTheme="majorEastAsia" w:eastAsiaTheme="majorEastAsia" w:cstheme="majorEastAsia"/>
          <w:b/>
          <w:bCs/>
          <w:color w:val="auto"/>
          <w:kern w:val="44"/>
          <w:sz w:val="28"/>
          <w:szCs w:val="28"/>
        </w:rPr>
        <w:tab/>
      </w:r>
    </w:p>
    <w:p>
      <w:pPr>
        <w:pStyle w:val="5"/>
        <w:tabs>
          <w:tab w:val="left" w:pos="360"/>
        </w:tabs>
        <w:spacing w:beforeAutospacing="0" w:line="440" w:lineRule="atLeast"/>
        <w:ind w:firstLine="480" w:firstLineChars="200"/>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4.1 凡有意参加投标者，请登录湖南省公路建设市场信用信息管理系统（网址：http://218.76.40.80:8000/gljs）中注册、完善、公开本单位信息（新用户注册请联系_</w:t>
      </w:r>
      <w:r>
        <w:rPr>
          <w:rStyle w:val="3"/>
          <w:rFonts w:hint="eastAsia" w:asciiTheme="majorEastAsia" w:hAnsiTheme="majorEastAsia" w:eastAsiaTheme="majorEastAsia" w:cstheme="majorEastAsia"/>
          <w:color w:val="auto"/>
          <w:sz w:val="24"/>
          <w:szCs w:val="24"/>
          <w:lang w:val="en-US" w:eastAsia="zh-CN"/>
        </w:rPr>
        <w:t>/</w:t>
      </w:r>
      <w:r>
        <w:rPr>
          <w:rStyle w:val="3"/>
          <w:rFonts w:hint="eastAsia" w:asciiTheme="majorEastAsia" w:hAnsiTheme="majorEastAsia" w:eastAsiaTheme="majorEastAsia" w:cstheme="majorEastAsia"/>
          <w:color w:val="auto"/>
          <w:sz w:val="24"/>
          <w:szCs w:val="24"/>
        </w:rPr>
        <w:t>__），并在湖南省公共资源交易中心办理CA数字证书（具体流程参见网址：http://www.hunca.com.cn/xmzq/ggzy/ggzyfscg/）。</w:t>
      </w:r>
    </w:p>
    <w:p>
      <w:pPr>
        <w:pStyle w:val="5"/>
        <w:widowControl/>
        <w:spacing w:line="400" w:lineRule="atLeast"/>
        <w:ind w:firstLine="480" w:firstLineChars="200"/>
        <w:rPr>
          <w:rStyle w:val="3"/>
          <w:rFonts w:hint="eastAsia" w:asciiTheme="majorEastAsia" w:hAnsiTheme="majorEastAsia" w:eastAsiaTheme="majorEastAsia" w:cstheme="majorEastAsia"/>
          <w:color w:val="auto"/>
          <w:sz w:val="24"/>
          <w:szCs w:val="24"/>
        </w:rPr>
      </w:pPr>
      <w:bookmarkStart w:id="9" w:name="_Hlk2752451"/>
      <w:r>
        <w:rPr>
          <w:rStyle w:val="3"/>
          <w:rFonts w:hint="eastAsia" w:asciiTheme="majorEastAsia" w:hAnsiTheme="majorEastAsia" w:eastAsiaTheme="majorEastAsia" w:cstheme="majorEastAsia"/>
          <w:color w:val="auto"/>
          <w:sz w:val="24"/>
          <w:szCs w:val="24"/>
        </w:rPr>
        <w:t>4.2 办理完成CA数字认证后，请于</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2024</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年</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8</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月</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16</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日00：00时至</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2024</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年</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9</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月</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9</w:t>
      </w:r>
      <w:r>
        <w:rPr>
          <w:rStyle w:val="3"/>
          <w:rFonts w:hint="eastAsia" w:asciiTheme="majorEastAsia" w:hAnsiTheme="majorEastAsia" w:eastAsiaTheme="majorEastAsia" w:cstheme="majorEastAsia"/>
          <w:color w:val="auto"/>
          <w:sz w:val="24"/>
          <w:szCs w:val="24"/>
        </w:rPr>
        <w:t>日24：00时（北京时间，下同）</w:t>
      </w:r>
      <w:r>
        <w:rPr>
          <w:rStyle w:val="3"/>
          <w:rFonts w:hint="eastAsia" w:asciiTheme="majorEastAsia" w:hAnsiTheme="majorEastAsia" w:eastAsiaTheme="majorEastAsia" w:cstheme="majorEastAsia"/>
          <w:color w:val="auto"/>
          <w:sz w:val="24"/>
          <w:szCs w:val="24"/>
          <w:lang w:eastAsia="zh-CN"/>
        </w:rPr>
        <w:t>（</w:t>
      </w:r>
      <w:r>
        <w:rPr>
          <w:rStyle w:val="3"/>
          <w:rFonts w:hint="eastAsia" w:asciiTheme="majorEastAsia" w:hAnsiTheme="majorEastAsia" w:eastAsiaTheme="majorEastAsia" w:cstheme="majorEastAsia"/>
          <w:color w:val="auto"/>
          <w:sz w:val="24"/>
          <w:szCs w:val="24"/>
          <w:lang w:val="en-US" w:eastAsia="zh-CN"/>
        </w:rPr>
        <w:t>具体时间详见外网</w:t>
      </w:r>
      <w:r>
        <w:rPr>
          <w:rStyle w:val="3"/>
          <w:rFonts w:hint="eastAsia" w:asciiTheme="majorEastAsia" w:hAnsiTheme="majorEastAsia" w:eastAsiaTheme="majorEastAsia" w:cstheme="majorEastAsia"/>
          <w:color w:val="auto"/>
          <w:sz w:val="24"/>
          <w:szCs w:val="24"/>
          <w:lang w:eastAsia="zh-CN"/>
        </w:rPr>
        <w:t>）</w:t>
      </w:r>
      <w:r>
        <w:rPr>
          <w:rStyle w:val="3"/>
          <w:rFonts w:hint="eastAsia" w:asciiTheme="majorEastAsia" w:hAnsiTheme="majorEastAsia" w:eastAsiaTheme="majorEastAsia" w:cstheme="majorEastAsia"/>
          <w:color w:val="auto"/>
          <w:sz w:val="24"/>
          <w:szCs w:val="24"/>
        </w:rPr>
        <w:t>，通过互联网使用CA数字证书登录湖南省公共资源交易中心进场交易系统（以下简称：“电子交易平台”，网址：</w:t>
      </w:r>
      <w:r>
        <w:rPr>
          <w:rStyle w:val="3"/>
          <w:rFonts w:hint="eastAsia" w:asciiTheme="majorEastAsia" w:hAnsiTheme="majorEastAsia" w:eastAsiaTheme="majorEastAsia" w:cstheme="majorEastAsia"/>
          <w:color w:val="auto"/>
          <w:sz w:val="24"/>
          <w:szCs w:val="24"/>
        </w:rPr>
        <w:fldChar w:fldCharType="begin"/>
      </w:r>
      <w:r>
        <w:rPr>
          <w:rStyle w:val="3"/>
          <w:rFonts w:hint="eastAsia" w:asciiTheme="majorEastAsia" w:hAnsiTheme="majorEastAsia" w:eastAsiaTheme="majorEastAsia" w:cstheme="majorEastAsia"/>
          <w:color w:val="auto"/>
          <w:sz w:val="24"/>
          <w:szCs w:val="24"/>
        </w:rPr>
        <w:instrText xml:space="preserve"> HYPERLINK "http://222.240.80.75/tpbidder），进行报名后下载招标文件等相关资料，完成报名。联合体投标的，由联合体牵头人完成报名、招标文件等资料下载。" </w:instrText>
      </w:r>
      <w:r>
        <w:rPr>
          <w:rStyle w:val="3"/>
          <w:rFonts w:hint="eastAsia" w:asciiTheme="majorEastAsia" w:hAnsiTheme="majorEastAsia" w:eastAsiaTheme="majorEastAsia" w:cstheme="majorEastAsia"/>
          <w:color w:val="auto"/>
          <w:sz w:val="24"/>
          <w:szCs w:val="24"/>
        </w:rPr>
        <w:fldChar w:fldCharType="separate"/>
      </w:r>
      <w:r>
        <w:rPr>
          <w:rStyle w:val="4"/>
          <w:rFonts w:hint="eastAsia" w:asciiTheme="majorEastAsia" w:hAnsiTheme="majorEastAsia" w:eastAsiaTheme="majorEastAsia" w:cstheme="majorEastAsia"/>
          <w:color w:val="auto"/>
          <w:sz w:val="24"/>
          <w:szCs w:val="24"/>
        </w:rPr>
        <w:t>http://222.240.80.75/tpbidder），进行报名后下载招标文件等相关资料，完成报名。联合体投标的，由联合体牵头人完成报名、招标文件等资料下载。</w:t>
      </w:r>
      <w:r>
        <w:rPr>
          <w:rStyle w:val="3"/>
          <w:rFonts w:hint="eastAsia" w:asciiTheme="majorEastAsia" w:hAnsiTheme="majorEastAsia" w:eastAsiaTheme="majorEastAsia" w:cstheme="majorEastAsia"/>
          <w:color w:val="auto"/>
          <w:sz w:val="24"/>
          <w:szCs w:val="24"/>
        </w:rPr>
        <w:fldChar w:fldCharType="end"/>
      </w:r>
    </w:p>
    <w:p>
      <w:pPr>
        <w:pStyle w:val="5"/>
        <w:widowControl/>
        <w:spacing w:line="400" w:lineRule="atLeast"/>
        <w:ind w:firstLine="480" w:firstLineChars="200"/>
        <w:rPr>
          <w:rStyle w:val="3"/>
          <w:rFonts w:hint="eastAsia" w:asciiTheme="majorEastAsia" w:hAnsiTheme="majorEastAsia" w:eastAsiaTheme="majorEastAsia" w:cstheme="majorEastAsia"/>
          <w:color w:val="auto"/>
          <w:kern w:val="0"/>
          <w:sz w:val="24"/>
          <w:szCs w:val="24"/>
        </w:rPr>
      </w:pPr>
      <w:r>
        <w:rPr>
          <w:rStyle w:val="3"/>
          <w:rFonts w:hint="eastAsia" w:asciiTheme="majorEastAsia" w:hAnsiTheme="majorEastAsia" w:eastAsiaTheme="majorEastAsia" w:cstheme="majorEastAsia"/>
          <w:color w:val="auto"/>
          <w:sz w:val="24"/>
          <w:szCs w:val="24"/>
        </w:rPr>
        <w:t>4.3 投标人应及时关注网上相关招标信息，如有遗漏招标人概不负责，所造成的投标失败或损失由投标人自行负责。未按规定从湖南省公共资源交易中心进场交易系统下载招标文件的，招标人将拒收其投标。</w:t>
      </w:r>
    </w:p>
    <w:bookmarkEnd w:id="9"/>
    <w:p>
      <w:pPr>
        <w:pStyle w:val="5"/>
        <w:spacing w:line="440" w:lineRule="atLeast"/>
        <w:ind w:firstLine="480" w:firstLineChars="200"/>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4.4 招标文件每套售价</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0</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元，售后不退。</w:t>
      </w:r>
    </w:p>
    <w:p>
      <w:pPr>
        <w:pStyle w:val="5"/>
        <w:keepNext/>
        <w:keepLines/>
        <w:spacing w:before="240" w:after="240" w:line="440" w:lineRule="atLeast"/>
        <w:outlineLvl w:val="1"/>
        <w:rPr>
          <w:rStyle w:val="3"/>
          <w:rFonts w:hint="eastAsia" w:asciiTheme="majorEastAsia" w:hAnsiTheme="majorEastAsia" w:eastAsiaTheme="majorEastAsia" w:cstheme="majorEastAsia"/>
          <w:b/>
          <w:bCs/>
          <w:color w:val="auto"/>
          <w:kern w:val="44"/>
          <w:sz w:val="28"/>
          <w:szCs w:val="28"/>
        </w:rPr>
      </w:pPr>
      <w:bookmarkStart w:id="10" w:name="_Toc503235719"/>
      <w:bookmarkStart w:id="11" w:name="_Toc510015653"/>
      <w:r>
        <w:rPr>
          <w:rStyle w:val="3"/>
          <w:rFonts w:hint="eastAsia" w:asciiTheme="majorEastAsia" w:hAnsiTheme="majorEastAsia" w:eastAsiaTheme="majorEastAsia" w:cstheme="majorEastAsia"/>
          <w:b/>
          <w:bCs/>
          <w:color w:val="auto"/>
          <w:kern w:val="44"/>
          <w:sz w:val="28"/>
          <w:szCs w:val="28"/>
        </w:rPr>
        <w:t>5. 投标文件的递交及相关事宜</w:t>
      </w:r>
      <w:bookmarkEnd w:id="10"/>
      <w:bookmarkEnd w:id="11"/>
    </w:p>
    <w:p>
      <w:pPr>
        <w:pStyle w:val="5"/>
        <w:spacing w:line="400" w:lineRule="atLeast"/>
        <w:ind w:firstLine="480" w:firstLineChars="200"/>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5.1 答疑文件、招标文件修改澄</w:t>
      </w:r>
      <w:r>
        <w:rPr>
          <w:rStyle w:val="3"/>
          <w:rFonts w:hint="eastAsia" w:asciiTheme="majorEastAsia" w:hAnsiTheme="majorEastAsia" w:eastAsiaTheme="majorEastAsia" w:cstheme="majorEastAsia"/>
          <w:color w:val="auto"/>
          <w:sz w:val="24"/>
          <w:szCs w:val="24"/>
          <w:lang w:val="en-US" w:eastAsia="zh-CN"/>
        </w:rPr>
        <w:t>清</w:t>
      </w:r>
      <w:r>
        <w:rPr>
          <w:rStyle w:val="3"/>
          <w:rFonts w:hint="eastAsia" w:asciiTheme="majorEastAsia" w:hAnsiTheme="majorEastAsia" w:eastAsiaTheme="majorEastAsia" w:cstheme="majorEastAsia"/>
          <w:color w:val="auto"/>
          <w:sz w:val="24"/>
          <w:szCs w:val="24"/>
        </w:rPr>
        <w:t>文件将在湖南省公共资源交易服务平</w:t>
      </w:r>
      <w:r>
        <w:rPr>
          <w:rStyle w:val="3"/>
          <w:rFonts w:hint="eastAsia" w:asciiTheme="majorEastAsia" w:hAnsiTheme="majorEastAsia" w:eastAsiaTheme="majorEastAsia" w:cstheme="majorEastAsia"/>
          <w:color w:val="auto"/>
          <w:sz w:val="24"/>
          <w:szCs w:val="24"/>
        </w:rPr>
        <w:fldChar w:fldCharType="begin"/>
      </w:r>
      <w:r>
        <w:rPr>
          <w:rStyle w:val="3"/>
          <w:rFonts w:hint="eastAsia" w:asciiTheme="majorEastAsia" w:hAnsiTheme="majorEastAsia" w:eastAsiaTheme="majorEastAsia" w:cstheme="majorEastAsia"/>
          <w:color w:val="auto"/>
          <w:sz w:val="24"/>
          <w:szCs w:val="24"/>
        </w:rPr>
        <w:instrText xml:space="preserve"> HYPERLINK "http://www.hnsggzy.com/%EF%BC%89%E6%BE%84%E6%B8%85%E4%B8%8E%E4%BF%AE" </w:instrText>
      </w:r>
      <w:r>
        <w:rPr>
          <w:rStyle w:val="3"/>
          <w:rFonts w:hint="eastAsia" w:asciiTheme="majorEastAsia" w:hAnsiTheme="majorEastAsia" w:eastAsiaTheme="majorEastAsia" w:cstheme="majorEastAsia"/>
          <w:color w:val="auto"/>
          <w:sz w:val="24"/>
          <w:szCs w:val="24"/>
        </w:rPr>
        <w:fldChar w:fldCharType="separate"/>
      </w:r>
      <w:r>
        <w:rPr>
          <w:rStyle w:val="3"/>
          <w:rFonts w:hint="eastAsia" w:asciiTheme="majorEastAsia" w:hAnsiTheme="majorEastAsia" w:eastAsiaTheme="majorEastAsia" w:cstheme="majorEastAsia"/>
          <w:color w:val="auto"/>
          <w:sz w:val="24"/>
          <w:szCs w:val="24"/>
        </w:rPr>
        <w:t>台（http://www.hnsggzy.com/）澄清与修改专区网上</w:t>
      </w:r>
      <w:r>
        <w:rPr>
          <w:rStyle w:val="3"/>
          <w:rFonts w:hint="eastAsia" w:asciiTheme="majorEastAsia" w:hAnsiTheme="majorEastAsia" w:eastAsiaTheme="majorEastAsia" w:cstheme="majorEastAsia"/>
          <w:color w:val="auto"/>
          <w:sz w:val="24"/>
          <w:szCs w:val="24"/>
        </w:rPr>
        <w:fldChar w:fldCharType="end"/>
      </w:r>
      <w:r>
        <w:rPr>
          <w:rStyle w:val="3"/>
          <w:rFonts w:hint="eastAsia" w:asciiTheme="majorEastAsia" w:hAnsiTheme="majorEastAsia" w:eastAsiaTheme="majorEastAsia" w:cstheme="majorEastAsia"/>
          <w:color w:val="auto"/>
          <w:sz w:val="24"/>
          <w:szCs w:val="24"/>
        </w:rPr>
        <w:t>发布，敬请获得招标文件的所有投标人关注，恕不另行通知，如有遗漏招标人概不负责，所造成的投标失败或损失由投标人自行负责。</w:t>
      </w:r>
    </w:p>
    <w:p>
      <w:pPr>
        <w:pStyle w:val="5"/>
        <w:spacing w:line="400" w:lineRule="atLeast"/>
        <w:ind w:firstLine="480" w:firstLineChars="200"/>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5.2 投标文件包括加密的电子投标文件和纸质投标文件。投标文件递交截止时间（投标截止时间，下同）为</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2024</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年</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9</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月</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10</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日</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09</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rPr>
        <w:t>时</w:t>
      </w:r>
      <w:r>
        <w:rPr>
          <w:rStyle w:val="3"/>
          <w:rFonts w:hint="eastAsia" w:asciiTheme="majorEastAsia" w:hAnsiTheme="majorEastAsia" w:eastAsiaTheme="majorEastAsia" w:cstheme="majorEastAsia"/>
          <w:color w:val="auto"/>
          <w:sz w:val="24"/>
          <w:szCs w:val="24"/>
          <w:u w:val="single"/>
        </w:rPr>
        <w:t xml:space="preserve"> </w:t>
      </w:r>
      <w:r>
        <w:rPr>
          <w:rStyle w:val="3"/>
          <w:rFonts w:hint="eastAsia" w:asciiTheme="majorEastAsia" w:hAnsiTheme="majorEastAsia" w:eastAsiaTheme="majorEastAsia" w:cstheme="majorEastAsia"/>
          <w:color w:val="auto"/>
          <w:sz w:val="24"/>
          <w:szCs w:val="24"/>
          <w:u w:val="single"/>
          <w:lang w:val="en-US" w:eastAsia="zh-CN"/>
        </w:rPr>
        <w:t>00</w:t>
      </w:r>
      <w:r>
        <w:rPr>
          <w:rStyle w:val="3"/>
          <w:rFonts w:hint="eastAsia" w:asciiTheme="majorEastAsia" w:hAnsiTheme="majorEastAsia" w:eastAsiaTheme="majorEastAsia" w:cstheme="majorEastAsia"/>
          <w:color w:val="auto"/>
          <w:sz w:val="24"/>
          <w:szCs w:val="24"/>
        </w:rPr>
        <w:t>分</w:t>
      </w:r>
      <w:r>
        <w:rPr>
          <w:rStyle w:val="3"/>
          <w:rFonts w:hint="eastAsia" w:asciiTheme="majorEastAsia" w:hAnsiTheme="majorEastAsia" w:eastAsiaTheme="majorEastAsia" w:cstheme="majorEastAsia"/>
          <w:color w:val="auto"/>
          <w:sz w:val="24"/>
          <w:szCs w:val="24"/>
          <w:lang w:eastAsia="zh-CN"/>
        </w:rPr>
        <w:t>（</w:t>
      </w:r>
      <w:r>
        <w:rPr>
          <w:rStyle w:val="3"/>
          <w:rFonts w:hint="eastAsia" w:asciiTheme="majorEastAsia" w:hAnsiTheme="majorEastAsia" w:eastAsiaTheme="majorEastAsia" w:cstheme="majorEastAsia"/>
          <w:color w:val="auto"/>
          <w:sz w:val="24"/>
          <w:szCs w:val="24"/>
          <w:lang w:val="en-US" w:eastAsia="zh-CN"/>
        </w:rPr>
        <w:t>具体时间详见外网</w:t>
      </w:r>
      <w:r>
        <w:rPr>
          <w:rStyle w:val="3"/>
          <w:rFonts w:hint="eastAsia" w:asciiTheme="majorEastAsia" w:hAnsiTheme="majorEastAsia" w:eastAsiaTheme="majorEastAsia" w:cstheme="majorEastAsia"/>
          <w:color w:val="auto"/>
          <w:sz w:val="24"/>
          <w:szCs w:val="24"/>
          <w:lang w:eastAsia="zh-CN"/>
        </w:rPr>
        <w:t>）</w:t>
      </w:r>
      <w:r>
        <w:rPr>
          <w:rStyle w:val="3"/>
          <w:rFonts w:hint="eastAsia" w:asciiTheme="majorEastAsia" w:hAnsiTheme="majorEastAsia" w:eastAsiaTheme="majorEastAsia" w:cstheme="majorEastAsia"/>
          <w:color w:val="auto"/>
          <w:sz w:val="24"/>
          <w:szCs w:val="24"/>
        </w:rPr>
        <w:t>，投标人应当在投标截止时间前，按下列两种方式递交投标文件：</w:t>
      </w:r>
    </w:p>
    <w:p>
      <w:pPr>
        <w:pStyle w:val="5"/>
        <w:spacing w:line="400" w:lineRule="atLeast"/>
        <w:ind w:firstLine="480" w:firstLineChars="200"/>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1）网上递交：投标人应当在投标截止时间前，通过互联网使用CA数字证书登录“电子交易平台”，将加密的电子投标文件上传，并保存上传成功后系统自动生成的电子签收凭证，递交时间即为电子签收凭证时间。逾期未完成上传或未按规定加密的电子投标文件，招标人将拒收。</w:t>
      </w:r>
    </w:p>
    <w:p>
      <w:pPr>
        <w:pStyle w:val="5"/>
        <w:spacing w:line="400" w:lineRule="atLeast"/>
        <w:ind w:firstLine="480" w:firstLineChars="200"/>
        <w:rPr>
          <w:rStyle w:val="3"/>
          <w:rFonts w:hint="eastAsia" w:asciiTheme="majorEastAsia" w:hAnsiTheme="majorEastAsia" w:eastAsiaTheme="majorEastAsia" w:cstheme="majorEastAsia"/>
          <w:color w:val="auto"/>
          <w:sz w:val="24"/>
          <w:szCs w:val="24"/>
          <w:lang w:eastAsia="en-US"/>
        </w:rPr>
      </w:pPr>
      <w:r>
        <w:rPr>
          <w:rStyle w:val="3"/>
          <w:rFonts w:hint="eastAsia" w:asciiTheme="majorEastAsia" w:hAnsiTheme="majorEastAsia" w:eastAsiaTheme="majorEastAsia" w:cstheme="majorEastAsia"/>
          <w:color w:val="auto"/>
          <w:sz w:val="24"/>
          <w:szCs w:val="24"/>
          <w:lang w:eastAsia="en-US"/>
        </w:rPr>
        <w:t>（2）现场递交：原件等资料送达：本次招标实行网上解密和开标，投标人可以远程参与现场开标。招标人允许投标人将投标保函原件和银行查询授权书原件（如有）和银行信贷证明原件（如有）按照招标文件要求密封后（封套注明项目名称、招标编号、投标人名称），采用邮寄方式最晚于开标之日前一日下午17：00 前交招标代理机构签收（以签收时间为准），邮寄地址：</w:t>
      </w:r>
      <w:r>
        <w:rPr>
          <w:rStyle w:val="3"/>
          <w:rFonts w:hint="eastAsia" w:asciiTheme="majorEastAsia" w:hAnsiTheme="majorEastAsia" w:eastAsiaTheme="majorEastAsia" w:cstheme="majorEastAsia"/>
          <w:color w:val="auto"/>
          <w:sz w:val="24"/>
          <w:szCs w:val="24"/>
          <w:lang w:val="en-US" w:eastAsia="zh-CN"/>
        </w:rPr>
        <w:t>长沙市雨花区芙蓉中路二段359号佳天大厦南栋21楼</w:t>
      </w:r>
      <w:r>
        <w:rPr>
          <w:rStyle w:val="3"/>
          <w:rFonts w:hint="eastAsia" w:asciiTheme="majorEastAsia" w:hAnsiTheme="majorEastAsia" w:eastAsiaTheme="majorEastAsia" w:cstheme="majorEastAsia"/>
          <w:color w:val="auto"/>
          <w:sz w:val="24"/>
          <w:szCs w:val="24"/>
          <w:lang w:eastAsia="en-US"/>
        </w:rPr>
        <w:t>，</w:t>
      </w:r>
      <w:r>
        <w:rPr>
          <w:rStyle w:val="3"/>
          <w:rFonts w:hint="eastAsia" w:asciiTheme="majorEastAsia" w:hAnsiTheme="majorEastAsia" w:eastAsiaTheme="majorEastAsia" w:cstheme="majorEastAsia"/>
          <w:color w:val="auto"/>
          <w:sz w:val="24"/>
          <w:szCs w:val="24"/>
          <w:lang w:val="en-US" w:eastAsia="zh-CN"/>
        </w:rPr>
        <w:t>梁驰</w:t>
      </w:r>
      <w:r>
        <w:rPr>
          <w:rStyle w:val="3"/>
          <w:rFonts w:hint="eastAsia" w:asciiTheme="majorEastAsia" w:hAnsiTheme="majorEastAsia" w:eastAsiaTheme="majorEastAsia" w:cstheme="majorEastAsia"/>
          <w:color w:val="auto"/>
          <w:sz w:val="24"/>
          <w:szCs w:val="24"/>
          <w:lang w:eastAsia="en-US"/>
        </w:rPr>
        <w:t xml:space="preserve">收（联系电话 </w:t>
      </w:r>
      <w:r>
        <w:rPr>
          <w:rStyle w:val="3"/>
          <w:rFonts w:hint="eastAsia" w:asciiTheme="majorEastAsia" w:hAnsiTheme="majorEastAsia" w:eastAsiaTheme="majorEastAsia" w:cstheme="majorEastAsia"/>
          <w:color w:val="auto"/>
          <w:sz w:val="24"/>
          <w:szCs w:val="24"/>
          <w:lang w:val="en-US" w:eastAsia="zh-CN"/>
        </w:rPr>
        <w:t>13507414742</w:t>
      </w:r>
      <w:r>
        <w:rPr>
          <w:rStyle w:val="3"/>
          <w:rFonts w:hint="eastAsia" w:asciiTheme="majorEastAsia" w:hAnsiTheme="majorEastAsia" w:eastAsiaTheme="majorEastAsia" w:cstheme="majorEastAsia"/>
          <w:color w:val="auto"/>
          <w:sz w:val="24"/>
          <w:szCs w:val="24"/>
          <w:lang w:eastAsia="en-US"/>
        </w:rPr>
        <w:t>）</w:t>
      </w:r>
    </w:p>
    <w:p>
      <w:pPr>
        <w:pStyle w:val="5"/>
        <w:autoSpaceDE w:val="0"/>
        <w:autoSpaceDN w:val="0"/>
        <w:adjustRightInd w:val="0"/>
        <w:spacing w:line="440" w:lineRule="atLeast"/>
        <w:ind w:firstLine="480"/>
        <w:rPr>
          <w:rStyle w:val="3"/>
          <w:rFonts w:hint="eastAsia" w:asciiTheme="majorEastAsia" w:hAnsiTheme="majorEastAsia" w:eastAsiaTheme="majorEastAsia" w:cstheme="majorEastAsia"/>
          <w:color w:val="auto"/>
          <w:sz w:val="24"/>
          <w:szCs w:val="20"/>
        </w:rPr>
      </w:pPr>
      <w:r>
        <w:rPr>
          <w:rStyle w:val="3"/>
          <w:rFonts w:hint="eastAsia" w:asciiTheme="majorEastAsia" w:hAnsiTheme="majorEastAsia" w:eastAsiaTheme="majorEastAsia" w:cstheme="majorEastAsia"/>
          <w:color w:val="auto"/>
          <w:sz w:val="24"/>
          <w:szCs w:val="24"/>
        </w:rPr>
        <w:t>5.3</w:t>
      </w:r>
      <w:r>
        <w:rPr>
          <w:rStyle w:val="3"/>
          <w:rFonts w:hint="eastAsia" w:asciiTheme="majorEastAsia" w:hAnsiTheme="majorEastAsia" w:eastAsiaTheme="majorEastAsia" w:cstheme="majorEastAsia"/>
          <w:color w:val="auto"/>
          <w:sz w:val="24"/>
          <w:szCs w:val="20"/>
        </w:rPr>
        <w:t xml:space="preserve"> 投标保证金的递交：</w:t>
      </w:r>
    </w:p>
    <w:p>
      <w:pPr>
        <w:pStyle w:val="5"/>
        <w:autoSpaceDE w:val="0"/>
        <w:autoSpaceDN w:val="0"/>
        <w:adjustRightInd w:val="0"/>
        <w:spacing w:line="440" w:lineRule="atLeast"/>
        <w:ind w:firstLine="480"/>
        <w:rPr>
          <w:rStyle w:val="3"/>
          <w:rFonts w:hint="eastAsia" w:asciiTheme="majorEastAsia" w:hAnsiTheme="majorEastAsia" w:eastAsiaTheme="majorEastAsia" w:cstheme="majorEastAsia"/>
          <w:color w:val="auto"/>
          <w:sz w:val="24"/>
          <w:szCs w:val="20"/>
        </w:rPr>
      </w:pPr>
      <w:r>
        <w:rPr>
          <w:rStyle w:val="3"/>
          <w:rFonts w:hint="eastAsia" w:asciiTheme="majorEastAsia" w:hAnsiTheme="majorEastAsia" w:eastAsiaTheme="majorEastAsia" w:cstheme="majorEastAsia"/>
          <w:color w:val="auto"/>
          <w:sz w:val="24"/>
          <w:szCs w:val="20"/>
        </w:rPr>
        <w:t>投标保证金的金额：</w:t>
      </w:r>
      <w:r>
        <w:rPr>
          <w:rStyle w:val="3"/>
          <w:rFonts w:hint="eastAsia" w:asciiTheme="majorEastAsia" w:hAnsiTheme="majorEastAsia" w:eastAsiaTheme="majorEastAsia" w:cstheme="majorEastAsia"/>
          <w:color w:val="auto"/>
          <w:sz w:val="24"/>
          <w:szCs w:val="20"/>
          <w:lang w:val="en-US" w:eastAsia="zh-CN"/>
        </w:rPr>
        <w:t>12</w:t>
      </w:r>
      <w:r>
        <w:rPr>
          <w:rStyle w:val="3"/>
          <w:rFonts w:hint="eastAsia" w:asciiTheme="majorEastAsia" w:hAnsiTheme="majorEastAsia" w:eastAsiaTheme="majorEastAsia" w:cstheme="majorEastAsia"/>
          <w:color w:val="auto"/>
          <w:sz w:val="24"/>
          <w:szCs w:val="20"/>
        </w:rPr>
        <w:t xml:space="preserve"> 万元</w:t>
      </w:r>
    </w:p>
    <w:p>
      <w:pPr>
        <w:pStyle w:val="6"/>
        <w:widowControl/>
        <w:spacing w:before="156" w:line="329" w:lineRule="auto"/>
        <w:ind w:left="36" w:right="0" w:rightChars="0" w:firstLine="498"/>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（1）投标人采用现金或者支票形式提交的投标保证金应当从其基本账户转出， 投标人应在投标截止时间前以转账、电汇、网银方式从投标人基本账户一次性划款到 以下指定投标保证金专用账号上（以到账时间为准）。</w:t>
      </w:r>
    </w:p>
    <w:p>
      <w:pPr>
        <w:pStyle w:val="6"/>
        <w:widowControl/>
        <w:spacing w:before="156" w:afterAutospacing="0" w:line="240" w:lineRule="auto"/>
        <w:ind w:left="36" w:right="0" w:rightChars="0" w:firstLine="498"/>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户    名： 湖南省公共资源交易中心工程建设保证户</w:t>
      </w:r>
    </w:p>
    <w:p>
      <w:pPr>
        <w:pStyle w:val="6"/>
        <w:widowControl/>
        <w:spacing w:beforeAutospacing="0" w:afterAutospacing="0" w:line="240" w:lineRule="auto"/>
        <w:ind w:left="36" w:right="0" w:rightChars="0" w:firstLine="498"/>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 xml:space="preserve">开户银行： 中国农业银行股份有限公司长沙芙蓉区支行 </w:t>
      </w:r>
    </w:p>
    <w:p>
      <w:pPr>
        <w:pStyle w:val="6"/>
        <w:widowControl/>
        <w:spacing w:beforeAutospacing="0" w:afterAutospacing="0" w:line="240" w:lineRule="auto"/>
        <w:ind w:left="36" w:right="0" w:rightChars="0" w:firstLine="498"/>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账    号：180619010400118220010000914</w:t>
      </w:r>
    </w:p>
    <w:p>
      <w:pPr>
        <w:pStyle w:val="6"/>
        <w:widowControl/>
        <w:spacing w:beforeAutospacing="0" w:afterAutospacing="0" w:line="240" w:lineRule="auto"/>
        <w:ind w:left="36" w:right="0" w:rightChars="0" w:firstLine="498"/>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（2）采用银行保函时，应由投标人开立基本账户的银行出具（联合体投标的， 由牵头人开立基本账户的银行出具）保函，与银行查询授权书原件一并在投标截止时 间前交招标人。</w:t>
      </w:r>
    </w:p>
    <w:p>
      <w:pPr>
        <w:pStyle w:val="5"/>
        <w:keepNext/>
        <w:keepLines/>
        <w:spacing w:beforeAutospacing="0" w:afterAutospacing="0" w:line="440" w:lineRule="atLeast"/>
        <w:outlineLvl w:val="1"/>
        <w:rPr>
          <w:rStyle w:val="3"/>
          <w:rFonts w:hint="eastAsia" w:asciiTheme="majorEastAsia" w:hAnsiTheme="majorEastAsia" w:eastAsiaTheme="majorEastAsia" w:cstheme="majorEastAsia"/>
          <w:b/>
          <w:bCs/>
          <w:color w:val="auto"/>
          <w:kern w:val="44"/>
          <w:sz w:val="28"/>
          <w:szCs w:val="28"/>
        </w:rPr>
      </w:pPr>
      <w:bookmarkStart w:id="12" w:name="_Toc517377022"/>
      <w:r>
        <w:rPr>
          <w:rStyle w:val="3"/>
          <w:rFonts w:hint="eastAsia" w:asciiTheme="majorEastAsia" w:hAnsiTheme="majorEastAsia" w:eastAsiaTheme="majorEastAsia" w:cstheme="majorEastAsia"/>
          <w:b/>
          <w:bCs/>
          <w:color w:val="auto"/>
          <w:kern w:val="44"/>
          <w:sz w:val="28"/>
          <w:szCs w:val="28"/>
        </w:rPr>
        <w:t>6．评标办法</w:t>
      </w:r>
      <w:bookmarkEnd w:id="12"/>
    </w:p>
    <w:p>
      <w:pPr>
        <w:pStyle w:val="5"/>
        <w:topLinePunct/>
        <w:spacing w:beforeAutospacing="0" w:afterAutospacing="0" w:line="400" w:lineRule="atLeast"/>
        <w:ind w:firstLine="360" w:firstLineChars="150"/>
        <w:rPr>
          <w:rStyle w:val="3"/>
          <w:rFonts w:hint="eastAsia" w:asciiTheme="majorEastAsia" w:hAnsiTheme="majorEastAsia" w:eastAsiaTheme="majorEastAsia" w:cstheme="majorEastAsia"/>
          <w:color w:val="auto"/>
          <w:sz w:val="24"/>
          <w:szCs w:val="20"/>
        </w:rPr>
      </w:pPr>
      <w:r>
        <w:rPr>
          <w:rStyle w:val="3"/>
          <w:rFonts w:hint="eastAsia" w:asciiTheme="majorEastAsia" w:hAnsiTheme="majorEastAsia" w:eastAsiaTheme="majorEastAsia" w:cstheme="majorEastAsia"/>
          <w:color w:val="auto"/>
          <w:sz w:val="24"/>
          <w:szCs w:val="20"/>
        </w:rPr>
        <w:t>本项目评标办法采用</w:t>
      </w:r>
      <w:r>
        <w:rPr>
          <w:rStyle w:val="3"/>
          <w:rFonts w:hint="eastAsia" w:asciiTheme="majorEastAsia" w:hAnsiTheme="majorEastAsia" w:eastAsiaTheme="majorEastAsia" w:cstheme="majorEastAsia"/>
          <w:color w:val="auto"/>
          <w:sz w:val="24"/>
          <w:szCs w:val="20"/>
          <w:u w:val="single"/>
        </w:rPr>
        <w:t xml:space="preserve"> </w:t>
      </w:r>
      <w:r>
        <w:rPr>
          <w:rStyle w:val="3"/>
          <w:rFonts w:hint="eastAsia" w:asciiTheme="majorEastAsia" w:hAnsiTheme="majorEastAsia" w:eastAsiaTheme="majorEastAsia" w:cstheme="majorEastAsia"/>
          <w:b/>
          <w:bCs/>
          <w:color w:val="auto"/>
          <w:spacing w:val="-2"/>
          <w:sz w:val="24"/>
          <w:szCs w:val="24"/>
          <w:u w:val="single" w:color="auto"/>
        </w:rPr>
        <w:t>综合评估法</w:t>
      </w:r>
      <w:r>
        <w:rPr>
          <w:rStyle w:val="3"/>
          <w:rFonts w:hint="eastAsia" w:asciiTheme="majorEastAsia" w:hAnsiTheme="majorEastAsia" w:eastAsiaTheme="majorEastAsia" w:cstheme="majorEastAsia"/>
          <w:color w:val="auto"/>
          <w:sz w:val="24"/>
          <w:szCs w:val="20"/>
          <w:u w:val="single"/>
        </w:rPr>
        <w:t xml:space="preserve">  </w:t>
      </w:r>
      <w:r>
        <w:rPr>
          <w:rStyle w:val="3"/>
          <w:rFonts w:hint="eastAsia" w:asciiTheme="majorEastAsia" w:hAnsiTheme="majorEastAsia" w:eastAsiaTheme="majorEastAsia" w:cstheme="majorEastAsia"/>
          <w:color w:val="auto"/>
          <w:sz w:val="24"/>
          <w:szCs w:val="20"/>
        </w:rPr>
        <w:t>。</w:t>
      </w:r>
    </w:p>
    <w:p>
      <w:pPr>
        <w:pStyle w:val="5"/>
        <w:keepNext/>
        <w:keepLines/>
        <w:spacing w:beforeAutospacing="0" w:afterAutospacing="0" w:line="440" w:lineRule="atLeast"/>
        <w:outlineLvl w:val="1"/>
        <w:rPr>
          <w:rStyle w:val="3"/>
          <w:rFonts w:hint="eastAsia" w:asciiTheme="majorEastAsia" w:hAnsiTheme="majorEastAsia" w:eastAsiaTheme="majorEastAsia" w:cstheme="majorEastAsia"/>
          <w:b/>
          <w:bCs/>
          <w:color w:val="auto"/>
          <w:kern w:val="44"/>
          <w:sz w:val="28"/>
          <w:szCs w:val="28"/>
        </w:rPr>
      </w:pPr>
      <w:bookmarkStart w:id="13" w:name="_Toc510015654"/>
      <w:bookmarkStart w:id="14" w:name="_Toc503235720"/>
      <w:r>
        <w:rPr>
          <w:rStyle w:val="3"/>
          <w:rFonts w:hint="eastAsia" w:asciiTheme="majorEastAsia" w:hAnsiTheme="majorEastAsia" w:eastAsiaTheme="majorEastAsia" w:cstheme="majorEastAsia"/>
          <w:b/>
          <w:bCs/>
          <w:color w:val="auto"/>
          <w:kern w:val="44"/>
          <w:sz w:val="28"/>
          <w:szCs w:val="28"/>
        </w:rPr>
        <w:t>7. 发布公告的媒介</w:t>
      </w:r>
      <w:bookmarkEnd w:id="13"/>
      <w:bookmarkEnd w:id="14"/>
    </w:p>
    <w:p>
      <w:pPr>
        <w:pStyle w:val="6"/>
        <w:widowControl/>
        <w:spacing w:beforeAutospacing="0" w:afterAutospacing="0" w:line="329" w:lineRule="auto"/>
        <w:ind w:left="0" w:leftChars="0" w:right="0" w:rightChars="0" w:firstLine="498" w:firstLineChars="0"/>
        <w:rPr>
          <w:rStyle w:val="3"/>
          <w:rFonts w:hint="eastAsia" w:asciiTheme="majorEastAsia" w:hAnsiTheme="majorEastAsia" w:eastAsiaTheme="majorEastAsia" w:cstheme="majorEastAsia"/>
          <w:snapToGrid/>
          <w:color w:val="auto"/>
          <w:kern w:val="2"/>
          <w:sz w:val="24"/>
          <w:szCs w:val="24"/>
          <w:lang w:val="en-US" w:eastAsia="en-US" w:bidi="ar-SA"/>
        </w:rPr>
      </w:pPr>
      <w:bookmarkStart w:id="15" w:name="_Toc516774588"/>
      <w:r>
        <w:rPr>
          <w:rStyle w:val="3"/>
          <w:rFonts w:hint="eastAsia" w:asciiTheme="majorEastAsia" w:hAnsiTheme="majorEastAsia" w:eastAsiaTheme="majorEastAsia" w:cstheme="majorEastAsia"/>
          <w:snapToGrid/>
          <w:color w:val="auto"/>
          <w:kern w:val="2"/>
          <w:sz w:val="24"/>
          <w:szCs w:val="24"/>
          <w:lang w:val="en-US" w:eastAsia="en-US" w:bidi="ar-SA"/>
        </w:rPr>
        <w:t>本次招标公告同时在湖南省招标投标监管网：</w:t>
      </w:r>
      <w:r>
        <w:rPr>
          <w:rStyle w:val="3"/>
          <w:rFonts w:hint="eastAsia" w:asciiTheme="majorEastAsia" w:hAnsiTheme="majorEastAsia" w:eastAsiaTheme="majorEastAsia" w:cstheme="majorEastAsia"/>
          <w:snapToGrid/>
          <w:color w:val="auto"/>
          <w:kern w:val="2"/>
          <w:sz w:val="24"/>
          <w:szCs w:val="24"/>
          <w:lang w:val="en-US" w:eastAsia="en-US" w:bidi="ar-SA"/>
        </w:rPr>
        <w:fldChar w:fldCharType="begin"/>
      </w:r>
      <w:r>
        <w:rPr>
          <w:rStyle w:val="3"/>
          <w:rFonts w:hint="eastAsia" w:asciiTheme="majorEastAsia" w:hAnsiTheme="majorEastAsia" w:eastAsiaTheme="majorEastAsia" w:cstheme="majorEastAsia"/>
          <w:snapToGrid/>
          <w:color w:val="auto"/>
          <w:kern w:val="2"/>
          <w:sz w:val="24"/>
          <w:szCs w:val="24"/>
          <w:lang w:val="en-US" w:eastAsia="en-US" w:bidi="ar-SA"/>
        </w:rPr>
        <w:instrText xml:space="preserve"> HYPERLINK "http://www.bidding.hunan.gov.cn/" </w:instrText>
      </w:r>
      <w:r>
        <w:rPr>
          <w:rStyle w:val="3"/>
          <w:rFonts w:hint="eastAsia" w:asciiTheme="majorEastAsia" w:hAnsiTheme="majorEastAsia" w:eastAsiaTheme="majorEastAsia" w:cstheme="majorEastAsia"/>
          <w:snapToGrid/>
          <w:color w:val="auto"/>
          <w:kern w:val="2"/>
          <w:sz w:val="24"/>
          <w:szCs w:val="24"/>
          <w:lang w:val="en-US" w:eastAsia="en-US" w:bidi="ar-SA"/>
        </w:rPr>
        <w:fldChar w:fldCharType="separate"/>
      </w:r>
      <w:r>
        <w:rPr>
          <w:rStyle w:val="3"/>
          <w:rFonts w:hint="eastAsia" w:asciiTheme="majorEastAsia" w:hAnsiTheme="majorEastAsia" w:eastAsiaTheme="majorEastAsia" w:cstheme="majorEastAsia"/>
          <w:snapToGrid/>
          <w:color w:val="auto"/>
          <w:kern w:val="2"/>
          <w:sz w:val="24"/>
          <w:szCs w:val="24"/>
          <w:lang w:val="en-US" w:eastAsia="en-US" w:bidi="ar-SA"/>
        </w:rPr>
        <w:t>http://www.bidding.hunan.gov.cn/，</w:t>
      </w:r>
      <w:r>
        <w:rPr>
          <w:rStyle w:val="3"/>
          <w:rFonts w:hint="eastAsia" w:asciiTheme="majorEastAsia" w:hAnsiTheme="majorEastAsia" w:eastAsiaTheme="majorEastAsia" w:cstheme="majorEastAsia"/>
          <w:snapToGrid/>
          <w:color w:val="auto"/>
          <w:kern w:val="2"/>
          <w:sz w:val="24"/>
          <w:szCs w:val="24"/>
          <w:lang w:val="en-US" w:eastAsia="en-US" w:bidi="ar-SA"/>
        </w:rPr>
        <w:fldChar w:fldCharType="end"/>
      </w:r>
      <w:r>
        <w:rPr>
          <w:rStyle w:val="3"/>
          <w:rFonts w:hint="eastAsia" w:asciiTheme="majorEastAsia" w:hAnsiTheme="majorEastAsia" w:eastAsiaTheme="majorEastAsia" w:cstheme="majorEastAsia"/>
          <w:snapToGrid/>
          <w:color w:val="auto"/>
          <w:kern w:val="2"/>
          <w:sz w:val="24"/>
          <w:szCs w:val="24"/>
          <w:lang w:val="en-US" w:eastAsia="en-US" w:bidi="ar-SA"/>
        </w:rPr>
        <w:t>《湖南省交通运输厅门户网站》（http://jtt.hunan.gov.cn/）</w:t>
      </w:r>
      <w:r>
        <w:rPr>
          <w:rStyle w:val="3"/>
          <w:rFonts w:hint="eastAsia" w:asciiTheme="majorEastAsia" w:hAnsiTheme="majorEastAsia" w:eastAsiaTheme="majorEastAsia" w:cstheme="majorEastAsia"/>
          <w:snapToGrid/>
          <w:color w:val="auto"/>
          <w:kern w:val="2"/>
          <w:sz w:val="24"/>
          <w:szCs w:val="24"/>
          <w:lang w:val="en-US" w:eastAsia="zh-CN" w:bidi="ar-SA"/>
        </w:rPr>
        <w:t>，</w:t>
      </w:r>
      <w:bookmarkStart w:id="18" w:name="_GoBack"/>
      <w:bookmarkEnd w:id="18"/>
      <w:r>
        <w:rPr>
          <w:rStyle w:val="3"/>
          <w:rFonts w:hint="eastAsia" w:asciiTheme="majorEastAsia" w:hAnsiTheme="majorEastAsia" w:eastAsiaTheme="majorEastAsia" w:cstheme="majorEastAsia"/>
          <w:snapToGrid/>
          <w:color w:val="auto"/>
          <w:kern w:val="2"/>
          <w:sz w:val="24"/>
          <w:szCs w:val="24"/>
          <w:lang w:val="en-US" w:eastAsia="en-US" w:bidi="ar-SA"/>
        </w:rPr>
        <w:t>湖南省公共资源交易服务平台（湖南省公共资源交易中心）（</w:t>
      </w:r>
      <w:r>
        <w:rPr>
          <w:rStyle w:val="3"/>
          <w:rFonts w:hint="eastAsia" w:asciiTheme="majorEastAsia" w:hAnsiTheme="majorEastAsia" w:eastAsiaTheme="majorEastAsia" w:cstheme="majorEastAsia"/>
          <w:snapToGrid/>
          <w:color w:val="auto"/>
          <w:kern w:val="2"/>
          <w:sz w:val="24"/>
          <w:szCs w:val="24"/>
          <w:lang w:val="en-US" w:eastAsia="en-US" w:bidi="ar-SA"/>
        </w:rPr>
        <w:fldChar w:fldCharType="begin"/>
      </w:r>
      <w:r>
        <w:rPr>
          <w:rStyle w:val="3"/>
          <w:rFonts w:hint="eastAsia" w:asciiTheme="majorEastAsia" w:hAnsiTheme="majorEastAsia" w:eastAsiaTheme="majorEastAsia" w:cstheme="majorEastAsia"/>
          <w:snapToGrid/>
          <w:color w:val="auto"/>
          <w:kern w:val="2"/>
          <w:sz w:val="24"/>
          <w:szCs w:val="24"/>
          <w:lang w:val="en-US" w:eastAsia="en-US" w:bidi="ar-SA"/>
        </w:rPr>
        <w:instrText xml:space="preserve"> HYPERLINK "http://www.hnsggzy.com" </w:instrText>
      </w:r>
      <w:r>
        <w:rPr>
          <w:rStyle w:val="3"/>
          <w:rFonts w:hint="eastAsia" w:asciiTheme="majorEastAsia" w:hAnsiTheme="majorEastAsia" w:eastAsiaTheme="majorEastAsia" w:cstheme="majorEastAsia"/>
          <w:snapToGrid/>
          <w:color w:val="auto"/>
          <w:kern w:val="2"/>
          <w:sz w:val="24"/>
          <w:szCs w:val="24"/>
          <w:lang w:val="en-US" w:eastAsia="en-US" w:bidi="ar-SA"/>
        </w:rPr>
        <w:fldChar w:fldCharType="separate"/>
      </w:r>
      <w:r>
        <w:rPr>
          <w:rStyle w:val="3"/>
          <w:rFonts w:hint="eastAsia" w:asciiTheme="majorEastAsia" w:hAnsiTheme="majorEastAsia" w:eastAsiaTheme="majorEastAsia" w:cstheme="majorEastAsia"/>
          <w:snapToGrid/>
          <w:color w:val="auto"/>
          <w:kern w:val="2"/>
          <w:sz w:val="24"/>
          <w:szCs w:val="24"/>
          <w:lang w:val="en-US" w:eastAsia="en-US" w:bidi="ar-SA"/>
        </w:rPr>
        <w:t>http://www.hnsggzy.com</w:t>
      </w:r>
      <w:r>
        <w:rPr>
          <w:rStyle w:val="3"/>
          <w:rFonts w:hint="eastAsia" w:asciiTheme="majorEastAsia" w:hAnsiTheme="majorEastAsia" w:eastAsiaTheme="majorEastAsia" w:cstheme="majorEastAsia"/>
          <w:snapToGrid/>
          <w:color w:val="auto"/>
          <w:kern w:val="2"/>
          <w:sz w:val="24"/>
          <w:szCs w:val="24"/>
          <w:lang w:val="en-US" w:eastAsia="en-US" w:bidi="ar-SA"/>
        </w:rPr>
        <w:fldChar w:fldCharType="end"/>
      </w:r>
      <w:r>
        <w:rPr>
          <w:rStyle w:val="3"/>
          <w:rFonts w:hint="eastAsia" w:asciiTheme="majorEastAsia" w:hAnsiTheme="majorEastAsia" w:eastAsiaTheme="majorEastAsia" w:cstheme="majorEastAsia"/>
          <w:snapToGrid/>
          <w:color w:val="auto"/>
          <w:kern w:val="2"/>
          <w:sz w:val="24"/>
          <w:szCs w:val="24"/>
          <w:lang w:val="en-US" w:eastAsia="en-US" w:bidi="ar-SA"/>
        </w:rPr>
        <w:t>）上发布。</w:t>
      </w:r>
    </w:p>
    <w:p>
      <w:pPr>
        <w:pStyle w:val="5"/>
        <w:keepNext/>
        <w:keepLines/>
        <w:spacing w:beforeAutospacing="0" w:afterAutospacing="0" w:line="440" w:lineRule="atLeast"/>
        <w:outlineLvl w:val="1"/>
        <w:rPr>
          <w:rStyle w:val="3"/>
          <w:rFonts w:hint="eastAsia" w:asciiTheme="majorEastAsia" w:hAnsiTheme="majorEastAsia" w:eastAsiaTheme="majorEastAsia" w:cstheme="majorEastAsia"/>
          <w:b/>
          <w:bCs/>
          <w:color w:val="auto"/>
          <w:kern w:val="44"/>
          <w:sz w:val="28"/>
          <w:szCs w:val="28"/>
          <w:lang w:val="en-US" w:eastAsia="en-US"/>
        </w:rPr>
      </w:pPr>
      <w:r>
        <w:rPr>
          <w:rStyle w:val="3"/>
          <w:rFonts w:hint="eastAsia" w:asciiTheme="majorEastAsia" w:hAnsiTheme="majorEastAsia" w:eastAsiaTheme="majorEastAsia" w:cstheme="majorEastAsia"/>
          <w:b/>
          <w:bCs/>
          <w:color w:val="auto"/>
          <w:kern w:val="44"/>
          <w:sz w:val="28"/>
          <w:szCs w:val="28"/>
          <w:lang w:val="en-US" w:eastAsia="en-US"/>
        </w:rPr>
        <w:t>8. 附件</w:t>
      </w:r>
      <w:bookmarkEnd w:id="15"/>
    </w:p>
    <w:p>
      <w:pPr>
        <w:pStyle w:val="5"/>
        <w:topLinePunct/>
        <w:spacing w:beforeAutospacing="0" w:line="440" w:lineRule="atLeast"/>
        <w:ind w:firstLine="480" w:firstLineChars="200"/>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附件1：资格审查条件要求（详见第二章 投标人须知之附录）</w:t>
      </w:r>
    </w:p>
    <w:p>
      <w:pPr>
        <w:pStyle w:val="5"/>
        <w:topLinePunct/>
        <w:spacing w:line="440" w:lineRule="atLeast"/>
        <w:ind w:firstLine="480" w:firstLineChars="200"/>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附件2：评标办法(详见第三章 评标办法)</w:t>
      </w:r>
    </w:p>
    <w:p>
      <w:pPr>
        <w:pStyle w:val="5"/>
        <w:topLinePunct/>
        <w:spacing w:afterAutospacing="0" w:line="440" w:lineRule="atLeast"/>
        <w:ind w:firstLine="480" w:firstLineChars="200"/>
        <w:rPr>
          <w:rStyle w:val="3"/>
          <w:rFonts w:hint="eastAsia" w:asciiTheme="majorEastAsia" w:hAnsiTheme="majorEastAsia" w:eastAsiaTheme="majorEastAsia" w:cstheme="majorEastAsia"/>
          <w:color w:val="auto"/>
          <w:sz w:val="24"/>
          <w:szCs w:val="24"/>
        </w:rPr>
      </w:pPr>
      <w:r>
        <w:rPr>
          <w:rStyle w:val="3"/>
          <w:rFonts w:hint="eastAsia" w:asciiTheme="majorEastAsia" w:hAnsiTheme="majorEastAsia" w:eastAsiaTheme="majorEastAsia" w:cstheme="majorEastAsia"/>
          <w:color w:val="auto"/>
          <w:sz w:val="24"/>
          <w:szCs w:val="24"/>
        </w:rPr>
        <w:t>附件3：项目概况</w:t>
      </w:r>
    </w:p>
    <w:p>
      <w:pPr>
        <w:pStyle w:val="5"/>
        <w:keepNext/>
        <w:keepLines/>
        <w:spacing w:beforeAutospacing="0" w:afterAutospacing="0" w:line="440" w:lineRule="atLeast"/>
        <w:outlineLvl w:val="1"/>
        <w:rPr>
          <w:rStyle w:val="3"/>
          <w:rFonts w:hint="eastAsia" w:asciiTheme="majorEastAsia" w:hAnsiTheme="majorEastAsia" w:eastAsiaTheme="majorEastAsia" w:cstheme="majorEastAsia"/>
          <w:b/>
          <w:bCs/>
          <w:color w:val="auto"/>
          <w:kern w:val="44"/>
          <w:sz w:val="28"/>
          <w:szCs w:val="28"/>
        </w:rPr>
      </w:pPr>
      <w:bookmarkStart w:id="16" w:name="_Toc510015655"/>
      <w:bookmarkStart w:id="17" w:name="_Toc503235721"/>
      <w:r>
        <w:rPr>
          <w:rStyle w:val="3"/>
          <w:rFonts w:hint="eastAsia" w:asciiTheme="majorEastAsia" w:hAnsiTheme="majorEastAsia" w:eastAsiaTheme="majorEastAsia" w:cstheme="majorEastAsia"/>
          <w:b/>
          <w:bCs/>
          <w:color w:val="auto"/>
          <w:kern w:val="44"/>
          <w:sz w:val="28"/>
          <w:szCs w:val="28"/>
        </w:rPr>
        <w:t>9. 联系方式</w:t>
      </w:r>
      <w:bookmarkEnd w:id="16"/>
      <w:bookmarkEnd w:id="17"/>
    </w:p>
    <w:p>
      <w:pPr>
        <w:pStyle w:val="5"/>
        <w:widowControl/>
        <w:kinsoku w:val="0"/>
        <w:autoSpaceDE w:val="0"/>
        <w:autoSpaceDN w:val="0"/>
        <w:adjustRightInd w:val="0"/>
        <w:snapToGrid w:val="0"/>
        <w:spacing w:beforeAutospacing="0" w:afterAutospacing="0" w:line="220" w:lineRule="auto"/>
        <w:ind w:left="519"/>
        <w:jc w:val="left"/>
        <w:textAlignment w:val="baseline"/>
        <w:rPr>
          <w:rStyle w:val="3"/>
          <w:rFonts w:hint="eastAsia" w:asciiTheme="majorEastAsia" w:hAnsiTheme="majorEastAsia" w:eastAsiaTheme="majorEastAsia" w:cstheme="majorEastAsia"/>
          <w:snapToGrid/>
          <w:color w:val="auto"/>
          <w:kern w:val="2"/>
          <w:sz w:val="24"/>
          <w:szCs w:val="24"/>
          <w:lang w:val="en-US" w:eastAsia="zh-CN" w:bidi="ar-SA"/>
        </w:rPr>
      </w:pPr>
      <w:r>
        <w:rPr>
          <w:rStyle w:val="3"/>
          <w:rFonts w:hint="eastAsia" w:asciiTheme="majorEastAsia" w:hAnsiTheme="majorEastAsia" w:eastAsiaTheme="majorEastAsia" w:cstheme="majorEastAsia"/>
          <w:snapToGrid/>
          <w:color w:val="auto"/>
          <w:kern w:val="2"/>
          <w:sz w:val="24"/>
          <w:szCs w:val="24"/>
          <w:lang w:val="en-US" w:eastAsia="en-US" w:bidi="ar-SA"/>
        </w:rPr>
        <w:t>招 标 人：</w:t>
      </w:r>
      <w:r>
        <w:rPr>
          <w:rStyle w:val="3"/>
          <w:rFonts w:hint="eastAsia" w:asciiTheme="majorEastAsia" w:hAnsiTheme="majorEastAsia" w:eastAsiaTheme="majorEastAsia" w:cstheme="majorEastAsia"/>
          <w:snapToGrid/>
          <w:color w:val="auto"/>
          <w:kern w:val="2"/>
          <w:sz w:val="24"/>
          <w:szCs w:val="24"/>
          <w:lang w:val="en-US" w:eastAsia="zh-CN" w:bidi="ar-SA"/>
        </w:rPr>
        <w:t>新化县交通建设投资有限责任公司</w:t>
      </w:r>
    </w:p>
    <w:p>
      <w:pPr>
        <w:pStyle w:val="5"/>
        <w:widowControl/>
        <w:kinsoku w:val="0"/>
        <w:autoSpaceDE w:val="0"/>
        <w:autoSpaceDN w:val="0"/>
        <w:adjustRightInd w:val="0"/>
        <w:snapToGrid w:val="0"/>
        <w:spacing w:beforeAutospacing="0" w:afterAutospacing="0" w:line="311" w:lineRule="auto"/>
        <w:ind w:left="519" w:right="1122" w:rightChars="0" w:hanging="15"/>
        <w:jc w:val="left"/>
        <w:textAlignment w:val="baseline"/>
        <w:rPr>
          <w:rStyle w:val="3"/>
          <w:rFonts w:hint="eastAsia" w:asciiTheme="majorEastAsia" w:hAnsiTheme="majorEastAsia" w:eastAsiaTheme="majorEastAsia" w:cstheme="majorEastAsia"/>
          <w:snapToGrid/>
          <w:color w:val="auto"/>
          <w:kern w:val="2"/>
          <w:sz w:val="24"/>
          <w:szCs w:val="24"/>
          <w:lang w:val="en-US" w:eastAsia="zh-CN" w:bidi="ar-SA"/>
        </w:rPr>
      </w:pPr>
      <w:r>
        <w:rPr>
          <w:rStyle w:val="3"/>
          <w:rFonts w:hint="eastAsia" w:asciiTheme="majorEastAsia" w:hAnsiTheme="majorEastAsia" w:eastAsiaTheme="majorEastAsia" w:cstheme="majorEastAsia"/>
          <w:snapToGrid/>
          <w:color w:val="auto"/>
          <w:kern w:val="2"/>
          <w:sz w:val="24"/>
          <w:szCs w:val="24"/>
          <w:lang w:val="en-US" w:eastAsia="en-US" w:bidi="ar-SA"/>
        </w:rPr>
        <w:t>地   址：</w:t>
      </w:r>
      <w:r>
        <w:rPr>
          <w:rStyle w:val="3"/>
          <w:rFonts w:hint="eastAsia" w:asciiTheme="majorEastAsia" w:hAnsiTheme="majorEastAsia" w:eastAsiaTheme="majorEastAsia" w:cstheme="majorEastAsia"/>
          <w:snapToGrid/>
          <w:color w:val="auto"/>
          <w:kern w:val="2"/>
          <w:sz w:val="24"/>
          <w:szCs w:val="24"/>
          <w:lang w:val="en-US" w:eastAsia="zh-CN" w:bidi="ar-SA"/>
        </w:rPr>
        <w:t>湖南省新化县上渡街道办事处白沙洲路166号</w:t>
      </w:r>
    </w:p>
    <w:p>
      <w:pPr>
        <w:pStyle w:val="5"/>
        <w:widowControl/>
        <w:kinsoku w:val="0"/>
        <w:autoSpaceDE w:val="0"/>
        <w:autoSpaceDN w:val="0"/>
        <w:adjustRightInd w:val="0"/>
        <w:snapToGrid w:val="0"/>
        <w:spacing w:beforeAutospacing="0" w:line="311" w:lineRule="auto"/>
        <w:ind w:left="519" w:right="2622" w:hanging="15"/>
        <w:jc w:val="left"/>
        <w:textAlignment w:val="baseline"/>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联 系 人：</w:t>
      </w:r>
      <w:r>
        <w:rPr>
          <w:rStyle w:val="3"/>
          <w:rFonts w:hint="eastAsia" w:asciiTheme="majorEastAsia" w:hAnsiTheme="majorEastAsia" w:eastAsiaTheme="majorEastAsia" w:cstheme="majorEastAsia"/>
          <w:snapToGrid/>
          <w:color w:val="auto"/>
          <w:kern w:val="2"/>
          <w:sz w:val="24"/>
          <w:szCs w:val="24"/>
          <w:lang w:val="en-US" w:eastAsia="zh-CN" w:bidi="ar-SA"/>
        </w:rPr>
        <w:t>苏</w:t>
      </w:r>
      <w:r>
        <w:rPr>
          <w:rStyle w:val="3"/>
          <w:rFonts w:hint="eastAsia" w:asciiTheme="majorEastAsia" w:hAnsiTheme="majorEastAsia" w:eastAsiaTheme="majorEastAsia" w:cstheme="majorEastAsia"/>
          <w:snapToGrid/>
          <w:color w:val="auto"/>
          <w:kern w:val="2"/>
          <w:sz w:val="24"/>
          <w:szCs w:val="24"/>
          <w:lang w:val="en-US" w:eastAsia="en-US" w:bidi="ar-SA"/>
        </w:rPr>
        <w:t>先生</w:t>
      </w:r>
    </w:p>
    <w:p>
      <w:pPr>
        <w:pStyle w:val="5"/>
        <w:widowControl/>
        <w:kinsoku w:val="0"/>
        <w:autoSpaceDE w:val="0"/>
        <w:autoSpaceDN w:val="0"/>
        <w:adjustRightInd w:val="0"/>
        <w:snapToGrid w:val="0"/>
        <w:spacing w:before="31" w:afterAutospacing="0" w:line="222" w:lineRule="auto"/>
        <w:ind w:left="546"/>
        <w:jc w:val="left"/>
        <w:textAlignment w:val="baseline"/>
        <w:rPr>
          <w:rStyle w:val="3"/>
          <w:rFonts w:hint="eastAsia" w:asciiTheme="majorEastAsia" w:hAnsiTheme="majorEastAsia" w:eastAsiaTheme="majorEastAsia" w:cstheme="majorEastAsia"/>
          <w:snapToGrid/>
          <w:color w:val="auto"/>
          <w:kern w:val="2"/>
          <w:sz w:val="24"/>
          <w:szCs w:val="24"/>
          <w:lang w:val="en-US" w:eastAsia="zh-CN" w:bidi="ar-SA"/>
        </w:rPr>
      </w:pPr>
      <w:r>
        <w:rPr>
          <w:rStyle w:val="3"/>
          <w:rFonts w:hint="eastAsia" w:asciiTheme="majorEastAsia" w:hAnsiTheme="majorEastAsia" w:eastAsiaTheme="majorEastAsia" w:cstheme="majorEastAsia"/>
          <w:snapToGrid/>
          <w:color w:val="auto"/>
          <w:kern w:val="2"/>
          <w:sz w:val="24"/>
          <w:szCs w:val="24"/>
          <w:lang w:val="en-US" w:eastAsia="en-US" w:bidi="ar-SA"/>
        </w:rPr>
        <w:t>电    话：</w:t>
      </w:r>
      <w:r>
        <w:rPr>
          <w:rStyle w:val="3"/>
          <w:rFonts w:hint="eastAsia" w:asciiTheme="majorEastAsia" w:hAnsiTheme="majorEastAsia" w:eastAsiaTheme="majorEastAsia" w:cstheme="majorEastAsia"/>
          <w:snapToGrid/>
          <w:color w:val="auto"/>
          <w:kern w:val="2"/>
          <w:sz w:val="24"/>
          <w:szCs w:val="24"/>
          <w:lang w:val="en-US" w:eastAsia="zh-CN" w:bidi="ar-SA"/>
        </w:rPr>
        <w:t xml:space="preserve">0738-3259118 </w:t>
      </w:r>
    </w:p>
    <w:p>
      <w:pPr>
        <w:pStyle w:val="5"/>
        <w:widowControl/>
        <w:kinsoku w:val="0"/>
        <w:autoSpaceDE w:val="0"/>
        <w:autoSpaceDN w:val="0"/>
        <w:adjustRightInd w:val="0"/>
        <w:snapToGrid w:val="0"/>
        <w:spacing w:beforeAutospacing="0" w:afterAutospacing="0" w:line="220" w:lineRule="auto"/>
        <w:ind w:left="519"/>
        <w:jc w:val="left"/>
        <w:textAlignment w:val="baseline"/>
        <w:rPr>
          <w:rStyle w:val="3"/>
          <w:rFonts w:hint="eastAsia" w:asciiTheme="majorEastAsia" w:hAnsiTheme="majorEastAsia" w:eastAsiaTheme="majorEastAsia" w:cstheme="majorEastAsia"/>
          <w:snapToGrid/>
          <w:color w:val="auto"/>
          <w:kern w:val="2"/>
          <w:sz w:val="24"/>
          <w:szCs w:val="24"/>
          <w:lang w:val="en-US" w:eastAsia="zh-CN" w:bidi="ar-SA"/>
        </w:rPr>
      </w:pPr>
      <w:r>
        <w:rPr>
          <w:rStyle w:val="3"/>
          <w:rFonts w:hint="eastAsia" w:asciiTheme="majorEastAsia" w:hAnsiTheme="majorEastAsia" w:eastAsiaTheme="majorEastAsia" w:cstheme="majorEastAsia"/>
          <w:snapToGrid/>
          <w:color w:val="auto"/>
          <w:kern w:val="2"/>
          <w:sz w:val="24"/>
          <w:szCs w:val="24"/>
          <w:lang w:val="en-US" w:eastAsia="en-US" w:bidi="ar-SA"/>
        </w:rPr>
        <w:t>招标代理：</w:t>
      </w:r>
      <w:r>
        <w:rPr>
          <w:rStyle w:val="3"/>
          <w:rFonts w:hint="eastAsia" w:asciiTheme="majorEastAsia" w:hAnsiTheme="majorEastAsia" w:eastAsiaTheme="majorEastAsia" w:cstheme="majorEastAsia"/>
          <w:snapToGrid/>
          <w:color w:val="auto"/>
          <w:kern w:val="2"/>
          <w:sz w:val="24"/>
          <w:szCs w:val="24"/>
          <w:lang w:val="en-US" w:eastAsia="zh-CN" w:bidi="ar-SA"/>
        </w:rPr>
        <w:t>湖南纵达工程咨询有限公司</w:t>
      </w:r>
    </w:p>
    <w:p>
      <w:pPr>
        <w:pStyle w:val="5"/>
        <w:widowControl/>
        <w:kinsoku w:val="0"/>
        <w:autoSpaceDE w:val="0"/>
        <w:autoSpaceDN w:val="0"/>
        <w:adjustRightInd w:val="0"/>
        <w:snapToGrid w:val="0"/>
        <w:spacing w:beforeAutospacing="0" w:line="219" w:lineRule="auto"/>
        <w:ind w:left="518"/>
        <w:jc w:val="left"/>
        <w:textAlignment w:val="baseline"/>
        <w:rPr>
          <w:rStyle w:val="3"/>
          <w:rFonts w:hint="eastAsia" w:asciiTheme="majorEastAsia" w:hAnsiTheme="majorEastAsia" w:eastAsiaTheme="majorEastAsia" w:cstheme="majorEastAsia"/>
          <w:snapToGrid/>
          <w:color w:val="auto"/>
          <w:kern w:val="2"/>
          <w:sz w:val="24"/>
          <w:szCs w:val="24"/>
          <w:lang w:val="en-US" w:eastAsia="zh-CN" w:bidi="ar-SA"/>
        </w:rPr>
      </w:pPr>
      <w:r>
        <w:rPr>
          <w:rStyle w:val="3"/>
          <w:rFonts w:hint="eastAsia" w:asciiTheme="majorEastAsia" w:hAnsiTheme="majorEastAsia" w:eastAsiaTheme="majorEastAsia" w:cstheme="majorEastAsia"/>
          <w:snapToGrid/>
          <w:color w:val="auto"/>
          <w:kern w:val="2"/>
          <w:sz w:val="24"/>
          <w:szCs w:val="24"/>
          <w:lang w:val="en-US" w:eastAsia="en-US" w:bidi="ar-SA"/>
        </w:rPr>
        <w:t>地    址：</w:t>
      </w:r>
      <w:r>
        <w:rPr>
          <w:rStyle w:val="3"/>
          <w:rFonts w:hint="eastAsia" w:asciiTheme="majorEastAsia" w:hAnsiTheme="majorEastAsia" w:eastAsiaTheme="majorEastAsia" w:cstheme="majorEastAsia"/>
          <w:snapToGrid/>
          <w:color w:val="auto"/>
          <w:kern w:val="2"/>
          <w:sz w:val="24"/>
          <w:szCs w:val="24"/>
          <w:lang w:val="en-US" w:eastAsia="zh-CN" w:bidi="ar-SA"/>
        </w:rPr>
        <w:t>长沙市雨花区芙蓉中路二段359号佳天大厦南栋</w:t>
      </w:r>
    </w:p>
    <w:p>
      <w:pPr>
        <w:pStyle w:val="5"/>
        <w:widowControl/>
        <w:kinsoku w:val="0"/>
        <w:autoSpaceDE w:val="0"/>
        <w:autoSpaceDN w:val="0"/>
        <w:adjustRightInd w:val="0"/>
        <w:snapToGrid w:val="0"/>
        <w:spacing w:before="138" w:line="220" w:lineRule="auto"/>
        <w:ind w:left="519"/>
        <w:jc w:val="left"/>
        <w:textAlignment w:val="baseline"/>
        <w:rPr>
          <w:rStyle w:val="3"/>
          <w:rFonts w:hint="eastAsia" w:asciiTheme="majorEastAsia" w:hAnsiTheme="majorEastAsia" w:eastAsiaTheme="majorEastAsia" w:cstheme="majorEastAsia"/>
          <w:snapToGrid/>
          <w:color w:val="auto"/>
          <w:kern w:val="2"/>
          <w:sz w:val="24"/>
          <w:szCs w:val="24"/>
          <w:lang w:val="en-US" w:eastAsia="zh-CN" w:bidi="ar-SA"/>
        </w:rPr>
      </w:pPr>
      <w:r>
        <w:rPr>
          <w:rStyle w:val="3"/>
          <w:rFonts w:hint="eastAsia" w:asciiTheme="majorEastAsia" w:hAnsiTheme="majorEastAsia" w:eastAsiaTheme="majorEastAsia" w:cstheme="majorEastAsia"/>
          <w:snapToGrid/>
          <w:color w:val="auto"/>
          <w:kern w:val="2"/>
          <w:sz w:val="24"/>
          <w:szCs w:val="24"/>
          <w:lang w:val="en-US" w:eastAsia="en-US" w:bidi="ar-SA"/>
        </w:rPr>
        <w:t>联 系 人：</w:t>
      </w:r>
      <w:r>
        <w:rPr>
          <w:rStyle w:val="3"/>
          <w:rFonts w:hint="eastAsia" w:asciiTheme="majorEastAsia" w:hAnsiTheme="majorEastAsia" w:eastAsiaTheme="majorEastAsia" w:cstheme="majorEastAsia"/>
          <w:snapToGrid/>
          <w:color w:val="auto"/>
          <w:kern w:val="2"/>
          <w:sz w:val="24"/>
          <w:szCs w:val="24"/>
          <w:lang w:val="en-US" w:eastAsia="zh-CN" w:bidi="ar-SA"/>
        </w:rPr>
        <w:t>罗春莹</w:t>
      </w:r>
      <w:r>
        <w:rPr>
          <w:rStyle w:val="3"/>
          <w:rFonts w:hint="eastAsia" w:asciiTheme="majorEastAsia" w:hAnsiTheme="majorEastAsia" w:eastAsiaTheme="majorEastAsia" w:cstheme="majorEastAsia"/>
          <w:snapToGrid/>
          <w:color w:val="auto"/>
          <w:kern w:val="2"/>
          <w:sz w:val="24"/>
          <w:szCs w:val="24"/>
          <w:lang w:val="en-US" w:eastAsia="en-US" w:bidi="ar-SA"/>
        </w:rPr>
        <w:t xml:space="preserve">（项目负责人）   </w:t>
      </w:r>
      <w:r>
        <w:rPr>
          <w:rStyle w:val="3"/>
          <w:rFonts w:hint="eastAsia" w:asciiTheme="majorEastAsia" w:hAnsiTheme="majorEastAsia" w:eastAsiaTheme="majorEastAsia" w:cstheme="majorEastAsia"/>
          <w:snapToGrid/>
          <w:color w:val="auto"/>
          <w:kern w:val="2"/>
          <w:sz w:val="24"/>
          <w:szCs w:val="24"/>
          <w:lang w:val="en-US" w:eastAsia="zh-CN" w:bidi="ar-SA"/>
        </w:rPr>
        <w:t>梁驰   罗林慧</w:t>
      </w:r>
    </w:p>
    <w:p>
      <w:pPr>
        <w:pStyle w:val="5"/>
        <w:widowControl/>
        <w:kinsoku w:val="0"/>
        <w:autoSpaceDE w:val="0"/>
        <w:autoSpaceDN w:val="0"/>
        <w:adjustRightInd w:val="0"/>
        <w:snapToGrid w:val="0"/>
        <w:spacing w:before="132" w:line="222" w:lineRule="auto"/>
        <w:ind w:left="546"/>
        <w:jc w:val="left"/>
        <w:textAlignment w:val="baseline"/>
        <w:rPr>
          <w:rStyle w:val="3"/>
          <w:rFonts w:hint="eastAsia" w:asciiTheme="majorEastAsia" w:hAnsiTheme="majorEastAsia" w:eastAsiaTheme="majorEastAsia" w:cstheme="majorEastAsia"/>
          <w:snapToGrid/>
          <w:color w:val="auto"/>
          <w:kern w:val="2"/>
          <w:sz w:val="24"/>
          <w:szCs w:val="24"/>
          <w:lang w:val="en-US" w:eastAsia="zh-CN" w:bidi="ar-SA"/>
        </w:rPr>
      </w:pPr>
      <w:r>
        <w:rPr>
          <w:rStyle w:val="3"/>
          <w:rFonts w:hint="eastAsia" w:asciiTheme="majorEastAsia" w:hAnsiTheme="majorEastAsia" w:eastAsiaTheme="majorEastAsia" w:cstheme="majorEastAsia"/>
          <w:snapToGrid/>
          <w:color w:val="auto"/>
          <w:kern w:val="2"/>
          <w:sz w:val="24"/>
          <w:szCs w:val="24"/>
          <w:lang w:val="en-US" w:eastAsia="en-US" w:bidi="ar-SA"/>
        </w:rPr>
        <w:t>电    话：0731-</w:t>
      </w:r>
      <w:r>
        <w:rPr>
          <w:rStyle w:val="3"/>
          <w:rFonts w:hint="eastAsia" w:asciiTheme="majorEastAsia" w:hAnsiTheme="majorEastAsia" w:eastAsiaTheme="majorEastAsia" w:cstheme="majorEastAsia"/>
          <w:snapToGrid/>
          <w:color w:val="auto"/>
          <w:kern w:val="2"/>
          <w:sz w:val="24"/>
          <w:szCs w:val="24"/>
          <w:lang w:val="en-US" w:eastAsia="zh-CN" w:bidi="ar-SA"/>
        </w:rPr>
        <w:t>85515191</w:t>
      </w:r>
    </w:p>
    <w:p>
      <w:pPr>
        <w:pStyle w:val="5"/>
        <w:widowControl/>
        <w:kinsoku w:val="0"/>
        <w:autoSpaceDE w:val="0"/>
        <w:autoSpaceDN w:val="0"/>
        <w:adjustRightInd w:val="0"/>
        <w:snapToGrid w:val="0"/>
        <w:spacing w:before="133" w:line="220" w:lineRule="auto"/>
        <w:ind w:left="519"/>
        <w:jc w:val="left"/>
        <w:textAlignment w:val="baseline"/>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监督部门：湖南省交通运输厅</w:t>
      </w:r>
    </w:p>
    <w:p>
      <w:pPr>
        <w:pStyle w:val="5"/>
        <w:widowControl/>
        <w:kinsoku w:val="0"/>
        <w:autoSpaceDE w:val="0"/>
        <w:autoSpaceDN w:val="0"/>
        <w:adjustRightInd w:val="0"/>
        <w:snapToGrid w:val="0"/>
        <w:spacing w:before="79" w:line="220" w:lineRule="auto"/>
        <w:ind w:left="519"/>
        <w:jc w:val="left"/>
        <w:textAlignment w:val="baseline"/>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 xml:space="preserve">地    址：长沙市湘府西路 199 号 </w:t>
      </w:r>
    </w:p>
    <w:p>
      <w:pPr>
        <w:pStyle w:val="5"/>
        <w:widowControl/>
        <w:kinsoku w:val="0"/>
        <w:autoSpaceDE w:val="0"/>
        <w:autoSpaceDN w:val="0"/>
        <w:adjustRightInd w:val="0"/>
        <w:snapToGrid w:val="0"/>
        <w:spacing w:before="79" w:line="220" w:lineRule="auto"/>
        <w:ind w:left="519"/>
        <w:jc w:val="left"/>
        <w:textAlignment w:val="baseline"/>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电    话：0731-88770091</w:t>
      </w:r>
    </w:p>
    <w:p>
      <w:pPr>
        <w:pStyle w:val="5"/>
        <w:widowControl/>
        <w:kinsoku w:val="0"/>
        <w:autoSpaceDE w:val="0"/>
        <w:autoSpaceDN w:val="0"/>
        <w:adjustRightInd w:val="0"/>
        <w:snapToGrid w:val="0"/>
        <w:spacing w:before="79" w:line="220" w:lineRule="auto"/>
        <w:ind w:left="519"/>
        <w:jc w:val="left"/>
        <w:textAlignment w:val="baseline"/>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 xml:space="preserve">传    真：0731-88770094 </w:t>
      </w:r>
    </w:p>
    <w:p>
      <w:pPr>
        <w:pStyle w:val="5"/>
        <w:widowControl/>
        <w:kinsoku w:val="0"/>
        <w:autoSpaceDE w:val="0"/>
        <w:autoSpaceDN w:val="0"/>
        <w:adjustRightInd w:val="0"/>
        <w:snapToGrid w:val="0"/>
        <w:spacing w:before="79" w:line="220" w:lineRule="auto"/>
        <w:ind w:left="519"/>
        <w:jc w:val="left"/>
        <w:textAlignment w:val="baseline"/>
        <w:rPr>
          <w:rStyle w:val="3"/>
          <w:rFonts w:hint="eastAsia" w:asciiTheme="majorEastAsia" w:hAnsiTheme="majorEastAsia" w:eastAsiaTheme="majorEastAsia" w:cstheme="majorEastAsia"/>
          <w:snapToGrid/>
          <w:color w:val="auto"/>
          <w:kern w:val="2"/>
          <w:sz w:val="24"/>
          <w:szCs w:val="24"/>
          <w:lang w:val="en-US" w:eastAsia="en-US" w:bidi="ar-SA"/>
        </w:rPr>
      </w:pPr>
      <w:r>
        <w:rPr>
          <w:rStyle w:val="3"/>
          <w:rFonts w:hint="eastAsia" w:asciiTheme="majorEastAsia" w:hAnsiTheme="majorEastAsia" w:eastAsiaTheme="majorEastAsia" w:cstheme="majorEastAsia"/>
          <w:snapToGrid/>
          <w:color w:val="auto"/>
          <w:kern w:val="2"/>
          <w:sz w:val="24"/>
          <w:szCs w:val="24"/>
          <w:lang w:val="en-US" w:eastAsia="en-US" w:bidi="ar-SA"/>
        </w:rPr>
        <w:t>邮政编码：410004</w:t>
      </w:r>
    </w:p>
    <w:p>
      <w:pPr>
        <w:pStyle w:val="5"/>
        <w:widowControl/>
        <w:kinsoku w:val="0"/>
        <w:autoSpaceDE w:val="0"/>
        <w:autoSpaceDN w:val="0"/>
        <w:adjustRightInd w:val="0"/>
        <w:snapToGrid w:val="0"/>
        <w:spacing w:before="79" w:line="220" w:lineRule="auto"/>
        <w:ind w:left="519"/>
        <w:jc w:val="left"/>
        <w:textAlignment w:val="baseline"/>
        <w:rPr>
          <w:rStyle w:val="3"/>
          <w:rFonts w:hint="eastAsia" w:asciiTheme="majorEastAsia" w:hAnsiTheme="majorEastAsia" w:eastAsiaTheme="majorEastAsia" w:cstheme="majorEastAsia"/>
          <w:snapToGrid/>
          <w:color w:val="auto"/>
          <w:kern w:val="2"/>
          <w:sz w:val="24"/>
          <w:szCs w:val="24"/>
          <w:lang w:val="en-US" w:eastAsia="en-US" w:bidi="ar-SA"/>
        </w:rPr>
      </w:pPr>
    </w:p>
    <w:p>
      <w:pPr>
        <w:pStyle w:val="5"/>
        <w:widowControl/>
        <w:kinsoku w:val="0"/>
        <w:autoSpaceDE w:val="0"/>
        <w:autoSpaceDN w:val="0"/>
        <w:adjustRightInd w:val="0"/>
        <w:snapToGrid w:val="0"/>
        <w:spacing w:before="79" w:line="220" w:lineRule="auto"/>
        <w:ind w:left="519"/>
        <w:jc w:val="left"/>
        <w:textAlignment w:val="baseline"/>
        <w:rPr>
          <w:rStyle w:val="3"/>
          <w:rFonts w:hint="eastAsia" w:asciiTheme="majorEastAsia" w:hAnsiTheme="majorEastAsia" w:eastAsiaTheme="majorEastAsia" w:cstheme="majorEastAsia"/>
          <w:snapToGrid/>
          <w:color w:val="auto"/>
          <w:kern w:val="2"/>
          <w:sz w:val="24"/>
          <w:szCs w:val="24"/>
          <w:lang w:val="en-US" w:eastAsia="en-US" w:bidi="ar-SA"/>
        </w:rPr>
      </w:pPr>
    </w:p>
    <w:p>
      <w:pPr>
        <w:rPr>
          <w:rFonts w:hint="eastAsia" w:asciiTheme="majorEastAsia" w:hAnsiTheme="majorEastAsia" w:eastAsiaTheme="majorEastAsia" w:cstheme="major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ZWEwYTNkZGM0YWU4ZjhiNTkyM2YxYjYyYzZjM2EifQ=="/>
  </w:docVars>
  <w:rsids>
    <w:rsidRoot w:val="00000000"/>
    <w:rsid w:val="069D7E4F"/>
    <w:rsid w:val="099E5A85"/>
    <w:rsid w:val="24FE5B05"/>
    <w:rsid w:val="352E7872"/>
    <w:rsid w:val="36453593"/>
    <w:rsid w:val="386E5BFC"/>
    <w:rsid w:val="390B20F6"/>
    <w:rsid w:val="3A257964"/>
    <w:rsid w:val="521967D5"/>
    <w:rsid w:val="5E59557E"/>
    <w:rsid w:val="61161664"/>
    <w:rsid w:val="618D5C6B"/>
    <w:rsid w:val="6C9251D0"/>
    <w:rsid w:val="6CD87E67"/>
    <w:rsid w:val="76A7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文本_0"/>
    <w:autoRedefine/>
    <w:semiHidden/>
    <w:qFormat/>
    <w:uiPriority w:val="0"/>
    <w:pPr>
      <w:kinsoku w:val="0"/>
      <w:autoSpaceDE w:val="0"/>
      <w:autoSpaceDN w:val="0"/>
      <w:adjustRightInd w:val="0"/>
      <w:snapToGrid w:val="0"/>
      <w:spacing w:line="240" w:lineRule="auto"/>
      <w:jc w:val="left"/>
      <w:textAlignment w:val="baseline"/>
    </w:pPr>
    <w:rPr>
      <w:rFonts w:ascii="黑体" w:hAnsi="黑体" w:eastAsia="黑体" w:cs="黑体"/>
      <w:snapToGrid w:val="0"/>
      <w:color w:val="000000"/>
      <w:kern w:val="0"/>
      <w:sz w:val="27"/>
      <w:szCs w:val="27"/>
      <w:lang w:val="en-US" w:eastAsia="en-US" w:bidi="ar-SA"/>
    </w:rPr>
  </w:style>
  <w:style w:type="paragraph" w:customStyle="1" w:styleId="7">
    <w:name w:val="脚注文本_0"/>
    <w:basedOn w:val="5"/>
    <w:autoRedefine/>
    <w:unhideWhenUsed/>
    <w:qFormat/>
    <w:uiPriority w:val="99"/>
    <w:pPr>
      <w:snapToGrid w:val="0"/>
      <w:jc w:val="left"/>
    </w:pPr>
    <w:rPr>
      <w:sz w:val="18"/>
      <w:szCs w:val="18"/>
    </w:rPr>
  </w:style>
  <w:style w:type="character" w:customStyle="1" w:styleId="8">
    <w:name w:val="脚注引用_0"/>
    <w:autoRedefine/>
    <w:qFormat/>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2024-08-14T02:30:00Z</dcterms:created>
  <dc:creator>Administrator</dc:creator>
  <cp:lastModifiedBy>Administrator</cp:lastModifiedBy>
  <dcterms:modified xsi:type="dcterms:W3CDTF">2024-08-15T02:44:02Z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0F13192ABFDA4035968E99A682B79C7D_12</vt:lpwstr>
  </property>
</Properties>
</file>