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kinsoku w:val="0"/>
        <w:autoSpaceDE w:val="0"/>
        <w:autoSpaceDN w:val="0"/>
        <w:adjustRightInd w:val="0"/>
        <w:snapToGrid w:val="0"/>
        <w:spacing w:before="98" w:line="284" w:lineRule="auto"/>
        <w:ind w:right="465"/>
        <w:jc w:val="center"/>
        <w:textAlignment w:val="baseline"/>
        <w:rPr>
          <w:rStyle w:val="7"/>
          <w:rFonts w:ascii="宋体" w:hAnsi="宋体" w:eastAsia="宋体" w:cs="宋体"/>
          <w:snapToGrid w:val="0"/>
          <w:color w:val="auto"/>
          <w:spacing w:val="-6"/>
          <w:kern w:val="0"/>
          <w:sz w:val="30"/>
          <w:szCs w:val="30"/>
        </w:rPr>
      </w:pPr>
      <w:r>
        <w:rPr>
          <w:rStyle w:val="7"/>
          <w:rFonts w:ascii="宋体" w:hAnsi="宋体" w:eastAsia="宋体" w:cs="宋体"/>
          <w:snapToGrid w:val="0"/>
          <w:color w:val="auto"/>
          <w:spacing w:val="-6"/>
          <w:kern w:val="0"/>
          <w:sz w:val="30"/>
          <w:szCs w:val="30"/>
        </w:rPr>
        <w:t>许广高速茶亭互通至长沙绕城高速公路 CCS</w:t>
      </w:r>
      <w:r>
        <w:rPr>
          <w:rStyle w:val="7"/>
          <w:rFonts w:ascii="宋体" w:hAnsi="宋体" w:eastAsia="宋体" w:cs="宋体"/>
          <w:snapToGrid w:val="0"/>
          <w:color w:val="auto"/>
          <w:spacing w:val="-2"/>
          <w:kern w:val="0"/>
          <w:sz w:val="30"/>
          <w:szCs w:val="30"/>
        </w:rPr>
        <w:t>J</w:t>
      </w:r>
      <w:r>
        <w:rPr>
          <w:rStyle w:val="7"/>
          <w:rFonts w:ascii="宋体" w:hAnsi="宋体" w:eastAsia="宋体" w:cs="宋体"/>
          <w:snapToGrid w:val="0"/>
          <w:color w:val="auto"/>
          <w:spacing w:val="-6"/>
          <w:kern w:val="0"/>
          <w:sz w:val="30"/>
          <w:szCs w:val="30"/>
        </w:rPr>
        <w:t>01 标段</w:t>
      </w:r>
    </w:p>
    <w:p>
      <w:pPr>
        <w:pStyle w:val="9"/>
        <w:widowControl/>
        <w:kinsoku w:val="0"/>
        <w:autoSpaceDE w:val="0"/>
        <w:autoSpaceDN w:val="0"/>
        <w:adjustRightInd w:val="0"/>
        <w:snapToGrid w:val="0"/>
        <w:spacing w:before="98" w:line="284" w:lineRule="auto"/>
        <w:ind w:right="465"/>
        <w:jc w:val="center"/>
        <w:textAlignment w:val="baseline"/>
        <w:rPr>
          <w:rStyle w:val="7"/>
          <w:rFonts w:ascii="宋体" w:hAnsi="宋体" w:eastAsia="宋体" w:cs="宋体"/>
          <w:snapToGrid w:val="0"/>
          <w:color w:val="auto"/>
          <w:kern w:val="0"/>
          <w:sz w:val="30"/>
          <w:szCs w:val="30"/>
        </w:rPr>
      </w:pPr>
      <w:r>
        <w:rPr>
          <w:rStyle w:val="7"/>
          <w:rFonts w:ascii="宋体" w:hAnsi="宋体" w:eastAsia="宋体" w:cs="宋体"/>
          <w:snapToGrid w:val="0"/>
          <w:color w:val="auto"/>
          <w:spacing w:val="-1"/>
          <w:kern w:val="0"/>
          <w:sz w:val="30"/>
          <w:szCs w:val="30"/>
        </w:rPr>
        <w:t>勘察设计招标</w:t>
      </w:r>
      <w:r>
        <w:rPr>
          <w:rStyle w:val="7"/>
          <w:rFonts w:ascii="宋体" w:hAnsi="宋体" w:eastAsia="宋体" w:cs="宋体"/>
          <w:snapToGrid w:val="0"/>
          <w:color w:val="auto"/>
          <w:kern w:val="0"/>
          <w:sz w:val="30"/>
          <w:szCs w:val="30"/>
        </w:rPr>
        <w:t>公告</w:t>
      </w:r>
      <w:bookmarkStart w:id="66" w:name="_GoBack"/>
      <w:bookmarkEnd w:id="66"/>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3"/>
          <w:kern w:val="0"/>
          <w:sz w:val="27"/>
          <w:szCs w:val="27"/>
        </w:rPr>
        <w:t>1. 招标条</w:t>
      </w:r>
      <w:r>
        <w:rPr>
          <w:rStyle w:val="7"/>
          <w:rFonts w:ascii="宋体" w:hAnsi="宋体" w:eastAsia="宋体" w:cs="宋体"/>
          <w:snapToGrid w:val="0"/>
          <w:color w:val="auto"/>
          <w:spacing w:val="1"/>
          <w:kern w:val="0"/>
          <w:sz w:val="27"/>
          <w:szCs w:val="27"/>
        </w:rPr>
        <w:t>件</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6"/>
          <w:kern w:val="0"/>
          <w:sz w:val="24"/>
          <w:szCs w:val="24"/>
        </w:rPr>
        <w:t>本招</w:t>
      </w:r>
      <w:r>
        <w:rPr>
          <w:rStyle w:val="7"/>
          <w:rFonts w:ascii="宋体" w:hAnsi="宋体" w:eastAsia="宋体" w:cs="宋体"/>
          <w:snapToGrid w:val="0"/>
          <w:color w:val="auto"/>
          <w:spacing w:val="-5"/>
          <w:kern w:val="0"/>
          <w:sz w:val="24"/>
          <w:szCs w:val="24"/>
        </w:rPr>
        <w:t>标</w:t>
      </w:r>
      <w:r>
        <w:rPr>
          <w:rStyle w:val="7"/>
          <w:rFonts w:ascii="宋体" w:hAnsi="宋体" w:eastAsia="宋体" w:cs="宋体"/>
          <w:snapToGrid w:val="0"/>
          <w:color w:val="auto"/>
          <w:spacing w:val="-3"/>
          <w:kern w:val="0"/>
          <w:sz w:val="24"/>
          <w:szCs w:val="24"/>
        </w:rPr>
        <w:t>项目</w:t>
      </w:r>
      <w:r>
        <w:rPr>
          <w:rStyle w:val="7"/>
          <w:rFonts w:ascii="宋体" w:hAnsi="宋体" w:eastAsia="宋体" w:cs="宋体"/>
          <w:snapToGrid w:val="0"/>
          <w:color w:val="auto"/>
          <w:spacing w:val="-3"/>
          <w:kern w:val="0"/>
          <w:sz w:val="24"/>
          <w:szCs w:val="24"/>
          <w:u w:val="single" w:color="auto"/>
        </w:rPr>
        <w:t>许广高速茶亭互通至长沙绕城高速公路</w:t>
      </w:r>
      <w:r>
        <w:rPr>
          <w:rStyle w:val="7"/>
          <w:rFonts w:ascii="宋体" w:hAnsi="宋体" w:eastAsia="宋体" w:cs="宋体"/>
          <w:snapToGrid w:val="0"/>
          <w:color w:val="auto"/>
          <w:spacing w:val="-3"/>
          <w:kern w:val="0"/>
          <w:sz w:val="24"/>
          <w:szCs w:val="24"/>
        </w:rPr>
        <w:t xml:space="preserve"> (以下简称“本项目”)</w:t>
      </w:r>
      <w:r>
        <w:rPr>
          <w:rStyle w:val="7"/>
          <w:rFonts w:ascii="宋体" w:hAnsi="宋体" w:eastAsia="宋体" w:cs="宋体"/>
          <w:snapToGrid w:val="0"/>
          <w:color w:val="auto"/>
          <w:kern w:val="0"/>
          <w:sz w:val="24"/>
          <w:szCs w:val="24"/>
        </w:rPr>
        <w:t xml:space="preserve"> </w:t>
      </w:r>
      <w:r>
        <w:rPr>
          <w:rStyle w:val="7"/>
          <w:rFonts w:hint="eastAsia" w:ascii="宋体" w:hAnsi="宋体" w:eastAsia="宋体" w:cs="宋体"/>
          <w:snapToGrid w:val="0"/>
          <w:color w:val="auto"/>
          <w:spacing w:val="-6"/>
          <w:kern w:val="0"/>
          <w:sz w:val="24"/>
          <w:szCs w:val="24"/>
        </w:rPr>
        <w:t>已由 （</w:t>
      </w:r>
      <w:r>
        <w:rPr>
          <w:rStyle w:val="7"/>
          <w:rFonts w:hint="eastAsia" w:ascii="宋体" w:hAnsi="宋体" w:eastAsia="宋体" w:cs="宋体"/>
          <w:snapToGrid w:val="0"/>
          <w:color w:val="auto"/>
          <w:spacing w:val="-6"/>
          <w:kern w:val="0"/>
          <w:sz w:val="24"/>
          <w:szCs w:val="24"/>
          <w:lang w:val="en-US" w:eastAsia="zh-CN"/>
        </w:rPr>
        <w:t>湖南省发展和改革委员会</w:t>
      </w:r>
      <w:r>
        <w:rPr>
          <w:rStyle w:val="7"/>
          <w:rFonts w:hint="eastAsia" w:ascii="宋体" w:hAnsi="宋体" w:eastAsia="宋体" w:cs="宋体"/>
          <w:snapToGrid w:val="0"/>
          <w:color w:val="auto"/>
          <w:spacing w:val="-6"/>
          <w:kern w:val="0"/>
          <w:sz w:val="24"/>
          <w:szCs w:val="24"/>
        </w:rPr>
        <w:t>）以 （</w:t>
      </w:r>
      <w:r>
        <w:rPr>
          <w:rStyle w:val="7"/>
          <w:rFonts w:hint="eastAsia" w:ascii="宋体" w:hAnsi="宋体" w:eastAsia="宋体" w:cs="宋体"/>
          <w:snapToGrid w:val="0"/>
          <w:color w:val="auto"/>
          <w:spacing w:val="-6"/>
          <w:kern w:val="0"/>
          <w:sz w:val="24"/>
          <w:szCs w:val="24"/>
          <w:lang w:val="en-US" w:eastAsia="zh-CN"/>
        </w:rPr>
        <w:t>湘发改基础【2023】807号</w:t>
      </w:r>
      <w:r>
        <w:rPr>
          <w:rStyle w:val="7"/>
          <w:rFonts w:hint="eastAsia" w:ascii="宋体" w:hAnsi="宋体" w:eastAsia="宋体" w:cs="宋体"/>
          <w:snapToGrid w:val="0"/>
          <w:color w:val="auto"/>
          <w:spacing w:val="-6"/>
          <w:kern w:val="0"/>
          <w:sz w:val="24"/>
          <w:szCs w:val="24"/>
        </w:rPr>
        <w:t>）批准建设，</w:t>
      </w:r>
      <w:r>
        <w:rPr>
          <w:rStyle w:val="7"/>
          <w:rFonts w:ascii="宋体" w:hAnsi="宋体" w:eastAsia="宋体" w:cs="宋体"/>
          <w:snapToGrid w:val="0"/>
          <w:color w:val="auto"/>
          <w:spacing w:val="-3"/>
          <w:kern w:val="0"/>
          <w:sz w:val="24"/>
          <w:szCs w:val="24"/>
        </w:rPr>
        <w:t>项目业主为</w:t>
      </w:r>
      <w:r>
        <w:rPr>
          <w:rStyle w:val="7"/>
          <w:rFonts w:ascii="宋体" w:hAnsi="宋体" w:eastAsia="宋体" w:cs="宋体"/>
          <w:snapToGrid w:val="0"/>
          <w:color w:val="auto"/>
          <w:spacing w:val="-3"/>
          <w:kern w:val="0"/>
          <w:sz w:val="24"/>
          <w:szCs w:val="24"/>
          <w:u w:val="single" w:color="auto"/>
        </w:rPr>
        <w:t>湖南省茶江高速公路建设开发有</w:t>
      </w:r>
      <w:r>
        <w:rPr>
          <w:rStyle w:val="7"/>
          <w:rFonts w:ascii="宋体" w:hAnsi="宋体" w:eastAsia="宋体" w:cs="宋体"/>
          <w:snapToGrid w:val="0"/>
          <w:color w:val="auto"/>
          <w:spacing w:val="-8"/>
          <w:kern w:val="0"/>
          <w:sz w:val="24"/>
          <w:szCs w:val="24"/>
          <w:u w:val="single" w:color="auto"/>
        </w:rPr>
        <w:t>限</w:t>
      </w:r>
      <w:r>
        <w:rPr>
          <w:rStyle w:val="7"/>
          <w:rFonts w:ascii="宋体" w:hAnsi="宋体" w:eastAsia="宋体" w:cs="宋体"/>
          <w:snapToGrid w:val="0"/>
          <w:color w:val="auto"/>
          <w:spacing w:val="-7"/>
          <w:kern w:val="0"/>
          <w:sz w:val="24"/>
          <w:szCs w:val="24"/>
          <w:u w:val="single" w:color="auto"/>
        </w:rPr>
        <w:t>公</w:t>
      </w:r>
      <w:r>
        <w:rPr>
          <w:rStyle w:val="7"/>
          <w:rFonts w:ascii="宋体" w:hAnsi="宋体" w:eastAsia="宋体" w:cs="宋体"/>
          <w:snapToGrid w:val="0"/>
          <w:color w:val="auto"/>
          <w:spacing w:val="-4"/>
          <w:kern w:val="0"/>
          <w:sz w:val="24"/>
          <w:szCs w:val="24"/>
          <w:u w:val="single" w:color="auto"/>
        </w:rPr>
        <w:t>司</w:t>
      </w:r>
      <w:r>
        <w:rPr>
          <w:rStyle w:val="7"/>
          <w:rFonts w:ascii="宋体" w:hAnsi="宋体" w:eastAsia="宋体" w:cs="宋体"/>
          <w:snapToGrid w:val="0"/>
          <w:color w:val="auto"/>
          <w:spacing w:val="-4"/>
          <w:kern w:val="0"/>
          <w:sz w:val="24"/>
          <w:szCs w:val="24"/>
        </w:rPr>
        <w:t>，建设资金来自</w:t>
      </w:r>
      <w:r>
        <w:rPr>
          <w:rStyle w:val="7"/>
          <w:rFonts w:ascii="宋体" w:hAnsi="宋体" w:eastAsia="宋体" w:cs="宋体"/>
          <w:snapToGrid w:val="0"/>
          <w:color w:val="auto"/>
          <w:spacing w:val="-4"/>
          <w:kern w:val="0"/>
          <w:sz w:val="24"/>
          <w:szCs w:val="24"/>
          <w:u w:val="single" w:color="auto"/>
        </w:rPr>
        <w:t>项目单位自筹+贷款</w:t>
      </w:r>
      <w:r>
        <w:rPr>
          <w:rStyle w:val="7"/>
          <w:rFonts w:ascii="宋体" w:hAnsi="宋体" w:eastAsia="宋体" w:cs="宋体"/>
          <w:snapToGrid w:val="0"/>
          <w:color w:val="auto"/>
          <w:spacing w:val="-4"/>
          <w:kern w:val="0"/>
          <w:sz w:val="24"/>
          <w:szCs w:val="24"/>
        </w:rPr>
        <w:t>，出资比例为</w:t>
      </w:r>
      <w:r>
        <w:rPr>
          <w:rStyle w:val="7"/>
          <w:rFonts w:ascii="宋体" w:hAnsi="宋体" w:eastAsia="宋体" w:cs="宋体"/>
          <w:snapToGrid w:val="0"/>
          <w:color w:val="auto"/>
          <w:spacing w:val="-4"/>
          <w:kern w:val="0"/>
          <w:sz w:val="24"/>
          <w:szCs w:val="24"/>
          <w:u w:val="single" w:color="auto"/>
        </w:rPr>
        <w:t>资本金约占总投资20%，</w:t>
      </w:r>
      <w:r>
        <w:rPr>
          <w:rStyle w:val="7"/>
          <w:rFonts w:ascii="宋体" w:hAnsi="宋体" w:eastAsia="宋体" w:cs="宋体"/>
          <w:snapToGrid w:val="0"/>
          <w:color w:val="auto"/>
          <w:spacing w:val="1"/>
          <w:kern w:val="0"/>
          <w:sz w:val="24"/>
          <w:szCs w:val="24"/>
          <w:u w:val="single" w:color="auto"/>
        </w:rPr>
        <w:t>由项目业主自筹，其</w:t>
      </w:r>
      <w:r>
        <w:rPr>
          <w:rStyle w:val="7"/>
          <w:rFonts w:ascii="宋体" w:hAnsi="宋体" w:eastAsia="宋体" w:cs="宋体"/>
          <w:snapToGrid w:val="0"/>
          <w:color w:val="auto"/>
          <w:kern w:val="0"/>
          <w:sz w:val="24"/>
          <w:szCs w:val="24"/>
          <w:u w:val="single" w:color="auto"/>
        </w:rPr>
        <w:t>余资金，由项目单位通过银行贷款解决</w:t>
      </w:r>
      <w:r>
        <w:rPr>
          <w:rStyle w:val="7"/>
          <w:rFonts w:ascii="宋体" w:hAnsi="宋体" w:eastAsia="宋体" w:cs="宋体"/>
          <w:snapToGrid w:val="0"/>
          <w:color w:val="auto"/>
          <w:kern w:val="0"/>
          <w:sz w:val="24"/>
          <w:szCs w:val="24"/>
        </w:rPr>
        <w:t>，招标人为</w:t>
      </w:r>
      <w:r>
        <w:rPr>
          <w:rStyle w:val="7"/>
          <w:rFonts w:ascii="宋体" w:hAnsi="宋体" w:eastAsia="宋体" w:cs="宋体"/>
          <w:snapToGrid w:val="0"/>
          <w:color w:val="auto"/>
          <w:kern w:val="0"/>
          <w:sz w:val="24"/>
          <w:szCs w:val="24"/>
          <w:u w:val="single" w:color="auto"/>
        </w:rPr>
        <w:t>湖南省</w:t>
      </w:r>
      <w:r>
        <w:rPr>
          <w:rStyle w:val="7"/>
          <w:rFonts w:ascii="宋体" w:hAnsi="宋体" w:eastAsia="宋体" w:cs="宋体"/>
          <w:snapToGrid w:val="0"/>
          <w:color w:val="auto"/>
          <w:spacing w:val="-12"/>
          <w:kern w:val="0"/>
          <w:sz w:val="24"/>
          <w:szCs w:val="24"/>
          <w:u w:val="single" w:color="auto"/>
        </w:rPr>
        <w:t>茶</w:t>
      </w:r>
      <w:r>
        <w:rPr>
          <w:rStyle w:val="7"/>
          <w:rFonts w:ascii="宋体" w:hAnsi="宋体" w:eastAsia="宋体" w:cs="宋体"/>
          <w:snapToGrid w:val="0"/>
          <w:color w:val="auto"/>
          <w:spacing w:val="-11"/>
          <w:kern w:val="0"/>
          <w:sz w:val="24"/>
          <w:szCs w:val="24"/>
          <w:u w:val="single" w:color="auto"/>
        </w:rPr>
        <w:t>江</w:t>
      </w:r>
      <w:r>
        <w:rPr>
          <w:rStyle w:val="7"/>
          <w:rFonts w:ascii="宋体" w:hAnsi="宋体" w:eastAsia="宋体" w:cs="宋体"/>
          <w:snapToGrid w:val="0"/>
          <w:color w:val="auto"/>
          <w:spacing w:val="-6"/>
          <w:kern w:val="0"/>
          <w:sz w:val="24"/>
          <w:szCs w:val="24"/>
          <w:u w:val="single" w:color="auto"/>
        </w:rPr>
        <w:t>高速公路建设开发有限公司</w:t>
      </w:r>
      <w:r>
        <w:rPr>
          <w:rStyle w:val="7"/>
          <w:rFonts w:ascii="宋体" w:hAnsi="宋体" w:eastAsia="宋体" w:cs="宋体"/>
          <w:snapToGrid w:val="0"/>
          <w:color w:val="auto"/>
          <w:spacing w:val="-6"/>
          <w:kern w:val="0"/>
          <w:sz w:val="24"/>
          <w:szCs w:val="24"/>
        </w:rPr>
        <w:t>。项目已具备招标条件， 现对该项目的施工图勘</w:t>
      </w:r>
      <w:r>
        <w:rPr>
          <w:rStyle w:val="7"/>
          <w:rFonts w:ascii="宋体" w:hAnsi="宋体" w:eastAsia="宋体" w:cs="宋体"/>
          <w:snapToGrid w:val="0"/>
          <w:color w:val="auto"/>
          <w:spacing w:val="-7"/>
          <w:kern w:val="0"/>
          <w:sz w:val="24"/>
          <w:szCs w:val="24"/>
        </w:rPr>
        <w:t>察</w:t>
      </w:r>
      <w:r>
        <w:rPr>
          <w:rStyle w:val="7"/>
          <w:rFonts w:ascii="宋体" w:hAnsi="宋体" w:eastAsia="宋体" w:cs="宋体"/>
          <w:snapToGrid w:val="0"/>
          <w:color w:val="auto"/>
          <w:spacing w:val="-4"/>
          <w:kern w:val="0"/>
          <w:sz w:val="24"/>
          <w:szCs w:val="24"/>
        </w:rPr>
        <w:t>设计进行公开招标。</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7"/>
          <w:kern w:val="0"/>
          <w:sz w:val="27"/>
          <w:szCs w:val="27"/>
        </w:rPr>
        <w:t>2. 项目概况与招标范</w:t>
      </w:r>
      <w:r>
        <w:rPr>
          <w:rStyle w:val="7"/>
          <w:rFonts w:ascii="宋体" w:hAnsi="宋体" w:eastAsia="宋体" w:cs="宋体"/>
          <w:snapToGrid w:val="0"/>
          <w:color w:val="auto"/>
          <w:spacing w:val="6"/>
          <w:kern w:val="0"/>
          <w:sz w:val="27"/>
          <w:szCs w:val="27"/>
        </w:rPr>
        <w:t>围</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9"/>
          <w:kern w:val="0"/>
          <w:sz w:val="24"/>
          <w:szCs w:val="24"/>
        </w:rPr>
        <w:t>2</w:t>
      </w:r>
      <w:r>
        <w:rPr>
          <w:rStyle w:val="7"/>
          <w:rFonts w:ascii="宋体" w:hAnsi="宋体" w:eastAsia="宋体" w:cs="宋体"/>
          <w:snapToGrid w:val="0"/>
          <w:color w:val="auto"/>
          <w:spacing w:val="-5"/>
          <w:kern w:val="0"/>
          <w:sz w:val="24"/>
          <w:szCs w:val="24"/>
        </w:rPr>
        <w:t>.1 建设地点：湖南省</w:t>
      </w:r>
      <w:r>
        <w:rPr>
          <w:rStyle w:val="7"/>
          <w:rFonts w:ascii="宋体" w:hAnsi="宋体" w:eastAsia="宋体" w:cs="宋体"/>
          <w:snapToGrid w:val="0"/>
          <w:color w:val="auto"/>
          <w:spacing w:val="-5"/>
          <w:kern w:val="0"/>
          <w:sz w:val="24"/>
          <w:szCs w:val="24"/>
          <w:u w:val="single" w:color="auto"/>
        </w:rPr>
        <w:t>长沙市</w:t>
      </w:r>
      <w:r>
        <w:rPr>
          <w:rStyle w:val="7"/>
          <w:rFonts w:ascii="宋体" w:hAnsi="宋体" w:eastAsia="宋体" w:cs="宋体"/>
          <w:snapToGrid w:val="0"/>
          <w:color w:val="auto"/>
          <w:spacing w:val="-5"/>
          <w:kern w:val="0"/>
          <w:sz w:val="24"/>
          <w:szCs w:val="24"/>
        </w:rPr>
        <w:t>境内。</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Style w:val="7"/>
          <w:rFonts w:ascii="宋体" w:hAnsi="宋体" w:eastAsia="宋体" w:cs="宋体"/>
          <w:snapToGrid w:val="0"/>
          <w:color w:val="auto"/>
          <w:spacing w:val="-9"/>
          <w:kern w:val="0"/>
          <w:sz w:val="24"/>
          <w:szCs w:val="24"/>
        </w:rPr>
      </w:pPr>
      <w:r>
        <w:rPr>
          <w:rStyle w:val="7"/>
          <w:rFonts w:ascii="宋体" w:hAnsi="宋体" w:eastAsia="宋体" w:cs="宋体"/>
          <w:snapToGrid w:val="0"/>
          <w:color w:val="auto"/>
          <w:spacing w:val="-9"/>
          <w:kern w:val="0"/>
          <w:sz w:val="24"/>
          <w:szCs w:val="24"/>
        </w:rPr>
        <w:t>2.2 项目建设规模及招标范围：</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Style w:val="7"/>
          <w:rFonts w:ascii="宋体" w:hAnsi="宋体" w:eastAsia="宋体" w:cs="宋体"/>
          <w:snapToGrid w:val="0"/>
          <w:color w:val="auto"/>
          <w:spacing w:val="-9"/>
          <w:kern w:val="0"/>
          <w:sz w:val="24"/>
          <w:szCs w:val="24"/>
        </w:rPr>
      </w:pPr>
      <w:r>
        <w:rPr>
          <w:rStyle w:val="7"/>
          <w:rFonts w:ascii="宋体" w:hAnsi="宋体" w:eastAsia="宋体" w:cs="宋体"/>
          <w:snapToGrid w:val="0"/>
          <w:color w:val="auto"/>
          <w:spacing w:val="-9"/>
          <w:kern w:val="0"/>
          <w:sz w:val="24"/>
          <w:szCs w:val="24"/>
        </w:rPr>
        <w:t>2.2.1 项目概况：</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许广高速茶亭互通至长沙绕城高速公路项目是长沙市往西北方向的一条放射线，沿线途径开福区、望城区等县区，是长沙市与岳阳市之间的一条高速公路，路线全长约 23.19km。路线起于许广高速公路茶亭互通，往东南经望城区、开福区，止于长沙绕城高速捞刀河互通，全线按双向六车道高速公路标准建设，设计速度为 120km/h，路基宽度为 34m。</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主要控制点：茶亭镇、桥驿镇、青竹湖互通、捞刀河枢纽互通。</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本项目主线路线全长约 23.19</w:t>
      </w:r>
      <w:r>
        <w:rPr>
          <w:rStyle w:val="7"/>
          <w:rFonts w:hint="eastAsia" w:ascii="宋体" w:hAnsi="宋体" w:eastAsia="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km</w:t>
      </w:r>
      <w:r>
        <w:rPr>
          <w:rStyle w:val="7"/>
          <w:rFonts w:hint="eastAsia" w:ascii="宋体" w:hAnsi="宋体" w:eastAsia="宋体" w:cs="宋体"/>
          <w:snapToGrid w:val="0"/>
          <w:color w:val="auto"/>
          <w:spacing w:val="0"/>
          <w:kern w:val="0"/>
          <w:position w:val="0"/>
          <w:sz w:val="24"/>
          <w:szCs w:val="24"/>
          <w:lang w:eastAsia="zh-CN"/>
        </w:rPr>
        <w:t>，</w:t>
      </w:r>
      <w:r>
        <w:rPr>
          <w:rStyle w:val="7"/>
          <w:rFonts w:ascii="宋体" w:hAnsi="宋体" w:eastAsia="宋体" w:cs="宋体"/>
          <w:snapToGrid w:val="0"/>
          <w:color w:val="auto"/>
          <w:spacing w:val="0"/>
          <w:kern w:val="0"/>
          <w:position w:val="0"/>
          <w:sz w:val="24"/>
          <w:szCs w:val="24"/>
        </w:rPr>
        <w:t>主线段有土石方约 550 万</w:t>
      </w:r>
      <w:r>
        <w:rPr>
          <w:rStyle w:val="7"/>
          <w:rFonts w:hint="eastAsia" w:ascii="宋体" w:hAnsi="宋体" w:eastAsia="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m³，防护排水约 9 万 m³，铺筑路面约 22 万</w:t>
      </w:r>
      <w:r>
        <w:rPr>
          <w:rStyle w:val="7"/>
          <w:rFonts w:hint="eastAsia" w:ascii="宋体" w:hAnsi="宋体" w:eastAsia="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㎡，设有特大桥、大桥约 7800m/13 座，涵洞约 17 座，隧道约 2105m/3 座，通道约 15 道。设置了互通 4 处 (其中枢纽互通 2 处)，不设服务区，停车区 1 处，管理分中心 1 处，管养工区 1 处，路产基地 1 处，桥隧监控通信站 1 处。征用土地约 246hm²，其中基本农田约 5hm²，原有建设用地约 58hm²，中青路改造约 5.64 公里。</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本项目设置一处桥驿连接线，连接线与桥驿互通 A 匝道相交后，往南与垃圾专用道相连，往北下穿本项目主线后，设置一座上跨京广铁路、沙河的桥梁，利用规划 S324 走廊带，与现状黄桥大道相交。全长 2.24km，采用二级公路技术标准，设计速度 60km/h，路基段宽度为 12m，双向两车道，为预留远期连接线拓宽空间，桥梁段宽度采用 17m。</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连接线全长 2.24km，土石方约 20 万 m³，防护排水约 27 千</w:t>
      </w:r>
      <w:r>
        <w:rPr>
          <w:rStyle w:val="7"/>
          <w:rFonts w:hint="eastAsia" w:ascii="宋体" w:hAnsi="宋体" w:eastAsia="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m³，铺筑路面约 25 千 m</w:t>
      </w:r>
      <w:r>
        <w:rPr>
          <w:rStyle w:val="7"/>
          <w:rFonts w:ascii="宋体" w:hAnsi="宋体" w:eastAsia="宋体" w:cs="宋体"/>
          <w:snapToGrid w:val="0"/>
          <w:color w:val="auto"/>
          <w:spacing w:val="0"/>
          <w:kern w:val="0"/>
          <w:position w:val="0"/>
          <w:sz w:val="12"/>
          <w:szCs w:val="12"/>
        </w:rPr>
        <w:t xml:space="preserve">2 </w:t>
      </w:r>
      <w:r>
        <w:rPr>
          <w:rStyle w:val="7"/>
          <w:rFonts w:ascii="宋体" w:hAnsi="宋体" w:eastAsia="宋体" w:cs="宋体"/>
          <w:snapToGrid w:val="0"/>
          <w:color w:val="auto"/>
          <w:spacing w:val="0"/>
          <w:kern w:val="0"/>
          <w:position w:val="0"/>
          <w:sz w:val="24"/>
          <w:szCs w:val="24"/>
        </w:rPr>
        <w:t>，设有大桥 392m/1座(桥梁宽度 17m，跨京广铁路、沙河)，涵洞 4 道，征用土地约 7.6hm²。</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position w:val="0"/>
          <w:sz w:val="24"/>
          <w:szCs w:val="24"/>
          <w:highlight w:val="none"/>
        </w:rPr>
      </w:pPr>
      <w:r>
        <w:rPr>
          <w:rStyle w:val="7"/>
          <w:rFonts w:ascii="宋体" w:hAnsi="宋体" w:eastAsia="宋体" w:cs="宋体"/>
          <w:snapToGrid w:val="0"/>
          <w:color w:val="auto"/>
          <w:spacing w:val="0"/>
          <w:kern w:val="0"/>
          <w:position w:val="0"/>
          <w:sz w:val="24"/>
          <w:szCs w:val="24"/>
          <w:highlight w:val="none"/>
        </w:rPr>
        <w:t>项目总投资约 7</w:t>
      </w:r>
      <w:r>
        <w:rPr>
          <w:rStyle w:val="7"/>
          <w:rFonts w:hint="eastAsia" w:ascii="宋体" w:hAnsi="宋体" w:eastAsia="宋体" w:cs="宋体"/>
          <w:snapToGrid w:val="0"/>
          <w:color w:val="auto"/>
          <w:spacing w:val="0"/>
          <w:kern w:val="0"/>
          <w:position w:val="0"/>
          <w:sz w:val="24"/>
          <w:szCs w:val="24"/>
          <w:highlight w:val="none"/>
          <w:lang w:val="en-US" w:eastAsia="zh-CN"/>
        </w:rPr>
        <w:t>2.5</w:t>
      </w:r>
      <w:r>
        <w:rPr>
          <w:rStyle w:val="7"/>
          <w:rFonts w:ascii="宋体" w:hAnsi="宋体" w:eastAsia="宋体" w:cs="宋体"/>
          <w:snapToGrid w:val="0"/>
          <w:color w:val="auto"/>
          <w:spacing w:val="0"/>
          <w:kern w:val="0"/>
          <w:position w:val="0"/>
          <w:sz w:val="24"/>
          <w:szCs w:val="24"/>
          <w:highlight w:val="none"/>
        </w:rPr>
        <w:t xml:space="preserve"> 亿元。</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2.2.2 招标范围及标段划分：</w:t>
      </w:r>
    </w:p>
    <w:tbl>
      <w:tblPr>
        <w:tblStyle w:val="11"/>
        <w:tblpPr w:leftFromText="180" w:rightFromText="180" w:vertAnchor="text" w:horzAnchor="page" w:tblpXSpec="center" w:tblpY="467"/>
        <w:tblOverlap w:val="never"/>
        <w:tblW w:w="9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939"/>
        <w:gridCol w:w="1085"/>
        <w:gridCol w:w="5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01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2"/>
                <w:kern w:val="0"/>
                <w:sz w:val="21"/>
                <w:szCs w:val="21"/>
              </w:rPr>
              <w:t>标段</w:t>
            </w:r>
          </w:p>
        </w:tc>
        <w:tc>
          <w:tcPr>
            <w:tcW w:w="193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13"/>
                <w:kern w:val="0"/>
                <w:sz w:val="21"/>
                <w:szCs w:val="21"/>
              </w:rPr>
              <w:t>路线(桩号)</w:t>
            </w:r>
          </w:p>
        </w:tc>
        <w:tc>
          <w:tcPr>
            <w:tcW w:w="1085"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2"/>
                <w:kern w:val="0"/>
                <w:position w:val="7"/>
                <w:sz w:val="21"/>
                <w:szCs w:val="21"/>
              </w:rPr>
              <w:t>长度</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46"/>
                <w:kern w:val="0"/>
                <w:sz w:val="21"/>
                <w:szCs w:val="21"/>
              </w:rPr>
              <w:t>(</w:t>
            </w:r>
            <w:r>
              <w:rPr>
                <w:rStyle w:val="7"/>
                <w:rFonts w:hint="eastAsia" w:ascii="宋体" w:hAnsi="宋体" w:eastAsia="宋体" w:cs="宋体"/>
                <w:snapToGrid w:val="0"/>
                <w:color w:val="auto"/>
                <w:kern w:val="0"/>
                <w:sz w:val="21"/>
                <w:szCs w:val="21"/>
              </w:rPr>
              <w:t>km</w:t>
            </w:r>
            <w:r>
              <w:rPr>
                <w:rStyle w:val="7"/>
                <w:rFonts w:hint="eastAsia" w:ascii="宋体" w:hAnsi="宋体" w:eastAsia="宋体" w:cs="宋体"/>
                <w:snapToGrid w:val="0"/>
                <w:color w:val="auto"/>
                <w:spacing w:val="46"/>
                <w:kern w:val="0"/>
                <w:sz w:val="21"/>
                <w:szCs w:val="21"/>
              </w:rPr>
              <w:t>)</w:t>
            </w:r>
          </w:p>
        </w:tc>
        <w:tc>
          <w:tcPr>
            <w:tcW w:w="5234"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2"/>
                <w:kern w:val="0"/>
                <w:sz w:val="21"/>
                <w:szCs w:val="21"/>
              </w:rPr>
              <w:t>工</w:t>
            </w:r>
            <w:r>
              <w:rPr>
                <w:rStyle w:val="7"/>
                <w:rFonts w:hint="eastAsia" w:ascii="宋体" w:hAnsi="宋体" w:eastAsia="宋体" w:cs="宋体"/>
                <w:snapToGrid w:val="0"/>
                <w:color w:val="auto"/>
                <w:spacing w:val="-1"/>
                <w:kern w:val="0"/>
                <w:sz w:val="21"/>
                <w:szCs w:val="21"/>
              </w:rPr>
              <w:t>作内容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jc w:val="center"/>
        </w:trPr>
        <w:tc>
          <w:tcPr>
            <w:tcW w:w="101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1"/>
                <w:kern w:val="0"/>
                <w:sz w:val="21"/>
                <w:szCs w:val="21"/>
              </w:rPr>
              <w:t>CCSJ</w:t>
            </w:r>
            <w:r>
              <w:rPr>
                <w:rStyle w:val="7"/>
                <w:rFonts w:hint="eastAsia" w:ascii="宋体" w:hAnsi="宋体" w:eastAsia="宋体" w:cs="宋体"/>
                <w:snapToGrid w:val="0"/>
                <w:color w:val="auto"/>
                <w:spacing w:val="-2"/>
                <w:kern w:val="0"/>
                <w:sz w:val="21"/>
                <w:szCs w:val="21"/>
              </w:rPr>
              <w:t>0</w:t>
            </w:r>
            <w:r>
              <w:rPr>
                <w:rStyle w:val="7"/>
                <w:rFonts w:hint="eastAsia" w:ascii="宋体" w:hAnsi="宋体" w:eastAsia="宋体" w:cs="宋体"/>
                <w:snapToGrid w:val="0"/>
                <w:color w:val="auto"/>
                <w:spacing w:val="-1"/>
                <w:kern w:val="0"/>
                <w:sz w:val="21"/>
                <w:szCs w:val="21"/>
              </w:rPr>
              <w:t>1</w:t>
            </w:r>
          </w:p>
        </w:tc>
        <w:tc>
          <w:tcPr>
            <w:tcW w:w="1939"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1"/>
                <w:kern w:val="0"/>
                <w:sz w:val="21"/>
                <w:szCs w:val="21"/>
              </w:rPr>
              <w:t>许广高速</w:t>
            </w:r>
            <w:r>
              <w:rPr>
                <w:rStyle w:val="7"/>
                <w:rFonts w:hint="eastAsia" w:ascii="宋体" w:hAnsi="宋体" w:eastAsia="宋体" w:cs="宋体"/>
                <w:snapToGrid w:val="0"/>
                <w:color w:val="auto"/>
                <w:kern w:val="0"/>
                <w:sz w:val="21"/>
                <w:szCs w:val="21"/>
              </w:rPr>
              <w:t>茶</w:t>
            </w:r>
            <w:r>
              <w:rPr>
                <w:rStyle w:val="7"/>
                <w:rFonts w:hint="eastAsia" w:ascii="宋体" w:hAnsi="宋体" w:eastAsia="宋体" w:cs="宋体"/>
                <w:snapToGrid w:val="0"/>
                <w:color w:val="auto"/>
                <w:spacing w:val="-1"/>
                <w:kern w:val="0"/>
                <w:sz w:val="21"/>
                <w:szCs w:val="21"/>
              </w:rPr>
              <w:t>亭互通至</w:t>
            </w:r>
            <w:r>
              <w:rPr>
                <w:rStyle w:val="7"/>
                <w:rFonts w:hint="eastAsia" w:ascii="宋体" w:hAnsi="宋体" w:eastAsia="宋体" w:cs="宋体"/>
                <w:snapToGrid w:val="0"/>
                <w:color w:val="auto"/>
                <w:kern w:val="0"/>
                <w:sz w:val="21"/>
                <w:szCs w:val="21"/>
              </w:rPr>
              <w:t>长</w:t>
            </w:r>
            <w:r>
              <w:rPr>
                <w:rStyle w:val="7"/>
                <w:rFonts w:hint="eastAsia" w:ascii="宋体" w:hAnsi="宋体" w:eastAsia="宋体" w:cs="宋体"/>
                <w:snapToGrid w:val="0"/>
                <w:color w:val="auto"/>
                <w:spacing w:val="-1"/>
                <w:kern w:val="0"/>
                <w:sz w:val="21"/>
                <w:szCs w:val="21"/>
              </w:rPr>
              <w:t>沙绕城高</w:t>
            </w:r>
            <w:r>
              <w:rPr>
                <w:rStyle w:val="7"/>
                <w:rFonts w:hint="eastAsia" w:ascii="宋体" w:hAnsi="宋体" w:eastAsia="宋体" w:cs="宋体"/>
                <w:snapToGrid w:val="0"/>
                <w:color w:val="auto"/>
                <w:kern w:val="0"/>
                <w:sz w:val="21"/>
                <w:szCs w:val="21"/>
              </w:rPr>
              <w:t>速</w:t>
            </w:r>
            <w:r>
              <w:rPr>
                <w:rStyle w:val="7"/>
                <w:rFonts w:hint="eastAsia" w:ascii="宋体" w:hAnsi="宋体" w:eastAsia="宋体" w:cs="宋体"/>
                <w:snapToGrid w:val="0"/>
                <w:color w:val="auto"/>
                <w:spacing w:val="-2"/>
                <w:kern w:val="0"/>
                <w:sz w:val="21"/>
                <w:szCs w:val="21"/>
              </w:rPr>
              <w:t>公路</w:t>
            </w:r>
          </w:p>
        </w:tc>
        <w:tc>
          <w:tcPr>
            <w:tcW w:w="1085"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spacing w:val="-8"/>
                <w:kern w:val="0"/>
                <w:sz w:val="21"/>
                <w:szCs w:val="21"/>
              </w:rPr>
            </w:pPr>
            <w:r>
              <w:rPr>
                <w:rStyle w:val="7"/>
                <w:rFonts w:hint="eastAsia" w:ascii="宋体" w:hAnsi="宋体" w:eastAsia="宋体" w:cs="宋体"/>
                <w:snapToGrid w:val="0"/>
                <w:color w:val="auto"/>
                <w:spacing w:val="-8"/>
                <w:kern w:val="0"/>
                <w:sz w:val="21"/>
                <w:szCs w:val="21"/>
              </w:rPr>
              <w:t>23.19km</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8"/>
                <w:kern w:val="0"/>
                <w:sz w:val="21"/>
                <w:szCs w:val="21"/>
              </w:rPr>
              <w:t>高</w:t>
            </w:r>
            <w:r>
              <w:rPr>
                <w:rStyle w:val="7"/>
                <w:rFonts w:hint="eastAsia" w:ascii="宋体" w:hAnsi="宋体" w:eastAsia="宋体" w:cs="宋体"/>
                <w:snapToGrid w:val="0"/>
                <w:color w:val="auto"/>
                <w:spacing w:val="-1"/>
                <w:kern w:val="0"/>
                <w:sz w:val="21"/>
                <w:szCs w:val="21"/>
              </w:rPr>
              <w:t>速公路</w:t>
            </w:r>
          </w:p>
        </w:tc>
        <w:tc>
          <w:tcPr>
            <w:tcW w:w="5234" w:type="dxa"/>
            <w:noWrap w:val="0"/>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kern w:val="0"/>
                <w:sz w:val="21"/>
                <w:szCs w:val="21"/>
              </w:rPr>
              <w:t>本标段(含连接线)内的路线、路基、路面、桥涵、隧道、路线交叉、交通安全设施、房屋建筑工程、绿化、交通工程(通信、收费、监控)、其他工程等施工图勘察设计及中青路物探专项勘察、红线放样。按施工合同段提交编制施工招标文件所需的图纸、工程量清单与清单预算，以及施工图总预算。招标与施工配合及后续服务、参加交(竣)工验收、提供相关技术交底和工程相关技术咨询服务以及发包人要求的相关工作等。</w:t>
            </w:r>
          </w:p>
        </w:tc>
      </w:tr>
    </w:tbl>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Style w:val="7"/>
          <w:rFonts w:ascii="Arial" w:hAnsi="Arial" w:eastAsia="Arial" w:cs="Arial"/>
          <w:snapToGrid w:val="0"/>
          <w:color w:val="auto"/>
          <w:kern w:val="0"/>
          <w:szCs w:val="21"/>
        </w:rPr>
      </w:pPr>
      <w:r>
        <w:rPr>
          <w:rStyle w:val="7"/>
          <w:rFonts w:ascii="宋体" w:hAnsi="宋体" w:eastAsia="宋体" w:cs="宋体"/>
          <w:snapToGrid w:val="0"/>
          <w:color w:val="auto"/>
          <w:spacing w:val="-2"/>
          <w:kern w:val="0"/>
          <w:sz w:val="24"/>
          <w:szCs w:val="24"/>
        </w:rPr>
        <w:t>本次招</w:t>
      </w:r>
      <w:r>
        <w:rPr>
          <w:rStyle w:val="7"/>
          <w:rFonts w:ascii="宋体" w:hAnsi="宋体" w:eastAsia="宋体" w:cs="宋体"/>
          <w:snapToGrid w:val="0"/>
          <w:color w:val="auto"/>
          <w:spacing w:val="-1"/>
          <w:kern w:val="0"/>
          <w:sz w:val="24"/>
          <w:szCs w:val="24"/>
        </w:rPr>
        <w:t>标工程勘察设计共分为 1 个标段，其勘察设计内容详见下表。</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0"/>
          <w:kern w:val="0"/>
          <w:sz w:val="24"/>
          <w:szCs w:val="24"/>
        </w:rPr>
        <w:t>勘察设计周期：</w:t>
      </w:r>
      <w:r>
        <w:rPr>
          <w:rStyle w:val="7"/>
          <w:rFonts w:ascii="宋体" w:hAnsi="宋体" w:eastAsia="宋体" w:cs="宋体"/>
          <w:snapToGrid w:val="0"/>
          <w:color w:val="auto"/>
          <w:spacing w:val="0"/>
          <w:kern w:val="0"/>
          <w:sz w:val="24"/>
          <w:szCs w:val="24"/>
          <w:u w:val="single" w:color="auto"/>
        </w:rPr>
        <w:t xml:space="preserve">发包人发出开始设计任务通知后 120 日内提交全线施工图设计文件， </w:t>
      </w:r>
      <w:r>
        <w:rPr>
          <w:rStyle w:val="7"/>
          <w:rFonts w:ascii="宋体" w:hAnsi="宋体" w:eastAsia="宋体" w:cs="宋体"/>
          <w:snapToGrid w:val="0"/>
          <w:color w:val="auto"/>
          <w:spacing w:val="0"/>
          <w:kern w:val="0"/>
          <w:sz w:val="24"/>
          <w:szCs w:val="24"/>
        </w:rPr>
        <w:t>后续服务周期：</w:t>
      </w:r>
      <w:r>
        <w:rPr>
          <w:rStyle w:val="7"/>
          <w:rFonts w:ascii="宋体" w:hAnsi="宋体" w:eastAsia="宋体" w:cs="宋体"/>
          <w:snapToGrid w:val="0"/>
          <w:color w:val="auto"/>
          <w:spacing w:val="0"/>
          <w:kern w:val="0"/>
          <w:sz w:val="24"/>
          <w:szCs w:val="24"/>
          <w:u w:val="single" w:color="auto"/>
        </w:rPr>
        <w:t xml:space="preserve">合同签订后至竣工验收全部工作完成。 </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580"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10"/>
          <w:kern w:val="0"/>
          <w:sz w:val="27"/>
          <w:szCs w:val="27"/>
        </w:rPr>
        <w:t>3</w:t>
      </w:r>
      <w:r>
        <w:rPr>
          <w:rStyle w:val="7"/>
          <w:rFonts w:ascii="宋体" w:hAnsi="宋体" w:eastAsia="宋体" w:cs="宋体"/>
          <w:snapToGrid w:val="0"/>
          <w:color w:val="auto"/>
          <w:spacing w:val="6"/>
          <w:kern w:val="0"/>
          <w:sz w:val="27"/>
          <w:szCs w:val="27"/>
        </w:rPr>
        <w:t>. 投标人资格要求</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32" w:firstLineChars="200"/>
        <w:jc w:val="left"/>
        <w:textAlignment w:val="baseline"/>
        <w:rPr>
          <w:rStyle w:val="7"/>
          <w:rFonts w:hint="eastAsia" w:ascii="宋体" w:hAnsi="宋体" w:eastAsia="宋体" w:cs="宋体"/>
          <w:snapToGrid w:val="0"/>
          <w:color w:val="auto"/>
          <w:spacing w:val="-5"/>
          <w:kern w:val="0"/>
          <w:sz w:val="24"/>
          <w:szCs w:val="24"/>
          <w:lang w:eastAsia="zh-CN"/>
        </w:rPr>
      </w:pPr>
      <w:r>
        <w:rPr>
          <w:rStyle w:val="7"/>
          <w:rFonts w:ascii="宋体" w:hAnsi="宋体" w:eastAsia="宋体" w:cs="宋体"/>
          <w:snapToGrid w:val="0"/>
          <w:color w:val="auto"/>
          <w:spacing w:val="-12"/>
          <w:kern w:val="0"/>
          <w:sz w:val="24"/>
          <w:szCs w:val="24"/>
        </w:rPr>
        <w:t>3.</w:t>
      </w:r>
      <w:r>
        <w:rPr>
          <w:rStyle w:val="7"/>
          <w:rFonts w:ascii="宋体" w:hAnsi="宋体" w:eastAsia="宋体" w:cs="宋体"/>
          <w:snapToGrid w:val="0"/>
          <w:color w:val="auto"/>
          <w:spacing w:val="-6"/>
          <w:kern w:val="0"/>
          <w:sz w:val="24"/>
          <w:szCs w:val="24"/>
        </w:rPr>
        <w:t>1 本次招标要求投标人须具备</w:t>
      </w:r>
      <w:r>
        <w:rPr>
          <w:rStyle w:val="7"/>
          <w:rFonts w:ascii="宋体" w:hAnsi="宋体" w:eastAsia="宋体" w:cs="宋体"/>
          <w:snapToGrid w:val="0"/>
          <w:color w:val="auto"/>
          <w:spacing w:val="-6"/>
          <w:kern w:val="0"/>
          <w:sz w:val="24"/>
          <w:szCs w:val="24"/>
          <w:u w:val="single" w:color="auto"/>
        </w:rPr>
        <w:t>独立法人资格， 持有有效的营业执照</w:t>
      </w:r>
      <w:r>
        <w:rPr>
          <w:rStyle w:val="7"/>
          <w:rFonts w:hint="eastAsia" w:ascii="宋体" w:hAnsi="宋体" w:eastAsia="宋体" w:cs="宋体"/>
          <w:snapToGrid w:val="0"/>
          <w:color w:val="auto"/>
          <w:spacing w:val="-6"/>
          <w:kern w:val="0"/>
          <w:sz w:val="24"/>
          <w:szCs w:val="24"/>
          <w:u w:val="single" w:color="auto"/>
          <w:lang w:eastAsia="zh-CN"/>
        </w:rPr>
        <w:t>，</w:t>
      </w:r>
      <w:r>
        <w:rPr>
          <w:rStyle w:val="7"/>
          <w:rFonts w:ascii="宋体" w:hAnsi="宋体" w:eastAsia="宋体" w:cs="宋体"/>
          <w:snapToGrid w:val="0"/>
          <w:color w:val="auto"/>
          <w:spacing w:val="-6"/>
          <w:kern w:val="0"/>
          <w:sz w:val="24"/>
          <w:szCs w:val="24"/>
        </w:rPr>
        <w:t>具有</w:t>
      </w:r>
      <w:r>
        <w:rPr>
          <w:rStyle w:val="7"/>
          <w:rFonts w:ascii="宋体" w:hAnsi="宋体" w:eastAsia="宋体" w:cs="宋体"/>
          <w:snapToGrid w:val="0"/>
          <w:color w:val="auto"/>
          <w:spacing w:val="-4"/>
          <w:kern w:val="0"/>
          <w:sz w:val="24"/>
          <w:szCs w:val="24"/>
          <w:u w:val="single" w:color="auto"/>
        </w:rPr>
        <w:t>投标人须知附录 1 资格审查</w:t>
      </w:r>
      <w:r>
        <w:rPr>
          <w:rStyle w:val="7"/>
          <w:rFonts w:ascii="宋体" w:hAnsi="宋体" w:eastAsia="宋体" w:cs="宋体"/>
          <w:snapToGrid w:val="0"/>
          <w:color w:val="auto"/>
          <w:spacing w:val="-2"/>
          <w:kern w:val="0"/>
          <w:sz w:val="24"/>
          <w:szCs w:val="24"/>
          <w:u w:val="single" w:color="auto"/>
        </w:rPr>
        <w:t>条件要求的勘察和设计资质</w:t>
      </w:r>
      <w:r>
        <w:rPr>
          <w:rStyle w:val="7"/>
          <w:rFonts w:ascii="宋体" w:hAnsi="宋体" w:eastAsia="宋体" w:cs="宋体"/>
          <w:snapToGrid w:val="0"/>
          <w:color w:val="auto"/>
          <w:spacing w:val="-2"/>
          <w:kern w:val="0"/>
          <w:sz w:val="24"/>
          <w:szCs w:val="24"/>
        </w:rPr>
        <w:t>、</w:t>
      </w:r>
      <w:r>
        <w:rPr>
          <w:rStyle w:val="7"/>
          <w:rFonts w:ascii="宋体" w:hAnsi="宋体" w:eastAsia="宋体" w:cs="宋体"/>
          <w:snapToGrid w:val="0"/>
          <w:color w:val="auto"/>
          <w:spacing w:val="-2"/>
          <w:kern w:val="0"/>
          <w:sz w:val="24"/>
          <w:szCs w:val="24"/>
          <w:u w:val="single" w:color="auto"/>
        </w:rPr>
        <w:t>附录 2 资格审查条件</w:t>
      </w:r>
      <w:r>
        <w:rPr>
          <w:rStyle w:val="7"/>
          <w:rFonts w:ascii="宋体" w:hAnsi="宋体" w:eastAsia="宋体" w:cs="宋体"/>
          <w:snapToGrid w:val="0"/>
          <w:color w:val="auto"/>
          <w:spacing w:val="-1"/>
          <w:kern w:val="0"/>
          <w:sz w:val="24"/>
          <w:szCs w:val="24"/>
          <w:u w:val="single" w:color="auto"/>
        </w:rPr>
        <w:t>要求的</w:t>
      </w:r>
      <w:r>
        <w:rPr>
          <w:rStyle w:val="7"/>
          <w:rFonts w:ascii="宋体" w:hAnsi="宋体" w:eastAsia="宋体" w:cs="宋体"/>
          <w:snapToGrid w:val="0"/>
          <w:color w:val="auto"/>
          <w:spacing w:val="-1"/>
          <w:kern w:val="0"/>
          <w:sz w:val="24"/>
          <w:szCs w:val="24"/>
        </w:rPr>
        <w:t>业绩，并在人员</w:t>
      </w:r>
      <w:r>
        <w:rPr>
          <w:rStyle w:val="7"/>
          <w:rFonts w:ascii="宋体" w:hAnsi="宋体" w:eastAsia="宋体" w:cs="宋体"/>
          <w:snapToGrid w:val="0"/>
          <w:color w:val="auto"/>
          <w:kern w:val="0"/>
          <w:sz w:val="24"/>
          <w:szCs w:val="24"/>
        </w:rPr>
        <w:t>等方面具有相应的勘察设计能力</w:t>
      </w:r>
      <w:r>
        <w:rPr>
          <w:rStyle w:val="7"/>
          <w:rFonts w:hint="eastAsia" w:ascii="宋体" w:hAnsi="宋体" w:eastAsia="宋体" w:cs="宋体"/>
          <w:snapToGrid w:val="0"/>
          <w:color w:val="auto"/>
          <w:kern w:val="0"/>
          <w:sz w:val="24"/>
          <w:szCs w:val="24"/>
          <w:lang w:eastAsia="zh-CN"/>
        </w:rPr>
        <w:t>。</w:t>
      </w:r>
      <w:r>
        <w:rPr>
          <w:rStyle w:val="7"/>
          <w:rFonts w:ascii="宋体" w:hAnsi="宋体" w:eastAsia="宋体" w:cs="宋体"/>
          <w:snapToGrid w:val="0"/>
          <w:color w:val="auto"/>
          <w:spacing w:val="16"/>
          <w:kern w:val="0"/>
          <w:sz w:val="24"/>
          <w:szCs w:val="24"/>
        </w:rPr>
        <w:t>投</w:t>
      </w:r>
      <w:r>
        <w:rPr>
          <w:rStyle w:val="7"/>
          <w:rFonts w:ascii="宋体" w:hAnsi="宋体" w:eastAsia="宋体" w:cs="宋体"/>
          <w:snapToGrid w:val="0"/>
          <w:color w:val="auto"/>
          <w:spacing w:val="9"/>
          <w:kern w:val="0"/>
          <w:sz w:val="24"/>
          <w:szCs w:val="24"/>
        </w:rPr>
        <w:t>标</w:t>
      </w:r>
      <w:r>
        <w:rPr>
          <w:rStyle w:val="7"/>
          <w:rFonts w:ascii="宋体" w:hAnsi="宋体" w:eastAsia="宋体" w:cs="宋体"/>
          <w:snapToGrid w:val="0"/>
          <w:color w:val="auto"/>
          <w:spacing w:val="8"/>
          <w:kern w:val="0"/>
          <w:sz w:val="24"/>
          <w:szCs w:val="24"/>
        </w:rPr>
        <w:t>人应进入交通运输部“全国公路建设市场信用信息管理系统(</w:t>
      </w:r>
      <w:r>
        <w:rPr>
          <w:rStyle w:val="7"/>
          <w:rFonts w:ascii="宋体" w:hAnsi="宋体" w:eastAsia="宋体" w:cs="宋体"/>
          <w:snapToGrid w:val="0"/>
          <w:color w:val="auto"/>
          <w:kern w:val="0"/>
          <w:sz w:val="24"/>
          <w:szCs w:val="24"/>
        </w:rPr>
        <w:t>http</w:t>
      </w:r>
      <w:r>
        <w:rPr>
          <w:rStyle w:val="7"/>
          <w:rFonts w:ascii="宋体" w:hAnsi="宋体" w:eastAsia="宋体" w:cs="宋体"/>
          <w:snapToGrid w:val="0"/>
          <w:color w:val="auto"/>
          <w:spacing w:val="8"/>
          <w:kern w:val="0"/>
          <w:sz w:val="24"/>
          <w:szCs w:val="24"/>
        </w:rPr>
        <w:t>：</w:t>
      </w:r>
      <w:r>
        <w:rPr>
          <w:rStyle w:val="7"/>
          <w:rFonts w:ascii="宋体" w:hAnsi="宋体" w:eastAsia="宋体" w:cs="宋体"/>
          <w:snapToGrid w:val="0"/>
          <w:color w:val="auto"/>
          <w:kern w:val="0"/>
          <w:sz w:val="24"/>
          <w:szCs w:val="24"/>
        </w:rPr>
        <w:t xml:space="preserve"> </w:t>
      </w:r>
      <w:r>
        <w:rPr>
          <w:rStyle w:val="7"/>
          <w:rFonts w:ascii="宋体" w:hAnsi="宋体" w:eastAsia="宋体" w:cs="宋体"/>
          <w:snapToGrid w:val="0"/>
          <w:color w:val="auto"/>
          <w:spacing w:val="-5"/>
          <w:kern w:val="0"/>
          <w:sz w:val="24"/>
          <w:szCs w:val="24"/>
        </w:rPr>
        <w:t>//glxy.mot.gov.c</w:t>
      </w:r>
      <w:r>
        <w:rPr>
          <w:rStyle w:val="7"/>
          <w:rFonts w:ascii="宋体" w:hAnsi="宋体" w:eastAsia="宋体" w:cs="宋体"/>
          <w:snapToGrid w:val="0"/>
          <w:color w:val="auto"/>
          <w:spacing w:val="-4"/>
          <w:kern w:val="0"/>
          <w:sz w:val="24"/>
          <w:szCs w:val="24"/>
        </w:rPr>
        <w:t>n</w:t>
      </w:r>
      <w:r>
        <w:rPr>
          <w:rStyle w:val="7"/>
          <w:rFonts w:ascii="宋体" w:hAnsi="宋体" w:eastAsia="宋体" w:cs="宋体"/>
          <w:snapToGrid w:val="0"/>
          <w:color w:val="auto"/>
          <w:spacing w:val="-5"/>
          <w:kern w:val="0"/>
          <w:sz w:val="24"/>
          <w:szCs w:val="24"/>
        </w:rPr>
        <w:t>)”中的公路工程设计资质企业名录， 且投标人名称和资质与</w:t>
      </w:r>
      <w:r>
        <w:rPr>
          <w:rStyle w:val="7"/>
          <w:rFonts w:ascii="宋体" w:hAnsi="宋体" w:eastAsia="宋体" w:cs="宋体"/>
          <w:snapToGrid w:val="0"/>
          <w:color w:val="auto"/>
          <w:spacing w:val="-10"/>
          <w:kern w:val="0"/>
          <w:sz w:val="24"/>
          <w:szCs w:val="24"/>
        </w:rPr>
        <w:t>该</w:t>
      </w:r>
      <w:r>
        <w:rPr>
          <w:rStyle w:val="7"/>
          <w:rFonts w:ascii="宋体" w:hAnsi="宋体" w:eastAsia="宋体" w:cs="宋体"/>
          <w:snapToGrid w:val="0"/>
          <w:color w:val="auto"/>
          <w:spacing w:val="-8"/>
          <w:kern w:val="0"/>
          <w:sz w:val="24"/>
          <w:szCs w:val="24"/>
        </w:rPr>
        <w:t>名</w:t>
      </w:r>
      <w:r>
        <w:rPr>
          <w:rStyle w:val="7"/>
          <w:rFonts w:ascii="宋体" w:hAnsi="宋体" w:eastAsia="宋体" w:cs="宋体"/>
          <w:snapToGrid w:val="0"/>
          <w:color w:val="auto"/>
          <w:spacing w:val="-5"/>
          <w:kern w:val="0"/>
          <w:sz w:val="24"/>
          <w:szCs w:val="24"/>
        </w:rPr>
        <w:t>录中的相应企业名称和资质完全一致</w:t>
      </w:r>
      <w:r>
        <w:rPr>
          <w:rStyle w:val="7"/>
          <w:rFonts w:hint="eastAsia" w:ascii="宋体" w:hAnsi="宋体" w:eastAsia="宋体" w:cs="宋体"/>
          <w:snapToGrid w:val="0"/>
          <w:color w:val="auto"/>
          <w:spacing w:val="-5"/>
          <w:kern w:val="0"/>
          <w:sz w:val="24"/>
          <w:szCs w:val="24"/>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4"/>
          <w:kern w:val="0"/>
          <w:sz w:val="24"/>
          <w:szCs w:val="24"/>
        </w:rPr>
        <w:t>3.2</w:t>
      </w:r>
      <w:r>
        <w:rPr>
          <w:rStyle w:val="7"/>
          <w:rFonts w:ascii="宋体" w:hAnsi="宋体" w:eastAsia="宋体" w:cs="宋体"/>
          <w:snapToGrid w:val="0"/>
          <w:color w:val="auto"/>
          <w:spacing w:val="-3"/>
          <w:kern w:val="0"/>
          <w:sz w:val="24"/>
          <w:szCs w:val="24"/>
        </w:rPr>
        <w:t xml:space="preserve"> </w:t>
      </w:r>
      <w:r>
        <w:rPr>
          <w:rStyle w:val="7"/>
          <w:rFonts w:ascii="宋体" w:hAnsi="宋体" w:eastAsia="宋体" w:cs="宋体"/>
          <w:snapToGrid w:val="0"/>
          <w:color w:val="auto"/>
          <w:spacing w:val="-2"/>
          <w:kern w:val="0"/>
          <w:sz w:val="24"/>
          <w:szCs w:val="24"/>
        </w:rPr>
        <w:t>本次招标</w:t>
      </w:r>
      <w:r>
        <w:rPr>
          <w:rStyle w:val="7"/>
          <w:rFonts w:ascii="宋体" w:hAnsi="宋体" w:eastAsia="宋体" w:cs="宋体"/>
          <w:snapToGrid w:val="0"/>
          <w:color w:val="auto"/>
          <w:spacing w:val="-2"/>
          <w:kern w:val="0"/>
          <w:sz w:val="24"/>
          <w:szCs w:val="24"/>
          <w:u w:val="single" w:color="auto"/>
        </w:rPr>
        <w:t>不接受</w:t>
      </w:r>
      <w:r>
        <w:rPr>
          <w:rStyle w:val="7"/>
          <w:rFonts w:ascii="宋体" w:hAnsi="宋体" w:eastAsia="宋体" w:cs="宋体"/>
          <w:snapToGrid w:val="0"/>
          <w:color w:val="auto"/>
          <w:spacing w:val="-2"/>
          <w:kern w:val="0"/>
          <w:sz w:val="24"/>
          <w:szCs w:val="24"/>
        </w:rPr>
        <w:t>联合体投标。</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2"/>
          <w:kern w:val="0"/>
          <w:sz w:val="24"/>
          <w:szCs w:val="24"/>
        </w:rPr>
        <w:t>3.3 与招标人存在利害关系</w:t>
      </w:r>
      <w:r>
        <w:rPr>
          <w:rStyle w:val="7"/>
          <w:rFonts w:ascii="宋体" w:hAnsi="宋体" w:eastAsia="宋体" w:cs="宋体"/>
          <w:snapToGrid w:val="0"/>
          <w:color w:val="auto"/>
          <w:spacing w:val="-1"/>
          <w:kern w:val="0"/>
          <w:sz w:val="24"/>
          <w:szCs w:val="24"/>
        </w:rPr>
        <w:t>且可能影响招标公正性的单位，不得参加投标。</w:t>
      </w:r>
      <w:r>
        <w:rPr>
          <w:rStyle w:val="7"/>
          <w:rFonts w:ascii="宋体" w:hAnsi="宋体" w:eastAsia="宋体" w:cs="宋体"/>
          <w:snapToGrid w:val="0"/>
          <w:color w:val="auto"/>
          <w:kern w:val="0"/>
          <w:sz w:val="24"/>
          <w:szCs w:val="24"/>
        </w:rPr>
        <w:t xml:space="preserve"> </w:t>
      </w:r>
      <w:r>
        <w:rPr>
          <w:rStyle w:val="7"/>
          <w:rFonts w:ascii="宋体" w:hAnsi="宋体" w:eastAsia="宋体" w:cs="宋体"/>
          <w:snapToGrid w:val="0"/>
          <w:color w:val="auto"/>
          <w:spacing w:val="-8"/>
          <w:kern w:val="0"/>
          <w:sz w:val="24"/>
          <w:szCs w:val="24"/>
        </w:rPr>
        <w:t>单</w:t>
      </w:r>
      <w:r>
        <w:rPr>
          <w:rStyle w:val="7"/>
          <w:rFonts w:ascii="宋体" w:hAnsi="宋体" w:eastAsia="宋体" w:cs="宋体"/>
          <w:snapToGrid w:val="0"/>
          <w:color w:val="auto"/>
          <w:spacing w:val="-7"/>
          <w:kern w:val="0"/>
          <w:sz w:val="24"/>
          <w:szCs w:val="24"/>
        </w:rPr>
        <w:t>位</w:t>
      </w:r>
      <w:r>
        <w:rPr>
          <w:rStyle w:val="7"/>
          <w:rFonts w:ascii="宋体" w:hAnsi="宋体" w:eastAsia="宋体" w:cs="宋体"/>
          <w:snapToGrid w:val="0"/>
          <w:color w:val="auto"/>
          <w:spacing w:val="-4"/>
          <w:kern w:val="0"/>
          <w:sz w:val="24"/>
          <w:szCs w:val="24"/>
        </w:rPr>
        <w:t>负责人</w:t>
      </w:r>
      <w:r>
        <w:rPr>
          <w:rStyle w:val="7"/>
          <w:rFonts w:ascii="宋体" w:hAnsi="宋体" w:eastAsia="宋体" w:cs="宋体"/>
          <w:snapToGrid w:val="0"/>
          <w:color w:val="auto"/>
          <w:spacing w:val="-4"/>
          <w:kern w:val="0"/>
          <w:position w:val="11"/>
          <w:sz w:val="12"/>
          <w:szCs w:val="12"/>
        </w:rPr>
        <w:t>2</w:t>
      </w:r>
      <w:r>
        <w:rPr>
          <w:rStyle w:val="7"/>
          <w:rFonts w:ascii="宋体" w:hAnsi="宋体" w:eastAsia="宋体" w:cs="宋体"/>
          <w:snapToGrid w:val="0"/>
          <w:color w:val="auto"/>
          <w:spacing w:val="-4"/>
          <w:kern w:val="0"/>
          <w:sz w:val="24"/>
          <w:szCs w:val="24"/>
        </w:rPr>
        <w:t>为同一人或者存在控股</w:t>
      </w:r>
      <w:r>
        <w:rPr>
          <w:rStyle w:val="7"/>
          <w:rFonts w:ascii="宋体" w:hAnsi="宋体" w:eastAsia="宋体" w:cs="宋体"/>
          <w:snapToGrid w:val="0"/>
          <w:color w:val="auto"/>
          <w:spacing w:val="-4"/>
          <w:kern w:val="0"/>
          <w:position w:val="11"/>
          <w:sz w:val="12"/>
          <w:szCs w:val="12"/>
        </w:rPr>
        <w:t>3</w:t>
      </w:r>
      <w:r>
        <w:rPr>
          <w:rStyle w:val="7"/>
          <w:rFonts w:ascii="宋体" w:hAnsi="宋体" w:eastAsia="宋体" w:cs="宋体"/>
          <w:snapToGrid w:val="0"/>
          <w:color w:val="auto"/>
          <w:spacing w:val="-4"/>
          <w:kern w:val="0"/>
          <w:sz w:val="24"/>
          <w:szCs w:val="24"/>
        </w:rPr>
        <w:t>、管理</w:t>
      </w:r>
      <w:r>
        <w:rPr>
          <w:rStyle w:val="7"/>
          <w:rFonts w:ascii="宋体" w:hAnsi="宋体" w:eastAsia="宋体" w:cs="宋体"/>
          <w:snapToGrid w:val="0"/>
          <w:color w:val="auto"/>
          <w:spacing w:val="-4"/>
          <w:kern w:val="0"/>
          <w:position w:val="11"/>
          <w:sz w:val="12"/>
          <w:szCs w:val="12"/>
        </w:rPr>
        <w:t>4</w:t>
      </w:r>
      <w:r>
        <w:rPr>
          <w:rStyle w:val="7"/>
          <w:rFonts w:ascii="宋体" w:hAnsi="宋体" w:eastAsia="宋体" w:cs="宋体"/>
          <w:snapToGrid w:val="0"/>
          <w:color w:val="auto"/>
          <w:spacing w:val="-4"/>
          <w:kern w:val="0"/>
          <w:sz w:val="24"/>
          <w:szCs w:val="24"/>
        </w:rPr>
        <w:t>关系的不同单位， 不得参加同一标段</w:t>
      </w:r>
      <w:r>
        <w:rPr>
          <w:rStyle w:val="7"/>
          <w:rFonts w:ascii="宋体" w:hAnsi="宋体" w:eastAsia="宋体" w:cs="宋体"/>
          <w:snapToGrid w:val="0"/>
          <w:color w:val="auto"/>
          <w:spacing w:val="-5"/>
          <w:kern w:val="0"/>
          <w:sz w:val="24"/>
          <w:szCs w:val="24"/>
        </w:rPr>
        <w:t>投</w:t>
      </w:r>
      <w:r>
        <w:rPr>
          <w:rStyle w:val="7"/>
          <w:rFonts w:ascii="宋体" w:hAnsi="宋体" w:eastAsia="宋体" w:cs="宋体"/>
          <w:snapToGrid w:val="0"/>
          <w:color w:val="auto"/>
          <w:spacing w:val="-3"/>
          <w:kern w:val="0"/>
          <w:sz w:val="24"/>
          <w:szCs w:val="24"/>
        </w:rPr>
        <w:t>标，否则，相关投</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Style w:val="7"/>
          <w:rFonts w:ascii="宋体" w:hAnsi="宋体" w:eastAsia="宋体" w:cs="宋体"/>
          <w:snapToGrid w:val="0"/>
          <w:color w:val="auto"/>
          <w:spacing w:val="-2"/>
          <w:kern w:val="0"/>
          <w:sz w:val="24"/>
          <w:szCs w:val="24"/>
        </w:rPr>
      </w:pPr>
      <w:r>
        <w:rPr>
          <w:rStyle w:val="7"/>
          <w:rFonts w:ascii="宋体" w:hAnsi="宋体" w:eastAsia="宋体" w:cs="宋体"/>
          <w:snapToGrid w:val="0"/>
          <w:color w:val="auto"/>
          <w:spacing w:val="-3"/>
          <w:kern w:val="0"/>
          <w:sz w:val="24"/>
          <w:szCs w:val="24"/>
        </w:rPr>
        <w:t>标均无效。</w:t>
      </w:r>
    </w:p>
    <w:p>
      <w:pPr>
        <w:pStyle w:val="9"/>
        <w:keepNext w:val="0"/>
        <w:keepLines w:val="0"/>
        <w:pageBreakBefore w:val="0"/>
        <w:widowControl/>
        <w:kinsoku w:val="0"/>
        <w:wordWrap/>
        <w:overflowPunct/>
        <w:topLinePunct w:val="0"/>
        <w:autoSpaceDE w:val="0"/>
        <w:autoSpaceDN w:val="0"/>
        <w:bidi w:val="0"/>
        <w:adjustRightInd w:val="0"/>
        <w:snapToGrid w:val="0"/>
        <w:spacing w:line="192" w:lineRule="auto"/>
        <w:ind w:left="0" w:right="0" w:firstLine="0"/>
        <w:jc w:val="left"/>
        <w:textAlignment w:val="baseline"/>
        <w:rPr>
          <w:rStyle w:val="7"/>
          <w:rFonts w:hint="eastAsia" w:ascii="黑体" w:hAnsi="黑体" w:eastAsia="黑体" w:cs="黑体"/>
          <w:snapToGrid w:val="0"/>
          <w:color w:val="auto"/>
          <w:spacing w:val="1"/>
          <w:kern w:val="0"/>
          <w:position w:val="7"/>
          <w:sz w:val="15"/>
          <w:szCs w:val="15"/>
        </w:rPr>
      </w:pPr>
    </w:p>
    <w:p>
      <w:pPr>
        <w:pStyle w:val="9"/>
        <w:keepNext w:val="0"/>
        <w:keepLines w:val="0"/>
        <w:pageBreakBefore w:val="0"/>
        <w:widowControl/>
        <w:kinsoku w:val="0"/>
        <w:wordWrap/>
        <w:overflowPunct/>
        <w:topLinePunct w:val="0"/>
        <w:autoSpaceDE w:val="0"/>
        <w:autoSpaceDN w:val="0"/>
        <w:bidi w:val="0"/>
        <w:adjustRightInd w:val="0"/>
        <w:snapToGrid w:val="0"/>
        <w:spacing w:line="192" w:lineRule="auto"/>
        <w:ind w:left="0" w:right="0" w:firstLine="0"/>
        <w:jc w:val="left"/>
        <w:textAlignment w:val="baseline"/>
        <w:rPr>
          <w:rStyle w:val="7"/>
          <w:rFonts w:hint="eastAsia" w:ascii="黑体" w:hAnsi="黑体" w:eastAsia="黑体" w:cs="黑体"/>
          <w:snapToGrid w:val="0"/>
          <w:color w:val="auto"/>
          <w:kern w:val="0"/>
          <w:sz w:val="15"/>
          <w:szCs w:val="15"/>
        </w:rPr>
      </w:pPr>
      <w:r>
        <w:rPr>
          <w:rStyle w:val="7"/>
          <w:rFonts w:hint="eastAsia" w:ascii="黑体" w:hAnsi="黑体" w:eastAsia="黑体" w:cs="黑体"/>
          <w:snapToGrid w:val="0"/>
          <w:color w:val="auto"/>
          <w:spacing w:val="1"/>
          <w:kern w:val="0"/>
          <w:position w:val="7"/>
          <w:sz w:val="15"/>
          <w:szCs w:val="15"/>
        </w:rPr>
        <w:t xml:space="preserve">2 </w:t>
      </w:r>
      <w:r>
        <w:rPr>
          <w:rStyle w:val="7"/>
          <w:rFonts w:hint="eastAsia" w:ascii="黑体" w:hAnsi="黑体" w:eastAsia="黑体" w:cs="黑体"/>
          <w:snapToGrid w:val="0"/>
          <w:color w:val="auto"/>
          <w:spacing w:val="1"/>
          <w:kern w:val="0"/>
          <w:sz w:val="15"/>
          <w:szCs w:val="15"/>
        </w:rPr>
        <w:t>单位负责人，</w:t>
      </w:r>
      <w:r>
        <w:rPr>
          <w:rStyle w:val="7"/>
          <w:rFonts w:hint="eastAsia" w:ascii="黑体" w:hAnsi="黑体" w:eastAsia="黑体" w:cs="黑体"/>
          <w:snapToGrid w:val="0"/>
          <w:color w:val="auto"/>
          <w:kern w:val="0"/>
          <w:sz w:val="15"/>
          <w:szCs w:val="15"/>
        </w:rPr>
        <w:t xml:space="preserve"> 是指单位法定代表人或者法律、行政法规规定代表单位行使职权的主要负责人。(招标文 </w:t>
      </w:r>
      <w:r>
        <w:rPr>
          <w:rStyle w:val="7"/>
          <w:rFonts w:hint="eastAsia" w:ascii="黑体" w:hAnsi="黑体" w:eastAsia="黑体" w:cs="黑体"/>
          <w:snapToGrid w:val="0"/>
          <w:color w:val="auto"/>
          <w:spacing w:val="-1"/>
          <w:kern w:val="0"/>
          <w:sz w:val="15"/>
          <w:szCs w:val="15"/>
        </w:rPr>
        <w:t>件中所列“</w:t>
      </w:r>
      <w:r>
        <w:rPr>
          <w:rStyle w:val="7"/>
          <w:rFonts w:hint="eastAsia" w:ascii="黑体" w:hAnsi="黑体" w:eastAsia="黑体" w:cs="黑体"/>
          <w:snapToGrid w:val="0"/>
          <w:color w:val="auto"/>
          <w:kern w:val="0"/>
          <w:sz w:val="15"/>
          <w:szCs w:val="15"/>
        </w:rPr>
        <w:t>单位负责人”均作本条解释) 。</w:t>
      </w:r>
    </w:p>
    <w:p>
      <w:pPr>
        <w:pStyle w:val="9"/>
        <w:keepNext w:val="0"/>
        <w:keepLines w:val="0"/>
        <w:pageBreakBefore w:val="0"/>
        <w:widowControl/>
        <w:kinsoku w:val="0"/>
        <w:wordWrap/>
        <w:overflowPunct/>
        <w:topLinePunct w:val="0"/>
        <w:autoSpaceDE w:val="0"/>
        <w:autoSpaceDN w:val="0"/>
        <w:bidi w:val="0"/>
        <w:adjustRightInd w:val="0"/>
        <w:snapToGrid w:val="0"/>
        <w:spacing w:line="192" w:lineRule="auto"/>
        <w:ind w:left="0" w:right="0" w:firstLine="0"/>
        <w:jc w:val="left"/>
        <w:textAlignment w:val="baseline"/>
        <w:rPr>
          <w:rStyle w:val="7"/>
          <w:rFonts w:hint="eastAsia" w:ascii="黑体" w:hAnsi="黑体" w:eastAsia="黑体" w:cs="黑体"/>
          <w:snapToGrid w:val="0"/>
          <w:color w:val="auto"/>
          <w:kern w:val="0"/>
          <w:sz w:val="16"/>
          <w:szCs w:val="16"/>
        </w:rPr>
      </w:pPr>
      <w:r>
        <w:rPr>
          <w:rStyle w:val="7"/>
          <w:rFonts w:hint="eastAsia" w:ascii="黑体" w:hAnsi="黑体" w:eastAsia="黑体" w:cs="黑体"/>
          <w:snapToGrid w:val="0"/>
          <w:color w:val="auto"/>
          <w:spacing w:val="-1"/>
          <w:kern w:val="0"/>
          <w:position w:val="9"/>
          <w:sz w:val="15"/>
          <w:szCs w:val="15"/>
        </w:rPr>
        <w:t xml:space="preserve">3 </w:t>
      </w:r>
      <w:r>
        <w:rPr>
          <w:rStyle w:val="7"/>
          <w:rFonts w:hint="eastAsia" w:ascii="黑体" w:hAnsi="黑体" w:eastAsia="黑体" w:cs="黑体"/>
          <w:snapToGrid w:val="0"/>
          <w:color w:val="auto"/>
          <w:spacing w:val="-1"/>
          <w:kern w:val="0"/>
          <w:sz w:val="15"/>
          <w:szCs w:val="15"/>
        </w:rPr>
        <w:t>控股，是指出资额(持股) 占股</w:t>
      </w:r>
      <w:r>
        <w:rPr>
          <w:rStyle w:val="7"/>
          <w:rFonts w:hint="eastAsia" w:ascii="黑体" w:hAnsi="黑体" w:eastAsia="黑体" w:cs="黑体"/>
          <w:snapToGrid w:val="0"/>
          <w:color w:val="auto"/>
          <w:kern w:val="0"/>
          <w:sz w:val="15"/>
          <w:szCs w:val="15"/>
        </w:rPr>
        <w:t xml:space="preserve">本总额 50%以上或虽不足 50%，但依出资额或所持股份所享有的表决权足 </w:t>
      </w:r>
      <w:r>
        <w:rPr>
          <w:rStyle w:val="7"/>
          <w:rFonts w:hint="eastAsia" w:ascii="黑体" w:hAnsi="黑体" w:eastAsia="黑体" w:cs="黑体"/>
          <w:snapToGrid w:val="0"/>
          <w:color w:val="auto"/>
          <w:spacing w:val="-1"/>
          <w:kern w:val="0"/>
          <w:sz w:val="15"/>
          <w:szCs w:val="15"/>
        </w:rPr>
        <w:t>以对股东会、股东大会的决议产生</w:t>
      </w:r>
      <w:r>
        <w:rPr>
          <w:rStyle w:val="7"/>
          <w:rFonts w:hint="eastAsia" w:ascii="黑体" w:hAnsi="黑体" w:eastAsia="黑体" w:cs="黑体"/>
          <w:snapToGrid w:val="0"/>
          <w:color w:val="auto"/>
          <w:kern w:val="0"/>
          <w:sz w:val="15"/>
          <w:szCs w:val="15"/>
        </w:rPr>
        <w:t>重大影响的，或者国有企事业单位通过投资关系、协议或者其他安排，</w:t>
      </w:r>
      <w:r>
        <w:rPr>
          <w:rStyle w:val="7"/>
          <w:rFonts w:hint="eastAsia" w:ascii="黑体" w:hAnsi="黑体" w:eastAsia="黑体" w:cs="黑体"/>
          <w:snapToGrid w:val="0"/>
          <w:color w:val="auto"/>
          <w:spacing w:val="4"/>
          <w:kern w:val="0"/>
          <w:sz w:val="15"/>
          <w:szCs w:val="15"/>
        </w:rPr>
        <w:t>能够实际支</w:t>
      </w:r>
      <w:r>
        <w:rPr>
          <w:rStyle w:val="7"/>
          <w:rFonts w:hint="eastAsia" w:ascii="黑体" w:hAnsi="黑体" w:eastAsia="黑体" w:cs="黑体"/>
          <w:snapToGrid w:val="0"/>
          <w:color w:val="auto"/>
          <w:spacing w:val="3"/>
          <w:kern w:val="0"/>
          <w:sz w:val="15"/>
          <w:szCs w:val="15"/>
        </w:rPr>
        <w:t>配</w:t>
      </w:r>
      <w:r>
        <w:rPr>
          <w:rStyle w:val="7"/>
          <w:rFonts w:hint="eastAsia" w:ascii="黑体" w:hAnsi="黑体" w:eastAsia="黑体" w:cs="黑体"/>
          <w:snapToGrid w:val="0"/>
          <w:color w:val="auto"/>
          <w:spacing w:val="2"/>
          <w:kern w:val="0"/>
          <w:sz w:val="15"/>
          <w:szCs w:val="15"/>
        </w:rPr>
        <w:t>公司行为的。(招标文件中所列“控股”均作本条解释) 。</w:t>
      </w:r>
      <w:r>
        <w:rPr>
          <w:rStyle w:val="7"/>
          <w:rFonts w:hint="eastAsia" w:ascii="黑体" w:hAnsi="黑体" w:eastAsia="黑体" w:cs="黑体"/>
          <w:snapToGrid w:val="0"/>
          <w:color w:val="auto"/>
          <w:spacing w:val="4"/>
          <w:kern w:val="0"/>
          <w:position w:val="9"/>
          <w:sz w:val="15"/>
          <w:szCs w:val="15"/>
        </w:rPr>
        <w:t xml:space="preserve">4 </w:t>
      </w:r>
      <w:r>
        <w:rPr>
          <w:rStyle w:val="7"/>
          <w:rFonts w:hint="eastAsia" w:ascii="黑体" w:hAnsi="黑体" w:eastAsia="黑体" w:cs="黑体"/>
          <w:snapToGrid w:val="0"/>
          <w:color w:val="auto"/>
          <w:spacing w:val="4"/>
          <w:kern w:val="0"/>
          <w:sz w:val="15"/>
          <w:szCs w:val="15"/>
        </w:rPr>
        <w:t>管理，是指不具有出资持股关系的其他单位之间存在的管理与被管理关系。(招标文件中所列“管理</w:t>
      </w:r>
      <w:r>
        <w:rPr>
          <w:rStyle w:val="7"/>
          <w:rFonts w:hint="eastAsia" w:ascii="黑体" w:hAnsi="黑体" w:eastAsia="黑体" w:cs="黑体"/>
          <w:snapToGrid w:val="0"/>
          <w:color w:val="auto"/>
          <w:kern w:val="0"/>
          <w:sz w:val="15"/>
          <w:szCs w:val="15"/>
        </w:rPr>
        <w:t xml:space="preserve">” </w:t>
      </w:r>
      <w:r>
        <w:rPr>
          <w:rStyle w:val="7"/>
          <w:rFonts w:hint="eastAsia" w:ascii="黑体" w:hAnsi="黑体" w:eastAsia="黑体" w:cs="黑体"/>
          <w:snapToGrid w:val="0"/>
          <w:color w:val="auto"/>
          <w:spacing w:val="-1"/>
          <w:kern w:val="0"/>
          <w:sz w:val="15"/>
          <w:szCs w:val="15"/>
        </w:rPr>
        <w:t>均作本条</w:t>
      </w:r>
      <w:r>
        <w:rPr>
          <w:rStyle w:val="7"/>
          <w:rFonts w:hint="eastAsia" w:ascii="黑体" w:hAnsi="黑体" w:eastAsia="黑体" w:cs="黑体"/>
          <w:snapToGrid w:val="0"/>
          <w:color w:val="auto"/>
          <w:kern w:val="0"/>
          <w:sz w:val="15"/>
          <w:szCs w:val="15"/>
        </w:rPr>
        <w:t>解释) 。</w:t>
      </w:r>
    </w:p>
    <w:p>
      <w:pPr>
        <w:pStyle w:val="9"/>
        <w:widowControl/>
        <w:kinsoku w:val="0"/>
        <w:autoSpaceDE w:val="0"/>
        <w:autoSpaceDN w:val="0"/>
        <w:adjustRightInd w:val="0"/>
        <w:snapToGrid w:val="0"/>
        <w:spacing w:before="19" w:line="226" w:lineRule="auto"/>
        <w:ind w:left="133" w:right="111" w:hanging="15"/>
        <w:jc w:val="left"/>
        <w:textAlignment w:val="baseline"/>
        <w:rPr>
          <w:rStyle w:val="7"/>
          <w:rFonts w:ascii="黑体" w:hAnsi="黑体" w:eastAsia="黑体" w:cs="黑体"/>
          <w:snapToGrid w:val="0"/>
          <w:color w:val="auto"/>
          <w:kern w:val="0"/>
          <w:sz w:val="18"/>
          <w:szCs w:val="18"/>
        </w:rPr>
      </w:pPr>
    </w:p>
    <w:p>
      <w:pPr>
        <w:pStyle w:val="9"/>
        <w:widowControl/>
        <w:kinsoku w:val="0"/>
        <w:autoSpaceDE w:val="0"/>
        <w:autoSpaceDN w:val="0"/>
        <w:adjustRightInd w:val="0"/>
        <w:snapToGrid w:val="0"/>
        <w:spacing w:before="20" w:line="238" w:lineRule="auto"/>
        <w:ind w:left="120" w:right="164" w:hanging="2"/>
        <w:jc w:val="left"/>
        <w:textAlignment w:val="baseline"/>
        <w:rPr>
          <w:rStyle w:val="7"/>
          <w:rFonts w:ascii="黑体" w:hAnsi="黑体" w:eastAsia="黑体" w:cs="黑体"/>
          <w:snapToGrid w:val="0"/>
          <w:color w:val="auto"/>
          <w:kern w:val="0"/>
          <w:sz w:val="18"/>
          <w:szCs w:val="18"/>
        </w:rPr>
      </w:pP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Style w:val="7"/>
          <w:rFonts w:ascii="宋体" w:hAnsi="宋体" w:eastAsia="宋体" w:cs="宋体"/>
          <w:snapToGrid w:val="0"/>
          <w:color w:val="auto"/>
          <w:spacing w:val="2"/>
          <w:kern w:val="0"/>
          <w:sz w:val="24"/>
          <w:szCs w:val="24"/>
        </w:rPr>
      </w:pPr>
      <w:r>
        <w:rPr>
          <w:rStyle w:val="7"/>
          <w:rFonts w:ascii="宋体" w:hAnsi="宋体" w:eastAsia="宋体" w:cs="宋体"/>
          <w:snapToGrid w:val="0"/>
          <w:color w:val="auto"/>
          <w:spacing w:val="-2"/>
          <w:kern w:val="0"/>
          <w:sz w:val="24"/>
          <w:szCs w:val="24"/>
        </w:rPr>
        <w:t>3.4 招标人不接受被</w:t>
      </w:r>
      <w:r>
        <w:rPr>
          <w:rStyle w:val="7"/>
          <w:rFonts w:ascii="宋体" w:hAnsi="宋体" w:eastAsia="宋体" w:cs="宋体"/>
          <w:snapToGrid w:val="0"/>
          <w:color w:val="auto"/>
          <w:spacing w:val="-1"/>
          <w:kern w:val="0"/>
          <w:sz w:val="24"/>
          <w:szCs w:val="24"/>
        </w:rPr>
        <w:t>湖南省交通运输厅</w:t>
      </w:r>
      <w:r>
        <w:rPr>
          <w:rStyle w:val="7"/>
          <w:rFonts w:ascii="宋体" w:hAnsi="宋体" w:eastAsia="宋体" w:cs="宋体"/>
          <w:color w:val="auto"/>
          <w:spacing w:val="-1"/>
          <w:position w:val="11"/>
          <w:sz w:val="12"/>
          <w:szCs w:val="12"/>
        </w:rPr>
        <w:t>5</w:t>
      </w:r>
      <w:r>
        <w:rPr>
          <w:rStyle w:val="7"/>
          <w:rFonts w:ascii="宋体" w:hAnsi="宋体" w:eastAsia="宋体" w:cs="宋体"/>
          <w:snapToGrid w:val="0"/>
          <w:color w:val="auto"/>
          <w:spacing w:val="-1"/>
          <w:kern w:val="0"/>
          <w:sz w:val="24"/>
          <w:szCs w:val="24"/>
        </w:rPr>
        <w:t>评为最近第一年度 D 级、连续两年</w:t>
      </w:r>
      <w:r>
        <w:rPr>
          <w:rStyle w:val="7"/>
          <w:rFonts w:ascii="宋体" w:hAnsi="宋体" w:eastAsia="宋体" w:cs="宋体"/>
          <w:snapToGrid w:val="0"/>
          <w:color w:val="auto"/>
          <w:kern w:val="0"/>
          <w:sz w:val="24"/>
          <w:szCs w:val="24"/>
        </w:rPr>
        <w:t xml:space="preserve"> </w:t>
      </w:r>
      <w:r>
        <w:rPr>
          <w:rStyle w:val="7"/>
          <w:rFonts w:ascii="宋体" w:hAnsi="宋体" w:eastAsia="宋体" w:cs="宋体"/>
          <w:snapToGrid w:val="0"/>
          <w:color w:val="auto"/>
          <w:spacing w:val="4"/>
          <w:kern w:val="0"/>
          <w:sz w:val="24"/>
          <w:szCs w:val="24"/>
        </w:rPr>
        <w:t>(最近第二年和最</w:t>
      </w:r>
      <w:r>
        <w:rPr>
          <w:rStyle w:val="7"/>
          <w:rFonts w:ascii="宋体" w:hAnsi="宋体" w:eastAsia="宋体" w:cs="宋体"/>
          <w:snapToGrid w:val="0"/>
          <w:color w:val="auto"/>
          <w:spacing w:val="2"/>
          <w:kern w:val="0"/>
          <w:sz w:val="24"/>
          <w:szCs w:val="24"/>
        </w:rPr>
        <w:t xml:space="preserve">近第一年)评为 </w:t>
      </w:r>
      <w:r>
        <w:rPr>
          <w:rStyle w:val="7"/>
          <w:rFonts w:ascii="宋体" w:hAnsi="宋体" w:eastAsia="宋体" w:cs="宋体"/>
          <w:snapToGrid w:val="0"/>
          <w:color w:val="auto"/>
          <w:kern w:val="0"/>
          <w:sz w:val="24"/>
          <w:szCs w:val="24"/>
        </w:rPr>
        <w:t>C</w:t>
      </w:r>
      <w:r>
        <w:rPr>
          <w:rStyle w:val="7"/>
          <w:rFonts w:ascii="宋体" w:hAnsi="宋体" w:eastAsia="宋体" w:cs="宋体"/>
          <w:snapToGrid w:val="0"/>
          <w:color w:val="auto"/>
          <w:spacing w:val="2"/>
          <w:kern w:val="0"/>
          <w:sz w:val="24"/>
          <w:szCs w:val="24"/>
        </w:rPr>
        <w:t xml:space="preserve"> 级信用等级的投标人投标。</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0"/>
          <w:kern w:val="0"/>
          <w:sz w:val="24"/>
          <w:szCs w:val="24"/>
        </w:rPr>
        <w:t xml:space="preserve">3.5  招标人不接受在全国企业信用信息公示系统  </w:t>
      </w:r>
      <w:r>
        <w:rPr>
          <w:rStyle w:val="7"/>
          <w:rFonts w:ascii="宋体" w:hAnsi="宋体" w:eastAsia="宋体" w:cs="宋体"/>
          <w:snapToGrid w:val="0"/>
          <w:color w:val="auto"/>
          <w:spacing w:val="8"/>
          <w:kern w:val="0"/>
          <w:sz w:val="24"/>
          <w:szCs w:val="24"/>
        </w:rPr>
        <w:t>(</w:t>
      </w:r>
      <w:r>
        <w:rPr>
          <w:rStyle w:val="7"/>
          <w:rFonts w:ascii="Arial" w:hAnsi="Arial" w:eastAsia="Arial" w:cs="Arial"/>
          <w:snapToGrid w:val="0"/>
          <w:color w:val="auto"/>
          <w:kern w:val="0"/>
          <w:szCs w:val="21"/>
        </w:rPr>
        <w:fldChar w:fldCharType="begin"/>
      </w:r>
      <w:r>
        <w:rPr>
          <w:rStyle w:val="7"/>
          <w:rFonts w:ascii="Arial" w:hAnsi="Arial" w:eastAsia="Arial" w:cs="Arial"/>
          <w:snapToGrid w:val="0"/>
          <w:color w:val="auto"/>
          <w:kern w:val="0"/>
          <w:szCs w:val="21"/>
        </w:rPr>
        <w:instrText xml:space="preserve"> HYPERLINK "http://www.gsxt.gov.cn" </w:instrText>
      </w:r>
      <w:r>
        <w:rPr>
          <w:rStyle w:val="7"/>
          <w:rFonts w:ascii="Arial" w:hAnsi="Arial" w:eastAsia="Arial" w:cs="Arial"/>
          <w:snapToGrid w:val="0"/>
          <w:color w:val="auto"/>
          <w:kern w:val="0"/>
          <w:szCs w:val="21"/>
        </w:rPr>
        <w:fldChar w:fldCharType="separate"/>
      </w:r>
      <w:r>
        <w:rPr>
          <w:rStyle w:val="7"/>
          <w:rFonts w:ascii="宋体" w:hAnsi="宋体" w:eastAsia="宋体" w:cs="宋体"/>
          <w:snapToGrid w:val="0"/>
          <w:color w:val="auto"/>
          <w:kern w:val="0"/>
          <w:sz w:val="24"/>
          <w:szCs w:val="24"/>
        </w:rPr>
        <w:t>http</w:t>
      </w:r>
      <w:r>
        <w:rPr>
          <w:rStyle w:val="7"/>
          <w:rFonts w:ascii="宋体" w:hAnsi="宋体" w:eastAsia="宋体" w:cs="宋体"/>
          <w:snapToGrid w:val="0"/>
          <w:color w:val="auto"/>
          <w:spacing w:val="8"/>
          <w:kern w:val="0"/>
          <w:sz w:val="24"/>
          <w:szCs w:val="24"/>
        </w:rPr>
        <w:t>:</w:t>
      </w:r>
      <w:r>
        <w:rPr>
          <w:rStyle w:val="7"/>
          <w:rFonts w:ascii="宋体" w:hAnsi="宋体" w:eastAsia="宋体" w:cs="宋体"/>
          <w:snapToGrid w:val="0"/>
          <w:color w:val="auto"/>
          <w:spacing w:val="6"/>
          <w:kern w:val="0"/>
          <w:sz w:val="24"/>
          <w:szCs w:val="24"/>
        </w:rPr>
        <w:t>/</w:t>
      </w:r>
      <w:r>
        <w:rPr>
          <w:rStyle w:val="7"/>
          <w:rFonts w:ascii="宋体" w:hAnsi="宋体" w:eastAsia="宋体" w:cs="宋体"/>
          <w:snapToGrid w:val="0"/>
          <w:color w:val="auto"/>
          <w:spacing w:val="4"/>
          <w:kern w:val="0"/>
          <w:sz w:val="24"/>
          <w:szCs w:val="24"/>
        </w:rPr>
        <w:t>/</w:t>
      </w:r>
      <w:r>
        <w:rPr>
          <w:rStyle w:val="7"/>
          <w:rFonts w:ascii="宋体" w:hAnsi="宋体" w:eastAsia="宋体" w:cs="宋体"/>
          <w:snapToGrid w:val="0"/>
          <w:color w:val="auto"/>
          <w:kern w:val="0"/>
          <w:sz w:val="24"/>
          <w:szCs w:val="24"/>
        </w:rPr>
        <w:t>www</w:t>
      </w:r>
      <w:r>
        <w:rPr>
          <w:rStyle w:val="7"/>
          <w:rFonts w:ascii="宋体" w:hAnsi="宋体" w:eastAsia="宋体" w:cs="宋体"/>
          <w:snapToGrid w:val="0"/>
          <w:color w:val="auto"/>
          <w:spacing w:val="4"/>
          <w:kern w:val="0"/>
          <w:sz w:val="24"/>
          <w:szCs w:val="24"/>
        </w:rPr>
        <w:t>.</w:t>
      </w:r>
      <w:r>
        <w:rPr>
          <w:rStyle w:val="7"/>
          <w:rFonts w:ascii="宋体" w:hAnsi="宋体" w:eastAsia="宋体" w:cs="宋体"/>
          <w:snapToGrid w:val="0"/>
          <w:color w:val="auto"/>
          <w:kern w:val="0"/>
          <w:sz w:val="24"/>
          <w:szCs w:val="24"/>
        </w:rPr>
        <w:t>gsxt</w:t>
      </w:r>
      <w:r>
        <w:rPr>
          <w:rStyle w:val="7"/>
          <w:rFonts w:ascii="宋体" w:hAnsi="宋体" w:eastAsia="宋体" w:cs="宋体"/>
          <w:snapToGrid w:val="0"/>
          <w:color w:val="auto"/>
          <w:spacing w:val="4"/>
          <w:kern w:val="0"/>
          <w:sz w:val="24"/>
          <w:szCs w:val="24"/>
        </w:rPr>
        <w:t>.</w:t>
      </w:r>
      <w:r>
        <w:rPr>
          <w:rStyle w:val="7"/>
          <w:rFonts w:ascii="宋体" w:hAnsi="宋体" w:eastAsia="宋体" w:cs="宋体"/>
          <w:snapToGrid w:val="0"/>
          <w:color w:val="auto"/>
          <w:kern w:val="0"/>
          <w:sz w:val="24"/>
          <w:szCs w:val="24"/>
        </w:rPr>
        <w:t>gov</w:t>
      </w:r>
      <w:r>
        <w:rPr>
          <w:rStyle w:val="7"/>
          <w:rFonts w:ascii="宋体" w:hAnsi="宋体" w:eastAsia="宋体" w:cs="宋体"/>
          <w:snapToGrid w:val="0"/>
          <w:color w:val="auto"/>
          <w:spacing w:val="4"/>
          <w:kern w:val="0"/>
          <w:sz w:val="24"/>
          <w:szCs w:val="24"/>
        </w:rPr>
        <w:t>.</w:t>
      </w:r>
      <w:r>
        <w:rPr>
          <w:rStyle w:val="7"/>
          <w:rFonts w:ascii="宋体" w:hAnsi="宋体" w:eastAsia="宋体" w:cs="宋体"/>
          <w:snapToGrid w:val="0"/>
          <w:color w:val="auto"/>
          <w:kern w:val="0"/>
          <w:sz w:val="24"/>
          <w:szCs w:val="24"/>
        </w:rPr>
        <w:t>cn</w:t>
      </w:r>
      <w:r>
        <w:rPr>
          <w:rStyle w:val="7"/>
          <w:rFonts w:ascii="宋体" w:hAnsi="宋体" w:eastAsia="宋体" w:cs="宋体"/>
          <w:snapToGrid w:val="0"/>
          <w:color w:val="auto"/>
          <w:kern w:val="0"/>
          <w:sz w:val="24"/>
          <w:szCs w:val="24"/>
        </w:rPr>
        <w:fldChar w:fldCharType="end"/>
      </w:r>
      <w:r>
        <w:rPr>
          <w:rStyle w:val="7"/>
          <w:rFonts w:ascii="宋体" w:hAnsi="宋体" w:eastAsia="宋体" w:cs="宋体"/>
          <w:snapToGrid w:val="0"/>
          <w:color w:val="auto"/>
          <w:spacing w:val="4"/>
          <w:kern w:val="0"/>
          <w:sz w:val="24"/>
          <w:szCs w:val="24"/>
        </w:rPr>
        <w:t>)中被列入严重违法失信企业名单的或在“信用中国”</w:t>
      </w:r>
      <w:r>
        <w:rPr>
          <w:rStyle w:val="7"/>
          <w:rFonts w:ascii="宋体" w:hAnsi="宋体" w:eastAsia="宋体" w:cs="宋体"/>
          <w:snapToGrid w:val="0"/>
          <w:color w:val="auto"/>
          <w:spacing w:val="14"/>
          <w:kern w:val="0"/>
          <w:sz w:val="24"/>
          <w:szCs w:val="24"/>
        </w:rPr>
        <w:t>网</w:t>
      </w:r>
      <w:r>
        <w:rPr>
          <w:rStyle w:val="7"/>
          <w:rFonts w:ascii="宋体" w:hAnsi="宋体" w:eastAsia="宋体" w:cs="宋体"/>
          <w:snapToGrid w:val="0"/>
          <w:color w:val="auto"/>
          <w:spacing w:val="8"/>
          <w:kern w:val="0"/>
          <w:sz w:val="24"/>
          <w:szCs w:val="24"/>
        </w:rPr>
        <w:t>站</w:t>
      </w:r>
      <w:r>
        <w:rPr>
          <w:rStyle w:val="7"/>
          <w:rFonts w:ascii="宋体" w:hAnsi="宋体" w:eastAsia="宋体" w:cs="宋体"/>
          <w:snapToGrid w:val="0"/>
          <w:color w:val="auto"/>
          <w:spacing w:val="7"/>
          <w:kern w:val="0"/>
          <w:sz w:val="24"/>
          <w:szCs w:val="24"/>
        </w:rPr>
        <w:t>(</w:t>
      </w:r>
      <w:r>
        <w:rPr>
          <w:rStyle w:val="7"/>
          <w:rFonts w:ascii="宋体" w:hAnsi="宋体" w:eastAsia="宋体" w:cs="宋体"/>
          <w:snapToGrid w:val="0"/>
          <w:color w:val="auto"/>
          <w:kern w:val="0"/>
          <w:sz w:val="24"/>
          <w:szCs w:val="24"/>
        </w:rPr>
        <w:t>www</w:t>
      </w:r>
      <w:r>
        <w:rPr>
          <w:rStyle w:val="7"/>
          <w:rFonts w:ascii="宋体" w:hAnsi="宋体" w:eastAsia="宋体" w:cs="宋体"/>
          <w:snapToGrid w:val="0"/>
          <w:color w:val="auto"/>
          <w:spacing w:val="7"/>
          <w:kern w:val="0"/>
          <w:sz w:val="24"/>
          <w:szCs w:val="24"/>
        </w:rPr>
        <w:t>.</w:t>
      </w:r>
      <w:r>
        <w:rPr>
          <w:rStyle w:val="7"/>
          <w:rFonts w:ascii="宋体" w:hAnsi="宋体" w:eastAsia="宋体" w:cs="宋体"/>
          <w:snapToGrid w:val="0"/>
          <w:color w:val="auto"/>
          <w:kern w:val="0"/>
          <w:sz w:val="24"/>
          <w:szCs w:val="24"/>
        </w:rPr>
        <w:t>creditchina</w:t>
      </w:r>
      <w:r>
        <w:rPr>
          <w:rStyle w:val="7"/>
          <w:rFonts w:ascii="宋体" w:hAnsi="宋体" w:eastAsia="宋体" w:cs="宋体"/>
          <w:snapToGrid w:val="0"/>
          <w:color w:val="auto"/>
          <w:spacing w:val="7"/>
          <w:kern w:val="0"/>
          <w:sz w:val="24"/>
          <w:szCs w:val="24"/>
        </w:rPr>
        <w:t>.</w:t>
      </w:r>
      <w:r>
        <w:rPr>
          <w:rStyle w:val="7"/>
          <w:rFonts w:ascii="宋体" w:hAnsi="宋体" w:eastAsia="宋体" w:cs="宋体"/>
          <w:snapToGrid w:val="0"/>
          <w:color w:val="auto"/>
          <w:kern w:val="0"/>
          <w:sz w:val="24"/>
          <w:szCs w:val="24"/>
        </w:rPr>
        <w:t>gov</w:t>
      </w:r>
      <w:r>
        <w:rPr>
          <w:rStyle w:val="7"/>
          <w:rFonts w:ascii="宋体" w:hAnsi="宋体" w:eastAsia="宋体" w:cs="宋体"/>
          <w:snapToGrid w:val="0"/>
          <w:color w:val="auto"/>
          <w:spacing w:val="7"/>
          <w:kern w:val="0"/>
          <w:sz w:val="24"/>
          <w:szCs w:val="24"/>
        </w:rPr>
        <w:t>.</w:t>
      </w:r>
      <w:r>
        <w:rPr>
          <w:rStyle w:val="7"/>
          <w:rFonts w:ascii="宋体" w:hAnsi="宋体" w:eastAsia="宋体" w:cs="宋体"/>
          <w:snapToGrid w:val="0"/>
          <w:color w:val="auto"/>
          <w:kern w:val="0"/>
          <w:sz w:val="24"/>
          <w:szCs w:val="24"/>
        </w:rPr>
        <w:t>cn</w:t>
      </w:r>
      <w:r>
        <w:rPr>
          <w:rStyle w:val="7"/>
          <w:rFonts w:ascii="宋体" w:hAnsi="宋体" w:eastAsia="宋体" w:cs="宋体"/>
          <w:snapToGrid w:val="0"/>
          <w:color w:val="auto"/>
          <w:spacing w:val="7"/>
          <w:kern w:val="0"/>
          <w:sz w:val="24"/>
          <w:szCs w:val="24"/>
        </w:rPr>
        <w:t>)中被列入失信被执行人名单的投标人投标。</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rPr>
          <w:rStyle w:val="7"/>
          <w:rFonts w:ascii="宋体" w:hAnsi="宋体" w:eastAsia="宋体" w:cs="宋体"/>
          <w:snapToGrid w:val="0"/>
          <w:color w:val="auto"/>
          <w:kern w:val="0"/>
          <w:sz w:val="13"/>
          <w:szCs w:val="13"/>
        </w:rPr>
      </w:pPr>
      <w:r>
        <w:rPr>
          <w:rStyle w:val="7"/>
          <w:rFonts w:ascii="宋体" w:hAnsi="宋体" w:eastAsia="宋体" w:cs="宋体"/>
          <w:snapToGrid w:val="0"/>
          <w:color w:val="auto"/>
          <w:spacing w:val="14"/>
          <w:kern w:val="0"/>
          <w:sz w:val="27"/>
          <w:szCs w:val="27"/>
        </w:rPr>
        <w:t>4</w:t>
      </w:r>
      <w:r>
        <w:rPr>
          <w:rStyle w:val="7"/>
          <w:rFonts w:ascii="宋体" w:hAnsi="宋体" w:eastAsia="宋体" w:cs="宋体"/>
          <w:snapToGrid w:val="0"/>
          <w:color w:val="auto"/>
          <w:spacing w:val="8"/>
          <w:kern w:val="0"/>
          <w:sz w:val="27"/>
          <w:szCs w:val="27"/>
        </w:rPr>
        <w:t>.</w:t>
      </w:r>
      <w:r>
        <w:rPr>
          <w:rStyle w:val="7"/>
          <w:rFonts w:ascii="宋体" w:hAnsi="宋体" w:eastAsia="宋体" w:cs="宋体"/>
          <w:snapToGrid w:val="0"/>
          <w:color w:val="auto"/>
          <w:spacing w:val="7"/>
          <w:kern w:val="0"/>
          <w:sz w:val="27"/>
          <w:szCs w:val="27"/>
        </w:rPr>
        <w:t xml:space="preserve"> 技术成果经济补偿</w:t>
      </w:r>
      <w:r>
        <w:rPr>
          <w:rStyle w:val="7"/>
          <w:rFonts w:ascii="宋体" w:hAnsi="宋体" w:eastAsia="宋体" w:cs="宋体"/>
          <w:snapToGrid w:val="0"/>
          <w:color w:val="auto"/>
          <w:spacing w:val="7"/>
          <w:kern w:val="0"/>
          <w:position w:val="13"/>
          <w:sz w:val="13"/>
          <w:szCs w:val="13"/>
        </w:rPr>
        <w:t>6</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2"/>
          <w:kern w:val="0"/>
          <w:sz w:val="24"/>
          <w:szCs w:val="24"/>
        </w:rPr>
        <w:t>本次招标对未中标人投标文件中的</w:t>
      </w:r>
      <w:r>
        <w:rPr>
          <w:rStyle w:val="7"/>
          <w:rFonts w:ascii="宋体" w:hAnsi="宋体" w:eastAsia="宋体" w:cs="宋体"/>
          <w:snapToGrid w:val="0"/>
          <w:color w:val="auto"/>
          <w:spacing w:val="-1"/>
          <w:kern w:val="0"/>
          <w:sz w:val="24"/>
          <w:szCs w:val="24"/>
        </w:rPr>
        <w:t>技术成果</w:t>
      </w:r>
      <w:r>
        <w:rPr>
          <w:rStyle w:val="7"/>
          <w:rFonts w:ascii="宋体" w:hAnsi="宋体" w:eastAsia="宋体" w:cs="宋体"/>
          <w:snapToGrid w:val="0"/>
          <w:color w:val="auto"/>
          <w:spacing w:val="-1"/>
          <w:kern w:val="0"/>
          <w:sz w:val="24"/>
          <w:szCs w:val="24"/>
          <w:u w:val="single" w:color="auto"/>
        </w:rPr>
        <w:t xml:space="preserve"> 不给予 </w:t>
      </w:r>
      <w:r>
        <w:rPr>
          <w:rStyle w:val="7"/>
          <w:rFonts w:ascii="宋体" w:hAnsi="宋体" w:eastAsia="宋体" w:cs="宋体"/>
          <w:snapToGrid w:val="0"/>
          <w:color w:val="auto"/>
          <w:spacing w:val="-1"/>
          <w:kern w:val="0"/>
          <w:sz w:val="24"/>
          <w:szCs w:val="24"/>
        </w:rPr>
        <w:t>经济补偿。</w:t>
      </w:r>
      <w:r>
        <w:rPr>
          <w:rStyle w:val="7"/>
          <w:rFonts w:ascii="宋体" w:hAnsi="宋体" w:eastAsia="宋体" w:cs="宋体"/>
          <w:snapToGrid w:val="0"/>
          <w:color w:val="auto"/>
          <w:kern w:val="0"/>
          <w:sz w:val="24"/>
          <w:szCs w:val="24"/>
        </w:rPr>
        <w:t xml:space="preserve"> </w:t>
      </w:r>
      <w:r>
        <w:rPr>
          <w:rStyle w:val="7"/>
          <w:rFonts w:ascii="宋体" w:hAnsi="宋体" w:eastAsia="宋体" w:cs="宋体"/>
          <w:snapToGrid w:val="0"/>
          <w:color w:val="auto"/>
          <w:spacing w:val="-10"/>
          <w:kern w:val="0"/>
          <w:sz w:val="24"/>
          <w:szCs w:val="24"/>
        </w:rPr>
        <w:t>给予</w:t>
      </w:r>
      <w:r>
        <w:rPr>
          <w:rStyle w:val="7"/>
          <w:rFonts w:ascii="宋体" w:hAnsi="宋体" w:eastAsia="宋体" w:cs="宋体"/>
          <w:snapToGrid w:val="0"/>
          <w:color w:val="auto"/>
          <w:spacing w:val="-8"/>
          <w:kern w:val="0"/>
          <w:sz w:val="24"/>
          <w:szCs w:val="24"/>
        </w:rPr>
        <w:t>经</w:t>
      </w:r>
      <w:r>
        <w:rPr>
          <w:rStyle w:val="7"/>
          <w:rFonts w:ascii="宋体" w:hAnsi="宋体" w:eastAsia="宋体" w:cs="宋体"/>
          <w:snapToGrid w:val="0"/>
          <w:color w:val="auto"/>
          <w:spacing w:val="-5"/>
          <w:kern w:val="0"/>
          <w:sz w:val="24"/>
          <w:szCs w:val="24"/>
        </w:rPr>
        <w:t>济补偿的，招标人将按如下标准支付经济补偿费：</w:t>
      </w:r>
      <w:r>
        <w:rPr>
          <w:rStyle w:val="7"/>
          <w:rFonts w:ascii="宋体" w:hAnsi="宋体" w:eastAsia="宋体" w:cs="宋体"/>
          <w:snapToGrid w:val="0"/>
          <w:color w:val="auto"/>
          <w:spacing w:val="-5"/>
          <w:kern w:val="0"/>
          <w:sz w:val="24"/>
          <w:szCs w:val="24"/>
          <w:u w:val="single" w:color="auto"/>
        </w:rPr>
        <w:t xml:space="preserve">无 </w:t>
      </w:r>
      <w:r>
        <w:rPr>
          <w:rStyle w:val="7"/>
          <w:rFonts w:ascii="宋体" w:hAnsi="宋体" w:eastAsia="宋体" w:cs="宋体"/>
          <w:snapToGrid w:val="0"/>
          <w:color w:val="auto"/>
          <w:spacing w:val="-5"/>
          <w:kern w:val="0"/>
          <w:sz w:val="24"/>
          <w:szCs w:val="24"/>
        </w:rPr>
        <w:t>。</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10"/>
          <w:kern w:val="0"/>
          <w:sz w:val="27"/>
          <w:szCs w:val="27"/>
        </w:rPr>
        <w:t>5</w:t>
      </w:r>
      <w:r>
        <w:rPr>
          <w:rStyle w:val="7"/>
          <w:rFonts w:ascii="宋体" w:hAnsi="宋体" w:eastAsia="宋体" w:cs="宋体"/>
          <w:snapToGrid w:val="0"/>
          <w:color w:val="auto"/>
          <w:spacing w:val="6"/>
          <w:kern w:val="0"/>
          <w:sz w:val="27"/>
          <w:szCs w:val="27"/>
        </w:rPr>
        <w:t>. 招标文件的获取</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2"/>
          <w:kern w:val="0"/>
          <w:sz w:val="24"/>
          <w:szCs w:val="24"/>
        </w:rPr>
        <w:t>凡有意参加投标者，请登录湖南省公路</w:t>
      </w:r>
      <w:r>
        <w:rPr>
          <w:rStyle w:val="7"/>
          <w:rFonts w:ascii="宋体" w:hAnsi="宋体" w:eastAsia="宋体" w:cs="宋体"/>
          <w:snapToGrid w:val="0"/>
          <w:color w:val="auto"/>
          <w:spacing w:val="1"/>
          <w:kern w:val="0"/>
          <w:sz w:val="24"/>
          <w:szCs w:val="24"/>
        </w:rPr>
        <w:t>建设市场信用信息管理系统(网址：</w:t>
      </w:r>
      <w:r>
        <w:rPr>
          <w:rStyle w:val="7"/>
          <w:rFonts w:ascii="宋体" w:hAnsi="宋体" w:eastAsia="宋体" w:cs="宋体"/>
          <w:snapToGrid w:val="0"/>
          <w:color w:val="auto"/>
          <w:kern w:val="0"/>
          <w:sz w:val="24"/>
          <w:szCs w:val="24"/>
        </w:rPr>
        <w:t xml:space="preserve">    http</w:t>
      </w:r>
      <w:r>
        <w:rPr>
          <w:rStyle w:val="7"/>
          <w:rFonts w:ascii="宋体" w:hAnsi="宋体" w:eastAsia="宋体" w:cs="宋体"/>
          <w:snapToGrid w:val="0"/>
          <w:color w:val="auto"/>
          <w:spacing w:val="10"/>
          <w:kern w:val="0"/>
          <w:sz w:val="24"/>
          <w:szCs w:val="24"/>
        </w:rPr>
        <w:t>://</w:t>
      </w:r>
      <w:r>
        <w:rPr>
          <w:rStyle w:val="7"/>
          <w:rFonts w:ascii="宋体" w:hAnsi="宋体" w:eastAsia="宋体" w:cs="宋体"/>
          <w:snapToGrid w:val="0"/>
          <w:color w:val="auto"/>
          <w:spacing w:val="7"/>
          <w:kern w:val="0"/>
          <w:sz w:val="24"/>
          <w:szCs w:val="24"/>
        </w:rPr>
        <w:t>2</w:t>
      </w:r>
      <w:r>
        <w:rPr>
          <w:rStyle w:val="7"/>
          <w:rFonts w:ascii="宋体" w:hAnsi="宋体" w:eastAsia="宋体" w:cs="宋体"/>
          <w:snapToGrid w:val="0"/>
          <w:color w:val="auto"/>
          <w:spacing w:val="5"/>
          <w:kern w:val="0"/>
          <w:sz w:val="24"/>
          <w:szCs w:val="24"/>
        </w:rPr>
        <w:t>18.76.40.80:8000/</w:t>
      </w:r>
      <w:r>
        <w:rPr>
          <w:rStyle w:val="7"/>
          <w:rFonts w:ascii="宋体" w:hAnsi="宋体" w:eastAsia="宋体" w:cs="宋体"/>
          <w:snapToGrid w:val="0"/>
          <w:color w:val="auto"/>
          <w:kern w:val="0"/>
          <w:sz w:val="24"/>
          <w:szCs w:val="24"/>
        </w:rPr>
        <w:t>gljs</w:t>
      </w:r>
      <w:r>
        <w:rPr>
          <w:rStyle w:val="7"/>
          <w:rFonts w:ascii="宋体" w:hAnsi="宋体" w:eastAsia="宋体" w:cs="宋体"/>
          <w:snapToGrid w:val="0"/>
          <w:color w:val="auto"/>
          <w:spacing w:val="5"/>
          <w:kern w:val="0"/>
          <w:sz w:val="24"/>
          <w:szCs w:val="24"/>
        </w:rPr>
        <w:t>)中注册、完善、公开本单位信息(新用户注</w:t>
      </w:r>
      <w:r>
        <w:rPr>
          <w:rStyle w:val="7"/>
          <w:rFonts w:ascii="宋体" w:hAnsi="宋体" w:eastAsia="宋体" w:cs="宋体"/>
          <w:snapToGrid w:val="0"/>
          <w:color w:val="auto"/>
          <w:spacing w:val="6"/>
          <w:kern w:val="0"/>
          <w:sz w:val="24"/>
          <w:szCs w:val="24"/>
        </w:rPr>
        <w:t>册请</w:t>
      </w:r>
      <w:r>
        <w:rPr>
          <w:rStyle w:val="7"/>
          <w:rFonts w:ascii="宋体" w:hAnsi="宋体" w:eastAsia="宋体" w:cs="宋体"/>
          <w:snapToGrid w:val="0"/>
          <w:color w:val="auto"/>
          <w:spacing w:val="3"/>
          <w:kern w:val="0"/>
          <w:sz w:val="24"/>
          <w:szCs w:val="24"/>
        </w:rPr>
        <w:t>联系湖南省交通运输厅《关于湖南省公路建设市场信用信息管理系统(新</w:t>
      </w:r>
      <w:r>
        <w:rPr>
          <w:rStyle w:val="7"/>
          <w:rFonts w:ascii="宋体" w:hAnsi="宋体" w:eastAsia="宋体" w:cs="宋体"/>
          <w:snapToGrid w:val="0"/>
          <w:color w:val="auto"/>
          <w:spacing w:val="1"/>
          <w:kern w:val="0"/>
          <w:sz w:val="24"/>
          <w:szCs w:val="24"/>
        </w:rPr>
        <w:t>开发) 运行的通知》(厅办函〔2016〕204 号) 文件</w:t>
      </w:r>
      <w:r>
        <w:rPr>
          <w:rStyle w:val="7"/>
          <w:rFonts w:ascii="宋体" w:hAnsi="宋体" w:eastAsia="宋体" w:cs="宋体"/>
          <w:snapToGrid w:val="0"/>
          <w:color w:val="auto"/>
          <w:kern w:val="0"/>
          <w:sz w:val="24"/>
          <w:szCs w:val="24"/>
        </w:rPr>
        <w:t>中的联系方式办理) 。本次</w:t>
      </w:r>
      <w:r>
        <w:rPr>
          <w:rStyle w:val="7"/>
          <w:rFonts w:ascii="宋体" w:hAnsi="宋体" w:eastAsia="宋体" w:cs="宋体"/>
          <w:snapToGrid w:val="0"/>
          <w:color w:val="auto"/>
          <w:spacing w:val="-3"/>
          <w:kern w:val="0"/>
          <w:sz w:val="24"/>
          <w:szCs w:val="24"/>
        </w:rPr>
        <w:t>招标所有的招标文件下载、澄清、补遗、异议等均通过电子交易平台进行。凡</w:t>
      </w:r>
      <w:r>
        <w:rPr>
          <w:rStyle w:val="7"/>
          <w:rFonts w:ascii="宋体" w:hAnsi="宋体" w:eastAsia="宋体" w:cs="宋体"/>
          <w:snapToGrid w:val="0"/>
          <w:color w:val="auto"/>
          <w:spacing w:val="-1"/>
          <w:kern w:val="0"/>
          <w:sz w:val="24"/>
          <w:szCs w:val="24"/>
        </w:rPr>
        <w:t>有</w:t>
      </w:r>
      <w:r>
        <w:rPr>
          <w:rStyle w:val="7"/>
          <w:rFonts w:ascii="宋体" w:hAnsi="宋体" w:eastAsia="宋体" w:cs="宋体"/>
          <w:snapToGrid w:val="0"/>
          <w:color w:val="auto"/>
          <w:spacing w:val="-4"/>
          <w:kern w:val="0"/>
          <w:sz w:val="24"/>
          <w:szCs w:val="24"/>
        </w:rPr>
        <w:t>意参加投标者， 请在湖南省公共</w:t>
      </w:r>
      <w:r>
        <w:rPr>
          <w:rStyle w:val="7"/>
          <w:rFonts w:ascii="宋体" w:hAnsi="宋体" w:eastAsia="宋体" w:cs="宋体"/>
          <w:snapToGrid w:val="0"/>
          <w:color w:val="auto"/>
          <w:spacing w:val="-3"/>
          <w:kern w:val="0"/>
          <w:sz w:val="24"/>
          <w:szCs w:val="24"/>
        </w:rPr>
        <w:t>资</w:t>
      </w:r>
      <w:r>
        <w:rPr>
          <w:rStyle w:val="7"/>
          <w:rFonts w:ascii="宋体" w:hAnsi="宋体" w:eastAsia="宋体" w:cs="宋体"/>
          <w:snapToGrid w:val="0"/>
          <w:color w:val="auto"/>
          <w:spacing w:val="-2"/>
          <w:kern w:val="0"/>
          <w:sz w:val="24"/>
          <w:szCs w:val="24"/>
        </w:rPr>
        <w:t>源交易中心(长沙市万家丽南路 2 段 29 号)</w:t>
      </w:r>
      <w:r>
        <w:rPr>
          <w:rStyle w:val="7"/>
          <w:rFonts w:ascii="宋体" w:hAnsi="宋体" w:eastAsia="宋体" w:cs="宋体"/>
          <w:snapToGrid w:val="0"/>
          <w:color w:val="auto"/>
          <w:kern w:val="0"/>
          <w:sz w:val="24"/>
          <w:szCs w:val="24"/>
        </w:rPr>
        <w:t xml:space="preserve"> </w:t>
      </w:r>
      <w:r>
        <w:rPr>
          <w:rStyle w:val="7"/>
          <w:rFonts w:ascii="宋体" w:hAnsi="宋体" w:eastAsia="宋体" w:cs="宋体"/>
          <w:snapToGrid w:val="0"/>
          <w:color w:val="auto"/>
          <w:spacing w:val="-6"/>
          <w:kern w:val="0"/>
          <w:sz w:val="24"/>
          <w:szCs w:val="24"/>
        </w:rPr>
        <w:t>窗</w:t>
      </w:r>
      <w:r>
        <w:rPr>
          <w:rStyle w:val="7"/>
          <w:rFonts w:ascii="宋体" w:hAnsi="宋体" w:eastAsia="宋体" w:cs="宋体"/>
          <w:snapToGrid w:val="0"/>
          <w:color w:val="auto"/>
          <w:spacing w:val="-5"/>
          <w:kern w:val="0"/>
          <w:sz w:val="24"/>
          <w:szCs w:val="24"/>
        </w:rPr>
        <w:t>口</w:t>
      </w:r>
      <w:r>
        <w:rPr>
          <w:rStyle w:val="7"/>
          <w:rFonts w:ascii="宋体" w:hAnsi="宋体" w:eastAsia="宋体" w:cs="宋体"/>
          <w:snapToGrid w:val="0"/>
          <w:color w:val="auto"/>
          <w:spacing w:val="-3"/>
          <w:kern w:val="0"/>
          <w:sz w:val="24"/>
          <w:szCs w:val="24"/>
        </w:rPr>
        <w:t>办理 CA 认证，完成 CA 绑定账号后，在湖南省公共资源交易中心工程建</w:t>
      </w:r>
      <w:r>
        <w:rPr>
          <w:rStyle w:val="7"/>
          <w:rFonts w:ascii="宋体" w:hAnsi="宋体" w:eastAsia="宋体" w:cs="宋体"/>
          <w:snapToGrid w:val="0"/>
          <w:color w:val="auto"/>
          <w:spacing w:val="1"/>
          <w:kern w:val="0"/>
          <w:sz w:val="24"/>
          <w:szCs w:val="24"/>
        </w:rPr>
        <w:t>设项目招投标交易系统(交通) 按照外网招</w:t>
      </w:r>
      <w:r>
        <w:rPr>
          <w:rStyle w:val="7"/>
          <w:rFonts w:ascii="宋体" w:hAnsi="宋体" w:eastAsia="宋体" w:cs="宋体"/>
          <w:snapToGrid w:val="0"/>
          <w:color w:val="auto"/>
          <w:kern w:val="0"/>
          <w:sz w:val="24"/>
          <w:szCs w:val="24"/>
        </w:rPr>
        <w:t>标公告发布的获取时间自行获取招标</w:t>
      </w:r>
      <w:r>
        <w:rPr>
          <w:rStyle w:val="7"/>
          <w:rFonts w:ascii="宋体" w:hAnsi="宋体" w:eastAsia="宋体" w:cs="宋体"/>
          <w:snapToGrid w:val="0"/>
          <w:color w:val="auto"/>
          <w:spacing w:val="-12"/>
          <w:kern w:val="0"/>
          <w:sz w:val="24"/>
          <w:szCs w:val="24"/>
        </w:rPr>
        <w:t>文</w:t>
      </w:r>
      <w:r>
        <w:rPr>
          <w:rStyle w:val="7"/>
          <w:rFonts w:ascii="宋体" w:hAnsi="宋体" w:eastAsia="宋体" w:cs="宋体"/>
          <w:snapToGrid w:val="0"/>
          <w:color w:val="auto"/>
          <w:spacing w:val="-7"/>
          <w:kern w:val="0"/>
          <w:sz w:val="24"/>
          <w:szCs w:val="24"/>
        </w:rPr>
        <w:t>件</w:t>
      </w:r>
      <w:r>
        <w:rPr>
          <w:rStyle w:val="7"/>
          <w:rFonts w:ascii="宋体" w:hAnsi="宋体" w:eastAsia="宋体" w:cs="宋体"/>
          <w:snapToGrid w:val="0"/>
          <w:color w:val="auto"/>
          <w:spacing w:val="-6"/>
          <w:kern w:val="0"/>
          <w:sz w:val="24"/>
          <w:szCs w:val="24"/>
        </w:rPr>
        <w:t>，网上下载的招标文件与书面招标文件具有同等法律效力。凡超过招标文件</w:t>
      </w:r>
      <w:r>
        <w:rPr>
          <w:rStyle w:val="7"/>
          <w:rFonts w:ascii="宋体" w:hAnsi="宋体" w:eastAsia="宋体" w:cs="宋体"/>
          <w:snapToGrid w:val="0"/>
          <w:color w:val="auto"/>
          <w:spacing w:val="-12"/>
          <w:kern w:val="0"/>
          <w:sz w:val="24"/>
          <w:szCs w:val="24"/>
        </w:rPr>
        <w:t>下</w:t>
      </w:r>
      <w:r>
        <w:rPr>
          <w:rStyle w:val="7"/>
          <w:rFonts w:ascii="宋体" w:hAnsi="宋体" w:eastAsia="宋体" w:cs="宋体"/>
          <w:snapToGrid w:val="0"/>
          <w:color w:val="auto"/>
          <w:spacing w:val="-7"/>
          <w:kern w:val="0"/>
          <w:sz w:val="24"/>
          <w:szCs w:val="24"/>
        </w:rPr>
        <w:t>载</w:t>
      </w:r>
      <w:r>
        <w:rPr>
          <w:rStyle w:val="7"/>
          <w:rFonts w:ascii="宋体" w:hAnsi="宋体" w:eastAsia="宋体" w:cs="宋体"/>
          <w:snapToGrid w:val="0"/>
          <w:color w:val="auto"/>
          <w:spacing w:val="-6"/>
          <w:kern w:val="0"/>
          <w:sz w:val="24"/>
          <w:szCs w:val="24"/>
        </w:rPr>
        <w:t>时间将被拒绝。投标人应及时关注网上相关招标信息，如有遗漏招标人概不</w:t>
      </w:r>
      <w:r>
        <w:rPr>
          <w:rStyle w:val="7"/>
          <w:rFonts w:ascii="宋体" w:hAnsi="宋体" w:eastAsia="宋体" w:cs="宋体"/>
          <w:snapToGrid w:val="0"/>
          <w:color w:val="auto"/>
          <w:spacing w:val="-10"/>
          <w:kern w:val="0"/>
          <w:sz w:val="24"/>
          <w:szCs w:val="24"/>
        </w:rPr>
        <w:t>负责，所造</w:t>
      </w:r>
      <w:r>
        <w:rPr>
          <w:rStyle w:val="7"/>
          <w:rFonts w:ascii="宋体" w:hAnsi="宋体" w:eastAsia="宋体" w:cs="宋体"/>
          <w:snapToGrid w:val="0"/>
          <w:color w:val="auto"/>
          <w:spacing w:val="-5"/>
          <w:kern w:val="0"/>
          <w:sz w:val="24"/>
          <w:szCs w:val="24"/>
        </w:rPr>
        <w:t>成的投标失败或损失由投标人自行负责。投标人在办理 CA 数字证书</w:t>
      </w:r>
      <w:r>
        <w:rPr>
          <w:rStyle w:val="7"/>
          <w:rFonts w:ascii="宋体" w:hAnsi="宋体" w:eastAsia="宋体" w:cs="宋体"/>
          <w:snapToGrid w:val="0"/>
          <w:color w:val="auto"/>
          <w:spacing w:val="-18"/>
          <w:kern w:val="0"/>
          <w:sz w:val="24"/>
          <w:szCs w:val="24"/>
        </w:rPr>
        <w:t>时</w:t>
      </w:r>
      <w:r>
        <w:rPr>
          <w:rStyle w:val="7"/>
          <w:rFonts w:ascii="宋体" w:hAnsi="宋体" w:eastAsia="宋体" w:cs="宋体"/>
          <w:snapToGrid w:val="0"/>
          <w:color w:val="auto"/>
          <w:spacing w:val="-10"/>
          <w:kern w:val="0"/>
          <w:sz w:val="24"/>
          <w:szCs w:val="24"/>
        </w:rPr>
        <w:t>，</w:t>
      </w:r>
      <w:r>
        <w:rPr>
          <w:rStyle w:val="7"/>
          <w:rFonts w:ascii="宋体" w:hAnsi="宋体" w:eastAsia="宋体" w:cs="宋体"/>
          <w:snapToGrid w:val="0"/>
          <w:color w:val="auto"/>
          <w:spacing w:val="-9"/>
          <w:kern w:val="0"/>
          <w:sz w:val="24"/>
          <w:szCs w:val="24"/>
        </w:rPr>
        <w:t>自行填写利益相关企业，由电子招投标系统根据投标人填写的利益相关企业</w:t>
      </w:r>
      <w:r>
        <w:rPr>
          <w:rStyle w:val="7"/>
          <w:rFonts w:ascii="宋体" w:hAnsi="宋体" w:eastAsia="宋体" w:cs="宋体"/>
          <w:snapToGrid w:val="0"/>
          <w:color w:val="auto"/>
          <w:spacing w:val="-6"/>
          <w:kern w:val="0"/>
          <w:sz w:val="24"/>
          <w:szCs w:val="24"/>
        </w:rPr>
        <w:t>情</w:t>
      </w:r>
      <w:r>
        <w:rPr>
          <w:rStyle w:val="7"/>
          <w:rFonts w:ascii="宋体" w:hAnsi="宋体" w:eastAsia="宋体" w:cs="宋体"/>
          <w:snapToGrid w:val="0"/>
          <w:color w:val="auto"/>
          <w:spacing w:val="-4"/>
          <w:kern w:val="0"/>
          <w:sz w:val="24"/>
          <w:szCs w:val="24"/>
        </w:rPr>
        <w:t>况</w:t>
      </w:r>
      <w:r>
        <w:rPr>
          <w:rStyle w:val="7"/>
          <w:rFonts w:ascii="宋体" w:hAnsi="宋体" w:eastAsia="宋体" w:cs="宋体"/>
          <w:snapToGrid w:val="0"/>
          <w:color w:val="auto"/>
          <w:spacing w:val="-3"/>
          <w:kern w:val="0"/>
          <w:sz w:val="24"/>
          <w:szCs w:val="24"/>
        </w:rPr>
        <w:t>，在网上报名时自动提醒利益相关企业已报名(如利益相关企业报名数超过</w:t>
      </w:r>
      <w:r>
        <w:rPr>
          <w:rStyle w:val="7"/>
          <w:rFonts w:ascii="宋体" w:hAnsi="宋体" w:eastAsia="宋体" w:cs="宋体"/>
          <w:snapToGrid w:val="0"/>
          <w:color w:val="auto"/>
          <w:spacing w:val="-7"/>
          <w:kern w:val="0"/>
          <w:sz w:val="24"/>
          <w:szCs w:val="24"/>
        </w:rPr>
        <w:t>可</w:t>
      </w:r>
      <w:r>
        <w:rPr>
          <w:rStyle w:val="7"/>
          <w:rFonts w:ascii="宋体" w:hAnsi="宋体" w:eastAsia="宋体" w:cs="宋体"/>
          <w:snapToGrid w:val="0"/>
          <w:color w:val="auto"/>
          <w:spacing w:val="-6"/>
          <w:kern w:val="0"/>
          <w:sz w:val="24"/>
          <w:szCs w:val="24"/>
        </w:rPr>
        <w:t>投标段数的，自动禁止报名) ，如因企业未如实填写利益相关企业导致利益相</w:t>
      </w:r>
      <w:r>
        <w:rPr>
          <w:rStyle w:val="7"/>
          <w:rFonts w:ascii="宋体" w:hAnsi="宋体" w:eastAsia="宋体" w:cs="宋体"/>
          <w:snapToGrid w:val="0"/>
          <w:color w:val="auto"/>
          <w:spacing w:val="-4"/>
          <w:kern w:val="0"/>
          <w:sz w:val="24"/>
          <w:szCs w:val="24"/>
        </w:rPr>
        <w:t>关</w:t>
      </w:r>
      <w:r>
        <w:rPr>
          <w:rStyle w:val="7"/>
          <w:rFonts w:ascii="宋体" w:hAnsi="宋体" w:eastAsia="宋体" w:cs="宋体"/>
          <w:snapToGrid w:val="0"/>
          <w:color w:val="auto"/>
          <w:spacing w:val="-2"/>
          <w:kern w:val="0"/>
          <w:sz w:val="24"/>
          <w:szCs w:val="24"/>
        </w:rPr>
        <w:t>企业投同一标段的，按否决其投标处理。</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596"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14"/>
          <w:kern w:val="0"/>
          <w:sz w:val="27"/>
          <w:szCs w:val="27"/>
        </w:rPr>
        <w:t>6</w:t>
      </w:r>
      <w:r>
        <w:rPr>
          <w:rStyle w:val="7"/>
          <w:rFonts w:ascii="宋体" w:hAnsi="宋体" w:eastAsia="宋体" w:cs="宋体"/>
          <w:snapToGrid w:val="0"/>
          <w:color w:val="auto"/>
          <w:spacing w:val="9"/>
          <w:kern w:val="0"/>
          <w:sz w:val="27"/>
          <w:szCs w:val="27"/>
        </w:rPr>
        <w:t>.</w:t>
      </w:r>
      <w:r>
        <w:rPr>
          <w:rStyle w:val="7"/>
          <w:rFonts w:ascii="宋体" w:hAnsi="宋体" w:eastAsia="宋体" w:cs="宋体"/>
          <w:snapToGrid w:val="0"/>
          <w:color w:val="auto"/>
          <w:spacing w:val="7"/>
          <w:kern w:val="0"/>
          <w:sz w:val="27"/>
          <w:szCs w:val="27"/>
        </w:rPr>
        <w:t xml:space="preserve"> 投标文件的递交及相关事宜</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2"/>
          <w:kern w:val="0"/>
          <w:sz w:val="24"/>
          <w:szCs w:val="24"/>
        </w:rPr>
        <w:t>6.1 招标人不组织工程现场踏勘及召开</w:t>
      </w:r>
      <w:r>
        <w:rPr>
          <w:rStyle w:val="7"/>
          <w:rFonts w:ascii="宋体" w:hAnsi="宋体" w:eastAsia="宋体" w:cs="宋体"/>
          <w:snapToGrid w:val="0"/>
          <w:color w:val="auto"/>
          <w:spacing w:val="-1"/>
          <w:kern w:val="0"/>
          <w:sz w:val="24"/>
          <w:szCs w:val="24"/>
        </w:rPr>
        <w:t>投标预备会。</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Style w:val="7"/>
          <w:rFonts w:ascii="宋体" w:hAnsi="宋体" w:eastAsia="宋体" w:cs="宋体"/>
          <w:snapToGrid w:val="0"/>
          <w:color w:val="auto"/>
          <w:spacing w:val="-2"/>
          <w:kern w:val="0"/>
          <w:sz w:val="24"/>
          <w:szCs w:val="24"/>
        </w:rPr>
      </w:pPr>
      <w:r>
        <w:rPr>
          <w:rStyle w:val="7"/>
          <w:rFonts w:ascii="宋体" w:hAnsi="宋体" w:eastAsia="宋体" w:cs="宋体"/>
          <w:snapToGrid w:val="0"/>
          <w:color w:val="auto"/>
          <w:spacing w:val="-2"/>
          <w:kern w:val="0"/>
          <w:sz w:val="24"/>
          <w:szCs w:val="24"/>
        </w:rPr>
        <w:t>6.2 投标文件递交的截止时间</w:t>
      </w:r>
      <w:r>
        <w:rPr>
          <w:rStyle w:val="7"/>
          <w:rFonts w:hint="eastAsia" w:ascii="宋体" w:hAnsi="宋体" w:cs="宋体"/>
          <w:snapToGrid w:val="0"/>
          <w:color w:val="auto"/>
          <w:spacing w:val="-2"/>
          <w:kern w:val="0"/>
          <w:sz w:val="24"/>
          <w:szCs w:val="24"/>
          <w:lang w:val="en-US" w:eastAsia="zh-CN"/>
        </w:rPr>
        <w:t>（投标截止时间，下同）为2024年5月8日上午9：00</w:t>
      </w:r>
      <w:r>
        <w:rPr>
          <w:rStyle w:val="7"/>
          <w:rFonts w:ascii="宋体" w:hAnsi="宋体" w:eastAsia="宋体" w:cs="宋体"/>
          <w:snapToGrid w:val="0"/>
          <w:color w:val="auto"/>
          <w:spacing w:val="-2"/>
          <w:kern w:val="0"/>
          <w:sz w:val="24"/>
          <w:szCs w:val="24"/>
        </w:rPr>
        <w:t>。</w:t>
      </w:r>
    </w:p>
    <w:p>
      <w:pPr>
        <w:pStyle w:val="9"/>
        <w:widowControl/>
        <w:kinsoku w:val="0"/>
        <w:autoSpaceDE w:val="0"/>
        <w:autoSpaceDN w:val="0"/>
        <w:adjustRightInd w:val="0"/>
        <w:snapToGrid w:val="0"/>
        <w:spacing w:before="21" w:line="239" w:lineRule="auto"/>
        <w:ind w:right="267"/>
        <w:jc w:val="left"/>
        <w:textAlignment w:val="baseline"/>
        <w:rPr>
          <w:rStyle w:val="7"/>
          <w:rFonts w:ascii="华文新魏" w:hAnsi="华文新魏" w:eastAsia="华文新魏" w:cs="华文新魏"/>
          <w:snapToGrid w:val="0"/>
          <w:color w:val="auto"/>
          <w:spacing w:val="-6"/>
          <w:kern w:val="0"/>
          <w:position w:val="7"/>
          <w:sz w:val="11"/>
          <w:szCs w:val="11"/>
        </w:rPr>
      </w:pPr>
    </w:p>
    <w:p>
      <w:pPr>
        <w:pStyle w:val="9"/>
        <w:widowControl/>
        <w:kinsoku w:val="0"/>
        <w:autoSpaceDE w:val="0"/>
        <w:autoSpaceDN w:val="0"/>
        <w:adjustRightInd w:val="0"/>
        <w:snapToGrid w:val="0"/>
        <w:spacing w:before="21" w:line="239" w:lineRule="auto"/>
        <w:ind w:left="35" w:right="267" w:firstLine="1"/>
        <w:jc w:val="left"/>
        <w:textAlignment w:val="baseline"/>
        <w:rPr>
          <w:rStyle w:val="7"/>
          <w:rFonts w:ascii="黑体" w:hAnsi="黑体" w:eastAsia="黑体" w:cs="黑体"/>
          <w:snapToGrid w:val="0"/>
          <w:color w:val="auto"/>
          <w:kern w:val="0"/>
          <w:sz w:val="18"/>
          <w:szCs w:val="18"/>
        </w:rPr>
      </w:pPr>
      <w:r>
        <w:rPr>
          <w:rStyle w:val="7"/>
          <w:rFonts w:ascii="华文新魏" w:hAnsi="华文新魏" w:eastAsia="华文新魏" w:cs="华文新魏"/>
          <w:snapToGrid w:val="0"/>
          <w:color w:val="auto"/>
          <w:spacing w:val="-6"/>
          <w:kern w:val="0"/>
          <w:position w:val="7"/>
          <w:sz w:val="11"/>
          <w:szCs w:val="11"/>
        </w:rPr>
        <w:t xml:space="preserve">5   </w:t>
      </w:r>
      <w:r>
        <w:rPr>
          <w:rStyle w:val="7"/>
          <w:rFonts w:ascii="黑体" w:hAnsi="黑体" w:eastAsia="黑体" w:cs="黑体"/>
          <w:snapToGrid w:val="0"/>
          <w:color w:val="auto"/>
          <w:spacing w:val="-6"/>
          <w:kern w:val="0"/>
          <w:sz w:val="18"/>
          <w:szCs w:val="18"/>
        </w:rPr>
        <w:t>省属项</w:t>
      </w:r>
      <w:r>
        <w:rPr>
          <w:rStyle w:val="7"/>
          <w:rFonts w:ascii="黑体" w:hAnsi="黑体" w:eastAsia="黑体" w:cs="黑体"/>
          <w:snapToGrid w:val="0"/>
          <w:color w:val="auto"/>
          <w:spacing w:val="-4"/>
          <w:kern w:val="0"/>
          <w:sz w:val="18"/>
          <w:szCs w:val="18"/>
        </w:rPr>
        <w:t>目</w:t>
      </w:r>
      <w:r>
        <w:rPr>
          <w:rStyle w:val="7"/>
          <w:rFonts w:ascii="黑体" w:hAnsi="黑体" w:eastAsia="黑体" w:cs="黑体"/>
          <w:snapToGrid w:val="0"/>
          <w:color w:val="auto"/>
          <w:spacing w:val="-3"/>
          <w:kern w:val="0"/>
          <w:sz w:val="18"/>
          <w:szCs w:val="18"/>
        </w:rPr>
        <w:t>按省交通运输厅评价执行， 市州在农村公路招投标过程中， 市州交通运输局组织开展并发布的</w:t>
      </w:r>
      <w:r>
        <w:rPr>
          <w:rStyle w:val="7"/>
          <w:rFonts w:ascii="黑体" w:hAnsi="黑体" w:eastAsia="黑体" w:cs="黑体"/>
          <w:snapToGrid w:val="0"/>
          <w:color w:val="auto"/>
          <w:kern w:val="0"/>
          <w:sz w:val="18"/>
          <w:szCs w:val="18"/>
        </w:rPr>
        <w:t xml:space="preserve"> </w:t>
      </w:r>
      <w:r>
        <w:rPr>
          <w:rStyle w:val="7"/>
          <w:rFonts w:ascii="黑体" w:hAnsi="黑体" w:eastAsia="黑体" w:cs="黑体"/>
          <w:snapToGrid w:val="0"/>
          <w:color w:val="auto"/>
          <w:spacing w:val="-3"/>
          <w:kern w:val="0"/>
          <w:sz w:val="18"/>
          <w:szCs w:val="18"/>
        </w:rPr>
        <w:t>农</w:t>
      </w:r>
      <w:r>
        <w:rPr>
          <w:rStyle w:val="7"/>
          <w:rFonts w:ascii="黑体" w:hAnsi="黑体" w:eastAsia="黑体" w:cs="黑体"/>
          <w:snapToGrid w:val="0"/>
          <w:color w:val="auto"/>
          <w:spacing w:val="-2"/>
          <w:kern w:val="0"/>
          <w:sz w:val="18"/>
          <w:szCs w:val="18"/>
        </w:rPr>
        <w:t>村公路的信用评价等级结果在该市州范围内适用。对无该市农村公路信用评价等级的设计企业， 应适用</w:t>
      </w:r>
      <w:r>
        <w:rPr>
          <w:rStyle w:val="7"/>
          <w:rFonts w:ascii="黑体" w:hAnsi="黑体" w:eastAsia="黑体" w:cs="黑体"/>
          <w:snapToGrid w:val="0"/>
          <w:color w:val="auto"/>
          <w:kern w:val="0"/>
          <w:sz w:val="18"/>
          <w:szCs w:val="18"/>
        </w:rPr>
        <w:t xml:space="preserve"> </w:t>
      </w:r>
      <w:r>
        <w:rPr>
          <w:rStyle w:val="7"/>
          <w:rFonts w:ascii="黑体" w:hAnsi="黑体" w:eastAsia="黑体" w:cs="黑体"/>
          <w:snapToGrid w:val="0"/>
          <w:color w:val="auto"/>
          <w:spacing w:val="-2"/>
          <w:kern w:val="0"/>
          <w:sz w:val="18"/>
          <w:szCs w:val="18"/>
        </w:rPr>
        <w:t>省厅发布的</w:t>
      </w:r>
      <w:r>
        <w:rPr>
          <w:rStyle w:val="7"/>
          <w:rFonts w:ascii="黑体" w:hAnsi="黑体" w:eastAsia="黑体" w:cs="黑体"/>
          <w:snapToGrid w:val="0"/>
          <w:color w:val="auto"/>
          <w:spacing w:val="-1"/>
          <w:kern w:val="0"/>
          <w:sz w:val="18"/>
          <w:szCs w:val="18"/>
        </w:rPr>
        <w:t>信用等级。</w:t>
      </w:r>
    </w:p>
    <w:p>
      <w:pPr>
        <w:pStyle w:val="9"/>
        <w:widowControl/>
        <w:kinsoku w:val="0"/>
        <w:autoSpaceDE w:val="0"/>
        <w:autoSpaceDN w:val="0"/>
        <w:adjustRightInd w:val="0"/>
        <w:snapToGrid w:val="0"/>
        <w:spacing w:before="83" w:line="221" w:lineRule="auto"/>
        <w:ind w:left="35"/>
        <w:jc w:val="left"/>
        <w:textAlignment w:val="baseline"/>
        <w:rPr>
          <w:rStyle w:val="7"/>
          <w:rFonts w:ascii="宋体" w:hAnsi="宋体" w:eastAsia="宋体" w:cs="宋体"/>
          <w:snapToGrid w:val="0"/>
          <w:color w:val="auto"/>
          <w:kern w:val="0"/>
          <w:sz w:val="18"/>
          <w:szCs w:val="18"/>
        </w:rPr>
      </w:pPr>
      <w:r>
        <w:rPr>
          <w:rStyle w:val="7"/>
          <w:rFonts w:ascii="Calibri" w:hAnsi="Calibri" w:eastAsia="Calibri" w:cs="Calibri"/>
          <w:snapToGrid w:val="0"/>
          <w:color w:val="auto"/>
          <w:spacing w:val="1"/>
          <w:kern w:val="0"/>
          <w:position w:val="4"/>
          <w:sz w:val="12"/>
          <w:szCs w:val="12"/>
        </w:rPr>
        <w:t xml:space="preserve">6   </w:t>
      </w:r>
      <w:r>
        <w:rPr>
          <w:rStyle w:val="7"/>
          <w:rFonts w:ascii="宋体" w:hAnsi="宋体" w:eastAsia="宋体" w:cs="宋体"/>
          <w:snapToGrid w:val="0"/>
          <w:color w:val="auto"/>
          <w:spacing w:val="1"/>
          <w:kern w:val="0"/>
          <w:sz w:val="18"/>
          <w:szCs w:val="18"/>
        </w:rPr>
        <w:t>本条款一般适</w:t>
      </w:r>
      <w:r>
        <w:rPr>
          <w:rStyle w:val="7"/>
          <w:rFonts w:ascii="宋体" w:hAnsi="宋体" w:eastAsia="宋体" w:cs="宋体"/>
          <w:snapToGrid w:val="0"/>
          <w:color w:val="auto"/>
          <w:kern w:val="0"/>
          <w:sz w:val="18"/>
          <w:szCs w:val="18"/>
        </w:rPr>
        <w:t>用于方案设计招标。</w:t>
      </w:r>
    </w:p>
    <w:p>
      <w:pPr>
        <w:pStyle w:val="9"/>
        <w:rPr>
          <w:rStyle w:val="7"/>
          <w:rFonts w:ascii="Calibri" w:hAnsi="Calibri" w:eastAsia="宋体" w:cs="Times New Roman"/>
          <w:color w:val="auto"/>
        </w:rPr>
        <w:sectPr>
          <w:headerReference r:id="rId4" w:type="default"/>
          <w:footerReference r:id="rId5" w:type="default"/>
          <w:pgSz w:w="11905" w:h="16839"/>
          <w:pgMar w:top="1191" w:right="1417" w:bottom="1191" w:left="1191" w:header="874" w:footer="1233" w:gutter="0"/>
          <w:pgNumType w:fmt="decimal"/>
          <w:cols w:space="720" w:num="1"/>
        </w:sect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kern w:val="0"/>
          <w:sz w:val="24"/>
          <w:szCs w:val="24"/>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投标文件包括加密的投标文件和不加密的投标文件(U 盘形式) 。投标文件递交的截止时间(投标截止时间)</w:t>
      </w:r>
      <w:r>
        <w:rPr>
          <w:rStyle w:val="7"/>
          <w:rFonts w:hint="eastAsia" w:ascii="宋体" w:hAnsi="宋体" w:eastAsia="宋体" w:cs="宋体"/>
          <w:snapToGrid w:val="0"/>
          <w:color w:val="auto"/>
          <w:spacing w:val="0"/>
          <w:kern w:val="0"/>
          <w:sz w:val="24"/>
          <w:szCs w:val="24"/>
        </w:rPr>
        <w:t>为2024年</w:t>
      </w:r>
      <w:r>
        <w:rPr>
          <w:rStyle w:val="7"/>
          <w:rFonts w:hint="eastAsia" w:ascii="宋体" w:hAnsi="宋体" w:cs="宋体"/>
          <w:snapToGrid w:val="0"/>
          <w:color w:val="auto"/>
          <w:spacing w:val="0"/>
          <w:kern w:val="0"/>
          <w:sz w:val="24"/>
          <w:szCs w:val="24"/>
          <w:lang w:val="en-US" w:eastAsia="zh-CN"/>
        </w:rPr>
        <w:t>5</w:t>
      </w:r>
      <w:r>
        <w:rPr>
          <w:rStyle w:val="7"/>
          <w:rFonts w:hint="eastAsia" w:ascii="宋体" w:hAnsi="宋体" w:eastAsia="宋体" w:cs="宋体"/>
          <w:snapToGrid w:val="0"/>
          <w:color w:val="auto"/>
          <w:spacing w:val="0"/>
          <w:kern w:val="0"/>
          <w:sz w:val="24"/>
          <w:szCs w:val="24"/>
        </w:rPr>
        <w:t>月</w:t>
      </w:r>
      <w:r>
        <w:rPr>
          <w:rStyle w:val="7"/>
          <w:rFonts w:hint="eastAsia" w:ascii="宋体" w:hAnsi="宋体" w:cs="宋体"/>
          <w:snapToGrid w:val="0"/>
          <w:color w:val="auto"/>
          <w:spacing w:val="0"/>
          <w:kern w:val="0"/>
          <w:sz w:val="24"/>
          <w:szCs w:val="24"/>
          <w:lang w:val="en-US" w:eastAsia="zh-CN"/>
        </w:rPr>
        <w:t>8</w:t>
      </w:r>
      <w:r>
        <w:rPr>
          <w:rStyle w:val="7"/>
          <w:rFonts w:hint="eastAsia" w:ascii="宋体" w:hAnsi="宋体" w:eastAsia="宋体" w:cs="宋体"/>
          <w:snapToGrid w:val="0"/>
          <w:color w:val="auto"/>
          <w:spacing w:val="0"/>
          <w:kern w:val="0"/>
          <w:sz w:val="24"/>
          <w:szCs w:val="24"/>
        </w:rPr>
        <w:t>日上午9：00</w:t>
      </w:r>
      <w:r>
        <w:rPr>
          <w:rStyle w:val="7"/>
          <w:rFonts w:ascii="宋体" w:hAnsi="宋体" w:eastAsia="宋体" w:cs="宋体"/>
          <w:snapToGrid w:val="0"/>
          <w:color w:val="auto"/>
          <w:spacing w:val="0"/>
          <w:kern w:val="0"/>
          <w:sz w:val="24"/>
          <w:szCs w:val="24"/>
        </w:rPr>
        <w:t>，投标人应当在投标截止时间前，以下列两种方式同时递交投标文件：</w:t>
      </w:r>
    </w:p>
    <w:p>
      <w:pPr>
        <w:pStyle w:val="1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56"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6"/>
          <w:kern w:val="0"/>
          <w:sz w:val="24"/>
          <w:szCs w:val="24"/>
        </w:rPr>
        <w:t>网上递交：投标人应当在投标截止时间前，通过互联网使用 CA 数字证</w:t>
      </w:r>
      <w:r>
        <w:rPr>
          <w:rStyle w:val="7"/>
          <w:rFonts w:ascii="宋体" w:hAnsi="宋体" w:eastAsia="宋体" w:cs="宋体"/>
          <w:snapToGrid w:val="0"/>
          <w:color w:val="auto"/>
          <w:spacing w:val="-1"/>
          <w:kern w:val="0"/>
          <w:sz w:val="24"/>
          <w:szCs w:val="24"/>
        </w:rPr>
        <w:t>书</w:t>
      </w:r>
      <w:r>
        <w:rPr>
          <w:rStyle w:val="7"/>
          <w:rFonts w:ascii="宋体" w:hAnsi="宋体" w:eastAsia="宋体" w:cs="宋体"/>
          <w:snapToGrid w:val="0"/>
          <w:color w:val="auto"/>
          <w:kern w:val="0"/>
          <w:sz w:val="24"/>
          <w:szCs w:val="24"/>
        </w:rPr>
        <w:t xml:space="preserve">登录“交易系统”，将加密的投标文件(投标文件第一信封(商务和技术文件) </w:t>
      </w:r>
      <w:r>
        <w:rPr>
          <w:rStyle w:val="7"/>
          <w:rFonts w:ascii="宋体" w:hAnsi="宋体" w:eastAsia="宋体" w:cs="宋体"/>
          <w:snapToGrid w:val="0"/>
          <w:color w:val="auto"/>
          <w:spacing w:val="6"/>
          <w:kern w:val="0"/>
          <w:sz w:val="24"/>
          <w:szCs w:val="24"/>
        </w:rPr>
        <w:t>和</w:t>
      </w:r>
      <w:r>
        <w:rPr>
          <w:rStyle w:val="7"/>
          <w:rFonts w:ascii="宋体" w:hAnsi="宋体" w:eastAsia="宋体" w:cs="宋体"/>
          <w:snapToGrid w:val="0"/>
          <w:color w:val="auto"/>
          <w:spacing w:val="3"/>
          <w:kern w:val="0"/>
          <w:sz w:val="24"/>
          <w:szCs w:val="24"/>
        </w:rPr>
        <w:t>投标文件第二信封(报价文件) )上传，并保存上传成功后系统自动生成的电</w:t>
      </w:r>
      <w:r>
        <w:rPr>
          <w:rStyle w:val="7"/>
          <w:rFonts w:ascii="宋体" w:hAnsi="宋体" w:eastAsia="宋体" w:cs="宋体"/>
          <w:snapToGrid w:val="0"/>
          <w:color w:val="auto"/>
          <w:spacing w:val="-6"/>
          <w:kern w:val="0"/>
          <w:sz w:val="24"/>
          <w:szCs w:val="24"/>
        </w:rPr>
        <w:t>子签收凭证，</w:t>
      </w:r>
      <w:r>
        <w:rPr>
          <w:rStyle w:val="7"/>
          <w:rFonts w:ascii="宋体" w:hAnsi="宋体" w:eastAsia="宋体" w:cs="宋体"/>
          <w:snapToGrid w:val="0"/>
          <w:color w:val="auto"/>
          <w:spacing w:val="-3"/>
          <w:kern w:val="0"/>
          <w:sz w:val="24"/>
          <w:szCs w:val="24"/>
        </w:rPr>
        <w:t>递交时间即为电子签收凭证时间。逾期未完成上传或未按规定加密的投标文件，招标人不予接收</w:t>
      </w:r>
      <w:r>
        <w:rPr>
          <w:rStyle w:val="7"/>
          <w:rFonts w:ascii="宋体" w:hAnsi="宋体" w:eastAsia="宋体" w:cs="宋体"/>
          <w:snapToGrid w:val="0"/>
          <w:color w:val="auto"/>
          <w:spacing w:val="-1"/>
          <w:kern w:val="0"/>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12"/>
          <w:kern w:val="0"/>
          <w:sz w:val="24"/>
          <w:szCs w:val="24"/>
        </w:rPr>
        <w:t>(2</w:t>
      </w:r>
      <w:r>
        <w:rPr>
          <w:rStyle w:val="7"/>
          <w:rFonts w:ascii="宋体" w:hAnsi="宋体" w:eastAsia="宋体" w:cs="宋体"/>
          <w:snapToGrid w:val="0"/>
          <w:color w:val="auto"/>
          <w:spacing w:val="9"/>
          <w:kern w:val="0"/>
          <w:sz w:val="24"/>
          <w:szCs w:val="24"/>
        </w:rPr>
        <w:t>)</w:t>
      </w:r>
      <w:r>
        <w:rPr>
          <w:rStyle w:val="7"/>
          <w:rFonts w:ascii="宋体" w:hAnsi="宋体" w:eastAsia="宋体" w:cs="宋体"/>
          <w:snapToGrid w:val="0"/>
          <w:color w:val="auto"/>
          <w:spacing w:val="6"/>
          <w:kern w:val="0"/>
          <w:sz w:val="24"/>
          <w:szCs w:val="24"/>
        </w:rPr>
        <w:t>原件等资料送达：本次招标实行网上解密和开标。湖南省公共资源交</w:t>
      </w:r>
      <w:r>
        <w:rPr>
          <w:rStyle w:val="7"/>
          <w:rFonts w:ascii="宋体" w:hAnsi="宋体" w:eastAsia="宋体" w:cs="宋体"/>
          <w:snapToGrid w:val="0"/>
          <w:color w:val="auto"/>
          <w:spacing w:val="-18"/>
          <w:kern w:val="0"/>
          <w:sz w:val="24"/>
          <w:szCs w:val="24"/>
        </w:rPr>
        <w:t>易</w:t>
      </w:r>
      <w:r>
        <w:rPr>
          <w:rStyle w:val="7"/>
          <w:rFonts w:ascii="宋体" w:hAnsi="宋体" w:eastAsia="宋体" w:cs="宋体"/>
          <w:snapToGrid w:val="0"/>
          <w:color w:val="auto"/>
          <w:spacing w:val="-12"/>
          <w:kern w:val="0"/>
          <w:sz w:val="24"/>
          <w:szCs w:val="24"/>
        </w:rPr>
        <w:t>中</w:t>
      </w:r>
      <w:r>
        <w:rPr>
          <w:rStyle w:val="7"/>
          <w:rFonts w:ascii="宋体" w:hAnsi="宋体" w:eastAsia="宋体" w:cs="宋体"/>
          <w:snapToGrid w:val="0"/>
          <w:color w:val="auto"/>
          <w:spacing w:val="-9"/>
          <w:kern w:val="0"/>
          <w:sz w:val="24"/>
          <w:szCs w:val="24"/>
        </w:rPr>
        <w:t>心目前已全面启动电子化开评标，不见面开标项目无需现场参与，投标人可</w:t>
      </w:r>
      <w:r>
        <w:rPr>
          <w:rStyle w:val="7"/>
          <w:rFonts w:ascii="宋体" w:hAnsi="宋体" w:eastAsia="宋体" w:cs="宋体"/>
          <w:snapToGrid w:val="0"/>
          <w:color w:val="auto"/>
          <w:spacing w:val="-3"/>
          <w:kern w:val="0"/>
          <w:sz w:val="24"/>
          <w:szCs w:val="24"/>
        </w:rPr>
        <w:t>自行登录“不见面开标大厅”在线解密和收看开标现场。开标过程中因招标文件</w:t>
      </w:r>
      <w:r>
        <w:rPr>
          <w:rStyle w:val="7"/>
          <w:rFonts w:ascii="宋体" w:hAnsi="宋体" w:eastAsia="宋体" w:cs="宋体"/>
          <w:snapToGrid w:val="0"/>
          <w:color w:val="auto"/>
          <w:spacing w:val="-12"/>
          <w:kern w:val="0"/>
          <w:sz w:val="24"/>
          <w:szCs w:val="24"/>
        </w:rPr>
        <w:t>规</w:t>
      </w:r>
      <w:r>
        <w:rPr>
          <w:rStyle w:val="7"/>
          <w:rFonts w:ascii="宋体" w:hAnsi="宋体" w:eastAsia="宋体" w:cs="宋体"/>
          <w:snapToGrid w:val="0"/>
          <w:color w:val="auto"/>
          <w:spacing w:val="-9"/>
          <w:kern w:val="0"/>
          <w:sz w:val="24"/>
          <w:szCs w:val="24"/>
        </w:rPr>
        <w:t>定</w:t>
      </w:r>
      <w:r>
        <w:rPr>
          <w:rStyle w:val="7"/>
          <w:rFonts w:ascii="宋体" w:hAnsi="宋体" w:eastAsia="宋体" w:cs="宋体"/>
          <w:snapToGrid w:val="0"/>
          <w:color w:val="auto"/>
          <w:spacing w:val="-6"/>
          <w:kern w:val="0"/>
          <w:sz w:val="24"/>
          <w:szCs w:val="24"/>
        </w:rPr>
        <w:t>的原因导致解密失败时，招标人可在开标现场直接导入投标人在投标截止时</w:t>
      </w:r>
      <w:r>
        <w:rPr>
          <w:rStyle w:val="7"/>
          <w:rFonts w:ascii="宋体" w:hAnsi="宋体" w:eastAsia="宋体" w:cs="宋体"/>
          <w:snapToGrid w:val="0"/>
          <w:color w:val="auto"/>
          <w:spacing w:val="1"/>
          <w:kern w:val="0"/>
          <w:sz w:val="24"/>
          <w:szCs w:val="24"/>
        </w:rPr>
        <w:t>间前递交的不加密的投标文件(</w:t>
      </w:r>
      <w:r>
        <w:rPr>
          <w:rStyle w:val="7"/>
          <w:rFonts w:ascii="宋体" w:hAnsi="宋体" w:eastAsia="宋体" w:cs="宋体"/>
          <w:snapToGrid w:val="0"/>
          <w:color w:val="auto"/>
          <w:kern w:val="0"/>
          <w:sz w:val="24"/>
          <w:szCs w:val="24"/>
        </w:rPr>
        <w:t>U</w:t>
      </w:r>
      <w:r>
        <w:rPr>
          <w:rStyle w:val="7"/>
          <w:rFonts w:ascii="宋体" w:hAnsi="宋体" w:eastAsia="宋体" w:cs="宋体"/>
          <w:snapToGrid w:val="0"/>
          <w:color w:val="auto"/>
          <w:spacing w:val="1"/>
          <w:kern w:val="0"/>
          <w:sz w:val="24"/>
          <w:szCs w:val="24"/>
        </w:rPr>
        <w:t xml:space="preserve"> 盘</w:t>
      </w:r>
      <w:r>
        <w:rPr>
          <w:rStyle w:val="7"/>
          <w:rFonts w:ascii="宋体" w:hAnsi="宋体" w:eastAsia="宋体" w:cs="宋体"/>
          <w:snapToGrid w:val="0"/>
          <w:color w:val="auto"/>
          <w:kern w:val="0"/>
          <w:sz w:val="24"/>
          <w:szCs w:val="24"/>
        </w:rPr>
        <w:t>形式) 进行开标。招标人允许投标人将投标</w:t>
      </w:r>
      <w:r>
        <w:rPr>
          <w:rStyle w:val="7"/>
          <w:rFonts w:ascii="宋体" w:hAnsi="宋体" w:eastAsia="宋体" w:cs="宋体"/>
          <w:snapToGrid w:val="0"/>
          <w:color w:val="auto"/>
          <w:spacing w:val="6"/>
          <w:kern w:val="0"/>
          <w:sz w:val="24"/>
          <w:szCs w:val="24"/>
        </w:rPr>
        <w:t>保函原件和银行查</w:t>
      </w:r>
      <w:r>
        <w:rPr>
          <w:rStyle w:val="7"/>
          <w:rFonts w:ascii="宋体" w:hAnsi="宋体" w:eastAsia="宋体" w:cs="宋体"/>
          <w:snapToGrid w:val="0"/>
          <w:color w:val="auto"/>
          <w:spacing w:val="3"/>
          <w:kern w:val="0"/>
          <w:sz w:val="24"/>
          <w:szCs w:val="24"/>
        </w:rPr>
        <w:t>询授权书原件(如有) 按照招标</w:t>
      </w:r>
      <w:r>
        <w:rPr>
          <w:rStyle w:val="7"/>
          <w:rFonts w:ascii="宋体" w:hAnsi="宋体" w:eastAsia="宋体" w:cs="宋体"/>
          <w:snapToGrid w:val="0"/>
          <w:color w:val="auto"/>
          <w:spacing w:val="1"/>
          <w:kern w:val="0"/>
          <w:sz w:val="24"/>
          <w:szCs w:val="24"/>
        </w:rPr>
        <w:t>文件要求密封后(封套注明项目名</w:t>
      </w:r>
      <w:r>
        <w:rPr>
          <w:rStyle w:val="7"/>
          <w:rFonts w:ascii="宋体" w:hAnsi="宋体" w:eastAsia="宋体" w:cs="宋体"/>
          <w:snapToGrid w:val="0"/>
          <w:color w:val="auto"/>
          <w:kern w:val="0"/>
          <w:sz w:val="24"/>
          <w:szCs w:val="24"/>
        </w:rPr>
        <w:t>称、招标编号、投标人名称) ，采用邮寄方式</w:t>
      </w:r>
      <w:r>
        <w:rPr>
          <w:rStyle w:val="7"/>
          <w:rFonts w:ascii="宋体" w:hAnsi="宋体" w:eastAsia="宋体" w:cs="宋体"/>
          <w:snapToGrid w:val="0"/>
          <w:color w:val="auto"/>
          <w:spacing w:val="-1"/>
          <w:kern w:val="0"/>
          <w:sz w:val="24"/>
          <w:szCs w:val="24"/>
        </w:rPr>
        <w:t>最晚于开标</w:t>
      </w:r>
      <w:r>
        <w:rPr>
          <w:rStyle w:val="7"/>
          <w:rFonts w:ascii="宋体" w:hAnsi="宋体" w:eastAsia="宋体" w:cs="宋体"/>
          <w:snapToGrid w:val="0"/>
          <w:color w:val="auto"/>
          <w:spacing w:val="0"/>
          <w:kern w:val="0"/>
          <w:sz w:val="24"/>
          <w:szCs w:val="24"/>
        </w:rPr>
        <w:t>之日前一日下午 17:00 前交招标人签收(以签收时间为准,不含节假日)，邮寄地址：湖南省长沙市雨花区旭辉国际广场 C2 栋 17 楼 1709，曹女士收(联系电话15073158990) 若投标人自愿到达开标现场参加开标活动的， 应当在开标当日投标截止时间之前，将不加密的投标文件(投标文件第一信封(商务和技术文件) 和投标文件第二信封(报价文件) ) ( U 盘备份) 及投标保函原件和银行查询授权书原件(如有) 按照招标文件要求密封后，递交至湖南省长沙市雨花区万家丽南路二段 29 号湖南省公共资源交易中心开标室(具体开标室请见一楼电子显示屏) 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8"/>
          <w:kern w:val="0"/>
          <w:sz w:val="24"/>
          <w:szCs w:val="24"/>
        </w:rPr>
        <w:t>6</w:t>
      </w:r>
      <w:r>
        <w:rPr>
          <w:rStyle w:val="7"/>
          <w:rFonts w:ascii="宋体" w:hAnsi="宋体" w:eastAsia="宋体" w:cs="宋体"/>
          <w:snapToGrid w:val="0"/>
          <w:color w:val="auto"/>
          <w:spacing w:val="-7"/>
          <w:kern w:val="0"/>
          <w:sz w:val="24"/>
          <w:szCs w:val="24"/>
        </w:rPr>
        <w:t>.</w:t>
      </w:r>
      <w:r>
        <w:rPr>
          <w:rStyle w:val="7"/>
          <w:rFonts w:ascii="宋体" w:hAnsi="宋体" w:eastAsia="宋体" w:cs="宋体"/>
          <w:snapToGrid w:val="0"/>
          <w:color w:val="auto"/>
          <w:spacing w:val="-4"/>
          <w:kern w:val="0"/>
          <w:sz w:val="24"/>
          <w:szCs w:val="24"/>
        </w:rPr>
        <w:t>3 投标保证金的递交：</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16"/>
          <w:kern w:val="0"/>
          <w:sz w:val="24"/>
          <w:szCs w:val="24"/>
        </w:rPr>
        <w:t>投</w:t>
      </w:r>
      <w:r>
        <w:rPr>
          <w:rStyle w:val="7"/>
          <w:rFonts w:ascii="宋体" w:hAnsi="宋体" w:eastAsia="宋体" w:cs="宋体"/>
          <w:snapToGrid w:val="0"/>
          <w:color w:val="auto"/>
          <w:spacing w:val="-14"/>
          <w:kern w:val="0"/>
          <w:sz w:val="24"/>
          <w:szCs w:val="24"/>
        </w:rPr>
        <w:t>标</w:t>
      </w:r>
      <w:r>
        <w:rPr>
          <w:rStyle w:val="7"/>
          <w:rFonts w:ascii="宋体" w:hAnsi="宋体" w:eastAsia="宋体" w:cs="宋体"/>
          <w:snapToGrid w:val="0"/>
          <w:color w:val="auto"/>
          <w:spacing w:val="-8"/>
          <w:kern w:val="0"/>
          <w:sz w:val="24"/>
          <w:szCs w:val="24"/>
        </w:rPr>
        <w:t>保证金的金额</w:t>
      </w:r>
      <w:r>
        <w:rPr>
          <w:rStyle w:val="7"/>
          <w:rFonts w:hint="eastAsia" w:ascii="宋体" w:hAnsi="宋体" w:eastAsia="宋体" w:cs="宋体"/>
          <w:snapToGrid w:val="0"/>
          <w:color w:val="auto"/>
          <w:spacing w:val="-8"/>
          <w:kern w:val="0"/>
          <w:sz w:val="24"/>
          <w:szCs w:val="24"/>
          <w:lang w:eastAsia="zh-CN"/>
        </w:rPr>
        <w:t>：</w:t>
      </w:r>
      <w:r>
        <w:rPr>
          <w:rStyle w:val="7"/>
          <w:rFonts w:ascii="宋体" w:hAnsi="宋体" w:eastAsia="宋体" w:cs="宋体"/>
          <w:snapToGrid w:val="0"/>
          <w:color w:val="auto"/>
          <w:spacing w:val="-8"/>
          <w:kern w:val="0"/>
          <w:sz w:val="24"/>
          <w:szCs w:val="24"/>
          <w:u w:val="single" w:color="auto"/>
        </w:rPr>
        <w:t xml:space="preserve"> 10 </w:t>
      </w:r>
      <w:r>
        <w:rPr>
          <w:rStyle w:val="7"/>
          <w:rFonts w:ascii="宋体" w:hAnsi="宋体" w:eastAsia="宋体" w:cs="宋体"/>
          <w:snapToGrid w:val="0"/>
          <w:color w:val="auto"/>
          <w:spacing w:val="-8"/>
          <w:kern w:val="0"/>
          <w:sz w:val="24"/>
          <w:szCs w:val="24"/>
        </w:rPr>
        <w:t>万元。</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14"/>
          <w:kern w:val="0"/>
          <w:sz w:val="24"/>
          <w:szCs w:val="24"/>
        </w:rPr>
        <w:t>(</w:t>
      </w:r>
      <w:r>
        <w:rPr>
          <w:rStyle w:val="7"/>
          <w:rFonts w:ascii="宋体" w:hAnsi="宋体" w:eastAsia="宋体" w:cs="宋体"/>
          <w:snapToGrid w:val="0"/>
          <w:color w:val="auto"/>
          <w:spacing w:val="11"/>
          <w:kern w:val="0"/>
          <w:sz w:val="24"/>
          <w:szCs w:val="24"/>
        </w:rPr>
        <w:t>1</w:t>
      </w:r>
      <w:r>
        <w:rPr>
          <w:rStyle w:val="7"/>
          <w:rFonts w:ascii="宋体" w:hAnsi="宋体" w:eastAsia="宋体" w:cs="宋体"/>
          <w:snapToGrid w:val="0"/>
          <w:color w:val="auto"/>
          <w:spacing w:val="7"/>
          <w:kern w:val="0"/>
          <w:sz w:val="24"/>
          <w:szCs w:val="24"/>
        </w:rPr>
        <w:t>)投标人采用现金或者支票形式提交的投标保证金应当从其基本账户转</w:t>
      </w:r>
      <w:r>
        <w:rPr>
          <w:rStyle w:val="7"/>
          <w:rFonts w:ascii="宋体" w:hAnsi="宋体" w:eastAsia="宋体" w:cs="宋体"/>
          <w:snapToGrid w:val="0"/>
          <w:color w:val="auto"/>
          <w:spacing w:val="-7"/>
          <w:kern w:val="0"/>
          <w:sz w:val="24"/>
          <w:szCs w:val="24"/>
        </w:rPr>
        <w:t>出，投标人应在投标截止时间前以转账、电汇、网银方式从投标人基本账户一</w:t>
      </w:r>
      <w:r>
        <w:rPr>
          <w:rStyle w:val="7"/>
          <w:rFonts w:ascii="宋体" w:hAnsi="宋体" w:eastAsia="宋体" w:cs="宋体"/>
          <w:snapToGrid w:val="0"/>
          <w:color w:val="auto"/>
          <w:spacing w:val="-2"/>
          <w:kern w:val="0"/>
          <w:sz w:val="24"/>
          <w:szCs w:val="24"/>
        </w:rPr>
        <w:t>次</w:t>
      </w:r>
      <w:r>
        <w:rPr>
          <w:rStyle w:val="7"/>
          <w:rFonts w:ascii="宋体" w:hAnsi="宋体" w:eastAsia="宋体" w:cs="宋体"/>
          <w:snapToGrid w:val="0"/>
          <w:color w:val="auto"/>
          <w:spacing w:val="6"/>
          <w:kern w:val="0"/>
          <w:sz w:val="24"/>
          <w:szCs w:val="24"/>
        </w:rPr>
        <w:t>性划</w:t>
      </w:r>
      <w:r>
        <w:rPr>
          <w:rStyle w:val="7"/>
          <w:rFonts w:ascii="宋体" w:hAnsi="宋体" w:eastAsia="宋体" w:cs="宋体"/>
          <w:snapToGrid w:val="0"/>
          <w:color w:val="auto"/>
          <w:spacing w:val="4"/>
          <w:kern w:val="0"/>
          <w:sz w:val="24"/>
          <w:szCs w:val="24"/>
        </w:rPr>
        <w:t>款</w:t>
      </w:r>
      <w:r>
        <w:rPr>
          <w:rStyle w:val="7"/>
          <w:rFonts w:ascii="宋体" w:hAnsi="宋体" w:eastAsia="宋体" w:cs="宋体"/>
          <w:snapToGrid w:val="0"/>
          <w:color w:val="auto"/>
          <w:spacing w:val="3"/>
          <w:kern w:val="0"/>
          <w:sz w:val="24"/>
          <w:szCs w:val="24"/>
        </w:rPr>
        <w:t>到以下指定投标保证金专用账号上(以到账时间为准)。</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13"/>
          <w:kern w:val="0"/>
          <w:sz w:val="24"/>
          <w:szCs w:val="24"/>
        </w:rPr>
        <w:t>招</w:t>
      </w:r>
      <w:r>
        <w:rPr>
          <w:rStyle w:val="7"/>
          <w:rFonts w:ascii="宋体" w:hAnsi="宋体" w:eastAsia="宋体" w:cs="宋体"/>
          <w:snapToGrid w:val="0"/>
          <w:color w:val="auto"/>
          <w:spacing w:val="-9"/>
          <w:kern w:val="0"/>
          <w:sz w:val="24"/>
          <w:szCs w:val="24"/>
        </w:rPr>
        <w:t xml:space="preserve">标标段： </w:t>
      </w:r>
      <w:r>
        <w:rPr>
          <w:rStyle w:val="7"/>
          <w:rFonts w:hint="eastAsia" w:ascii="宋体" w:hAnsi="宋体" w:eastAsia="宋体" w:cs="宋体"/>
          <w:snapToGrid w:val="0"/>
          <w:color w:val="auto"/>
          <w:spacing w:val="-9"/>
          <w:kern w:val="0"/>
          <w:sz w:val="24"/>
          <w:szCs w:val="24"/>
          <w:lang w:val="en-US" w:eastAsia="zh-CN"/>
        </w:rPr>
        <w:t xml:space="preserve"> </w:t>
      </w:r>
      <w:r>
        <w:rPr>
          <w:rStyle w:val="7"/>
          <w:rFonts w:ascii="宋体" w:hAnsi="宋体" w:eastAsia="宋体" w:cs="宋体"/>
          <w:snapToGrid w:val="0"/>
          <w:color w:val="auto"/>
          <w:spacing w:val="-9"/>
          <w:kern w:val="0"/>
          <w:sz w:val="24"/>
          <w:szCs w:val="24"/>
          <w:u w:val="single"/>
        </w:rPr>
        <w:t>CCSJ01标段</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5"/>
          <w:kern w:val="0"/>
          <w:position w:val="11"/>
          <w:sz w:val="24"/>
          <w:szCs w:val="24"/>
        </w:rPr>
        <w:t xml:space="preserve">户    名： </w:t>
      </w:r>
      <w:r>
        <w:rPr>
          <w:rStyle w:val="7"/>
          <w:rFonts w:ascii="宋体" w:hAnsi="宋体" w:eastAsia="宋体" w:cs="宋体"/>
          <w:snapToGrid w:val="0"/>
          <w:color w:val="auto"/>
          <w:spacing w:val="-5"/>
          <w:kern w:val="0"/>
          <w:position w:val="11"/>
          <w:sz w:val="24"/>
          <w:szCs w:val="24"/>
          <w:u w:val="single"/>
        </w:rPr>
        <w:t>湖南省公共资源交易中心工程建设保证户</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9"/>
          <w:kern w:val="0"/>
          <w:sz w:val="24"/>
          <w:szCs w:val="24"/>
        </w:rPr>
        <w:t>开</w:t>
      </w:r>
      <w:r>
        <w:rPr>
          <w:rStyle w:val="7"/>
          <w:rFonts w:ascii="宋体" w:hAnsi="宋体" w:eastAsia="宋体" w:cs="宋体"/>
          <w:snapToGrid w:val="0"/>
          <w:color w:val="auto"/>
          <w:spacing w:val="-5"/>
          <w:kern w:val="0"/>
          <w:sz w:val="24"/>
          <w:szCs w:val="24"/>
        </w:rPr>
        <w:t xml:space="preserve">户银行： </w:t>
      </w:r>
      <w:r>
        <w:rPr>
          <w:rStyle w:val="7"/>
          <w:rFonts w:ascii="宋体" w:hAnsi="宋体" w:eastAsia="宋体" w:cs="宋体"/>
          <w:snapToGrid w:val="0"/>
          <w:color w:val="auto"/>
          <w:spacing w:val="-5"/>
          <w:kern w:val="0"/>
          <w:sz w:val="24"/>
          <w:szCs w:val="24"/>
          <w:u w:val="single"/>
        </w:rPr>
        <w:t>中国农业银行股份有限公司长沙芙蓉区支行</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left"/>
        <w:textAlignment w:val="baseline"/>
        <w:rPr>
          <w:rStyle w:val="7"/>
          <w:rFonts w:hint="eastAsia" w:ascii="宋体" w:hAnsi="宋体" w:eastAsia="宋体" w:cs="宋体"/>
          <w:snapToGrid w:val="0"/>
          <w:color w:val="auto"/>
          <w:kern w:val="0"/>
          <w:sz w:val="24"/>
          <w:szCs w:val="24"/>
          <w:lang w:eastAsia="zh-CN"/>
        </w:rPr>
      </w:pPr>
      <w:r>
        <w:rPr>
          <w:rStyle w:val="7"/>
          <w:rFonts w:ascii="宋体" w:hAnsi="宋体" w:eastAsia="宋体" w:cs="宋体"/>
          <w:snapToGrid w:val="0"/>
          <w:color w:val="auto"/>
          <w:spacing w:val="-6"/>
          <w:kern w:val="0"/>
          <w:sz w:val="24"/>
          <w:szCs w:val="24"/>
        </w:rPr>
        <w:t xml:space="preserve">账    号： </w:t>
      </w:r>
      <w:r>
        <w:rPr>
          <w:rStyle w:val="7"/>
          <w:rFonts w:hint="eastAsia" w:ascii="宋体" w:hAnsi="宋体" w:cs="宋体"/>
          <w:snapToGrid w:val="0"/>
          <w:color w:val="auto"/>
          <w:spacing w:val="-6"/>
          <w:kern w:val="0"/>
          <w:sz w:val="24"/>
          <w:szCs w:val="24"/>
          <w:u w:val="single" w:color="auto"/>
          <w:lang w:eastAsia="zh-CN"/>
        </w:rPr>
        <w:t>180619010400118220010000725</w:t>
      </w:r>
    </w:p>
    <w:p>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524" w:firstLineChars="200"/>
        <w:jc w:val="left"/>
        <w:textAlignment w:val="baseline"/>
        <w:rPr>
          <w:rStyle w:val="7"/>
          <w:rFonts w:ascii="宋体" w:hAnsi="宋体" w:eastAsia="宋体" w:cs="宋体"/>
          <w:snapToGrid w:val="0"/>
          <w:color w:val="auto"/>
          <w:spacing w:val="-3"/>
          <w:kern w:val="0"/>
          <w:sz w:val="24"/>
          <w:szCs w:val="24"/>
        </w:rPr>
      </w:pPr>
      <w:r>
        <w:rPr>
          <w:rStyle w:val="7"/>
          <w:rFonts w:hint="eastAsia" w:ascii="宋体" w:hAnsi="宋体" w:eastAsia="宋体" w:cs="宋体"/>
          <w:snapToGrid w:val="0"/>
          <w:color w:val="auto"/>
          <w:spacing w:val="11"/>
          <w:kern w:val="0"/>
          <w:sz w:val="24"/>
          <w:szCs w:val="24"/>
          <w:lang w:eastAsia="zh-CN"/>
        </w:rPr>
        <w:t>（</w:t>
      </w:r>
      <w:r>
        <w:rPr>
          <w:rStyle w:val="7"/>
          <w:rFonts w:hint="eastAsia" w:ascii="宋体" w:hAnsi="宋体" w:eastAsia="宋体" w:cs="宋体"/>
          <w:snapToGrid w:val="0"/>
          <w:color w:val="auto"/>
          <w:spacing w:val="11"/>
          <w:kern w:val="0"/>
          <w:sz w:val="24"/>
          <w:szCs w:val="24"/>
          <w:lang w:val="en-US" w:eastAsia="zh-CN"/>
        </w:rPr>
        <w:t>2</w:t>
      </w:r>
      <w:r>
        <w:rPr>
          <w:rStyle w:val="7"/>
          <w:rFonts w:hint="eastAsia" w:ascii="宋体" w:hAnsi="宋体" w:eastAsia="宋体" w:cs="宋体"/>
          <w:snapToGrid w:val="0"/>
          <w:color w:val="auto"/>
          <w:spacing w:val="11"/>
          <w:kern w:val="0"/>
          <w:sz w:val="24"/>
          <w:szCs w:val="24"/>
          <w:lang w:eastAsia="zh-CN"/>
        </w:rPr>
        <w:t>）</w:t>
      </w:r>
      <w:r>
        <w:rPr>
          <w:rStyle w:val="7"/>
          <w:rFonts w:ascii="宋体" w:hAnsi="宋体" w:eastAsia="宋体" w:cs="宋体"/>
          <w:snapToGrid w:val="0"/>
          <w:color w:val="auto"/>
          <w:spacing w:val="11"/>
          <w:kern w:val="0"/>
          <w:sz w:val="24"/>
          <w:szCs w:val="24"/>
        </w:rPr>
        <w:t>采用银行保函时，应由投标人开立基本账户的银行出具</w:t>
      </w:r>
      <w:r>
        <w:rPr>
          <w:rStyle w:val="7"/>
          <w:rFonts w:ascii="宋体" w:hAnsi="宋体" w:eastAsia="宋体" w:cs="宋体"/>
          <w:snapToGrid w:val="0"/>
          <w:color w:val="auto"/>
          <w:spacing w:val="-6"/>
          <w:kern w:val="0"/>
          <w:sz w:val="24"/>
          <w:szCs w:val="24"/>
        </w:rPr>
        <w:t>保函，与银行查询授权书原件</w:t>
      </w:r>
      <w:r>
        <w:rPr>
          <w:rStyle w:val="7"/>
          <w:rFonts w:ascii="宋体" w:hAnsi="宋体" w:eastAsia="宋体" w:cs="宋体"/>
          <w:snapToGrid w:val="0"/>
          <w:color w:val="auto"/>
          <w:spacing w:val="3"/>
          <w:kern w:val="0"/>
          <w:sz w:val="24"/>
          <w:szCs w:val="24"/>
        </w:rPr>
        <w:t xml:space="preserve">(如有) </w:t>
      </w:r>
      <w:r>
        <w:rPr>
          <w:rStyle w:val="7"/>
          <w:rFonts w:ascii="宋体" w:hAnsi="宋体" w:eastAsia="宋体" w:cs="宋体"/>
          <w:snapToGrid w:val="0"/>
          <w:color w:val="auto"/>
          <w:spacing w:val="-6"/>
          <w:kern w:val="0"/>
          <w:sz w:val="24"/>
          <w:szCs w:val="24"/>
        </w:rPr>
        <w:t>一并在投标截止</w:t>
      </w:r>
      <w:r>
        <w:rPr>
          <w:rStyle w:val="7"/>
          <w:rFonts w:ascii="宋体" w:hAnsi="宋体" w:eastAsia="宋体" w:cs="宋体"/>
          <w:snapToGrid w:val="0"/>
          <w:color w:val="auto"/>
          <w:spacing w:val="-3"/>
          <w:kern w:val="0"/>
          <w:sz w:val="24"/>
          <w:szCs w:val="24"/>
        </w:rPr>
        <w:t>时间前交招标人。</w:t>
      </w:r>
    </w:p>
    <w:p>
      <w:pPr>
        <w:pStyle w:val="12"/>
        <w:keepNext w:val="0"/>
        <w:keepLines w:val="0"/>
        <w:pageBreakBefore w:val="0"/>
        <w:widowControl w:val="0"/>
        <w:wordWrap/>
        <w:overflowPunct/>
        <w:topLinePunct w:val="0"/>
        <w:autoSpaceDE w:val="0"/>
        <w:autoSpaceDN w:val="0"/>
        <w:bidi w:val="0"/>
        <w:adjustRightInd w:val="0"/>
        <w:spacing w:line="360" w:lineRule="auto"/>
        <w:ind w:left="0" w:right="0" w:firstLine="480" w:firstLineChars="200"/>
        <w:jc w:val="left"/>
        <w:rPr>
          <w:rStyle w:val="7"/>
          <w:rFonts w:ascii="宋体" w:hAnsi="宋体" w:eastAsia="宋体" w:cs="宋体"/>
          <w:color w:val="auto"/>
          <w:spacing w:val="-3"/>
          <w:kern w:val="2"/>
          <w:sz w:val="24"/>
          <w:szCs w:val="24"/>
          <w:lang w:val="en-US" w:eastAsia="zh-CN" w:bidi="ar-SA"/>
        </w:rPr>
      </w:pPr>
      <w:r>
        <w:rPr>
          <w:rStyle w:val="7"/>
          <w:rFonts w:hint="eastAsia" w:ascii="Times New Roman" w:hAnsi="Times New Roman" w:eastAsia="黑体" w:cs="Times New Roman"/>
          <w:color w:val="auto"/>
          <w:kern w:val="2"/>
          <w:sz w:val="24"/>
          <w:szCs w:val="20"/>
          <w:highlight w:val="none"/>
          <w:lang w:val="en-US" w:eastAsia="zh-CN" w:bidi="ar-SA"/>
        </w:rPr>
        <w:t>（3）采用电子保函递交投标保证金的，请自行登录湖南省公共资源交易服务平台首页“电子保函”，进入“保证金创新服务支撑管理系统”办理，保函格式以系统中的为准。</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8"/>
          <w:kern w:val="0"/>
          <w:sz w:val="27"/>
          <w:szCs w:val="27"/>
        </w:rPr>
        <w:t>7</w:t>
      </w:r>
      <w:r>
        <w:rPr>
          <w:rStyle w:val="7"/>
          <w:rFonts w:ascii="宋体" w:hAnsi="宋体" w:eastAsia="宋体" w:cs="宋体"/>
          <w:snapToGrid w:val="0"/>
          <w:color w:val="auto"/>
          <w:spacing w:val="5"/>
          <w:kern w:val="0"/>
          <w:sz w:val="27"/>
          <w:szCs w:val="27"/>
        </w:rPr>
        <w:t>．评标办法</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本项目评标办法采用</w:t>
      </w:r>
      <w:r>
        <w:rPr>
          <w:rStyle w:val="7"/>
          <w:rFonts w:ascii="宋体" w:hAnsi="宋体" w:eastAsia="宋体" w:cs="宋体"/>
          <w:snapToGrid w:val="0"/>
          <w:color w:val="auto"/>
          <w:spacing w:val="0"/>
          <w:kern w:val="0"/>
          <w:sz w:val="24"/>
          <w:szCs w:val="24"/>
          <w:u w:val="single" w:color="auto"/>
        </w:rPr>
        <w:t>综合评估法</w:t>
      </w:r>
      <w:r>
        <w:rPr>
          <w:rStyle w:val="7"/>
          <w:rFonts w:ascii="宋体" w:hAnsi="宋体" w:eastAsia="宋体" w:cs="宋体"/>
          <w:snapToGrid w:val="0"/>
          <w:color w:val="auto"/>
          <w:spacing w:val="0"/>
          <w:kern w:val="0"/>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7"/>
          <w:kern w:val="0"/>
          <w:sz w:val="27"/>
          <w:szCs w:val="27"/>
        </w:rPr>
        <w:t>8. 发布公告的媒</w:t>
      </w:r>
      <w:r>
        <w:rPr>
          <w:rStyle w:val="7"/>
          <w:rFonts w:ascii="宋体" w:hAnsi="宋体" w:eastAsia="宋体" w:cs="宋体"/>
          <w:snapToGrid w:val="0"/>
          <w:color w:val="auto"/>
          <w:spacing w:val="5"/>
          <w:kern w:val="0"/>
          <w:sz w:val="27"/>
          <w:szCs w:val="27"/>
        </w:rPr>
        <w:t>介</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6"/>
          <w:kern w:val="0"/>
          <w:sz w:val="24"/>
          <w:szCs w:val="24"/>
        </w:rPr>
        <w:t>本次</w:t>
      </w:r>
      <w:r>
        <w:rPr>
          <w:rStyle w:val="7"/>
          <w:rFonts w:ascii="宋体" w:hAnsi="宋体" w:eastAsia="宋体" w:cs="宋体"/>
          <w:snapToGrid w:val="0"/>
          <w:color w:val="auto"/>
          <w:spacing w:val="5"/>
          <w:kern w:val="0"/>
          <w:sz w:val="24"/>
          <w:szCs w:val="24"/>
        </w:rPr>
        <w:t>招</w:t>
      </w:r>
      <w:r>
        <w:rPr>
          <w:rStyle w:val="7"/>
          <w:rFonts w:ascii="宋体" w:hAnsi="宋体" w:eastAsia="宋体" w:cs="宋体"/>
          <w:snapToGrid w:val="0"/>
          <w:color w:val="auto"/>
          <w:spacing w:val="3"/>
          <w:kern w:val="0"/>
          <w:sz w:val="24"/>
          <w:szCs w:val="24"/>
        </w:rPr>
        <w:t>标公告同时在中国招标投标公共服务平</w:t>
      </w:r>
      <w:r>
        <w:rPr>
          <w:rStyle w:val="7"/>
          <w:rFonts w:hint="eastAsia" w:ascii="宋体" w:hAnsi="宋体" w:eastAsia="宋体" w:cs="宋体"/>
          <w:snapToGrid w:val="0"/>
          <w:color w:val="auto"/>
          <w:spacing w:val="3"/>
          <w:kern w:val="0"/>
          <w:sz w:val="24"/>
          <w:szCs w:val="24"/>
          <w:lang w:val="en-US" w:eastAsia="zh-CN"/>
        </w:rPr>
        <w:t>台</w:t>
      </w:r>
      <w:r>
        <w:rPr>
          <w:rStyle w:val="7"/>
          <w:rFonts w:ascii="宋体" w:hAnsi="宋体" w:eastAsia="宋体" w:cs="宋体"/>
          <w:snapToGrid w:val="0"/>
          <w:color w:val="auto"/>
          <w:spacing w:val="3"/>
          <w:kern w:val="0"/>
          <w:sz w:val="24"/>
          <w:szCs w:val="24"/>
        </w:rPr>
        <w:t>(</w:t>
      </w:r>
      <w:r>
        <w:rPr>
          <w:rStyle w:val="7"/>
          <w:rFonts w:ascii="Arial" w:hAnsi="Arial" w:eastAsia="Arial" w:cs="Arial"/>
          <w:snapToGrid w:val="0"/>
          <w:color w:val="auto"/>
          <w:kern w:val="0"/>
          <w:szCs w:val="21"/>
        </w:rPr>
        <w:fldChar w:fldCharType="begin"/>
      </w:r>
      <w:r>
        <w:rPr>
          <w:rStyle w:val="7"/>
          <w:rFonts w:ascii="Arial" w:hAnsi="Arial" w:eastAsia="Arial" w:cs="Arial"/>
          <w:snapToGrid w:val="0"/>
          <w:color w:val="auto"/>
          <w:kern w:val="0"/>
          <w:szCs w:val="21"/>
        </w:rPr>
        <w:instrText xml:space="preserve"> HYPERLINK "http://bulletin.cebpubservice/" </w:instrText>
      </w:r>
      <w:r>
        <w:rPr>
          <w:rStyle w:val="7"/>
          <w:rFonts w:ascii="Arial" w:hAnsi="Arial" w:eastAsia="Arial" w:cs="Arial"/>
          <w:snapToGrid w:val="0"/>
          <w:color w:val="auto"/>
          <w:kern w:val="0"/>
          <w:szCs w:val="21"/>
        </w:rPr>
        <w:fldChar w:fldCharType="separate"/>
      </w:r>
      <w:r>
        <w:rPr>
          <w:rStyle w:val="7"/>
          <w:rFonts w:ascii="宋体" w:hAnsi="宋体" w:eastAsia="宋体" w:cs="宋体"/>
          <w:snapToGrid w:val="0"/>
          <w:color w:val="auto"/>
          <w:spacing w:val="-1"/>
          <w:kern w:val="0"/>
          <w:sz w:val="24"/>
          <w:szCs w:val="24"/>
        </w:rPr>
        <w:t>htt</w:t>
      </w:r>
      <w:r>
        <w:rPr>
          <w:rStyle w:val="7"/>
          <w:rFonts w:ascii="宋体" w:hAnsi="宋体" w:eastAsia="宋体" w:cs="宋体"/>
          <w:snapToGrid w:val="0"/>
          <w:color w:val="auto"/>
          <w:kern w:val="0"/>
          <w:sz w:val="24"/>
          <w:szCs w:val="24"/>
        </w:rPr>
        <w:t>p</w:t>
      </w:r>
      <w:r>
        <w:rPr>
          <w:rStyle w:val="7"/>
          <w:rFonts w:ascii="宋体" w:hAnsi="宋体" w:eastAsia="宋体" w:cs="宋体"/>
          <w:snapToGrid w:val="0"/>
          <w:color w:val="auto"/>
          <w:spacing w:val="-1"/>
          <w:kern w:val="0"/>
          <w:sz w:val="24"/>
          <w:szCs w:val="24"/>
        </w:rPr>
        <w:t>://</w:t>
      </w:r>
      <w:r>
        <w:rPr>
          <w:rStyle w:val="7"/>
          <w:rFonts w:ascii="宋体" w:hAnsi="宋体" w:eastAsia="宋体" w:cs="宋体"/>
          <w:snapToGrid w:val="0"/>
          <w:color w:val="auto"/>
          <w:kern w:val="0"/>
          <w:sz w:val="24"/>
          <w:szCs w:val="24"/>
        </w:rPr>
        <w:t>bulletin</w:t>
      </w:r>
      <w:r>
        <w:rPr>
          <w:rStyle w:val="7"/>
          <w:rFonts w:ascii="宋体" w:hAnsi="宋体" w:eastAsia="宋体" w:cs="宋体"/>
          <w:snapToGrid w:val="0"/>
          <w:color w:val="auto"/>
          <w:spacing w:val="-1"/>
          <w:kern w:val="0"/>
          <w:sz w:val="24"/>
          <w:szCs w:val="24"/>
        </w:rPr>
        <w:t>.</w:t>
      </w:r>
      <w:r>
        <w:rPr>
          <w:rStyle w:val="7"/>
          <w:rFonts w:ascii="宋体" w:hAnsi="宋体" w:eastAsia="宋体" w:cs="宋体"/>
          <w:snapToGrid w:val="0"/>
          <w:color w:val="auto"/>
          <w:kern w:val="0"/>
          <w:sz w:val="24"/>
          <w:szCs w:val="24"/>
        </w:rPr>
        <w:t>cebpubser</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kern w:val="0"/>
          <w:sz w:val="24"/>
          <w:szCs w:val="24"/>
        </w:rPr>
        <w:t>vice</w:t>
      </w:r>
      <w:r>
        <w:rPr>
          <w:rStyle w:val="7"/>
          <w:rFonts w:ascii="宋体" w:hAnsi="宋体" w:eastAsia="宋体" w:cs="宋体"/>
          <w:snapToGrid w:val="0"/>
          <w:color w:val="auto"/>
          <w:kern w:val="0"/>
          <w:sz w:val="24"/>
          <w:szCs w:val="24"/>
        </w:rPr>
        <w:fldChar w:fldCharType="end"/>
      </w:r>
      <w:r>
        <w:rPr>
          <w:rStyle w:val="7"/>
          <w:rFonts w:ascii="宋体" w:hAnsi="宋体" w:eastAsia="宋体" w:cs="宋体"/>
          <w:snapToGrid w:val="0"/>
          <w:color w:val="auto"/>
          <w:spacing w:val="11"/>
          <w:kern w:val="0"/>
          <w:sz w:val="24"/>
          <w:szCs w:val="24"/>
        </w:rPr>
        <w:t>.</w:t>
      </w:r>
      <w:r>
        <w:rPr>
          <w:rStyle w:val="7"/>
          <w:rFonts w:ascii="宋体" w:hAnsi="宋体" w:eastAsia="宋体" w:cs="宋体"/>
          <w:snapToGrid w:val="0"/>
          <w:color w:val="auto"/>
          <w:kern w:val="0"/>
          <w:sz w:val="24"/>
          <w:szCs w:val="24"/>
        </w:rPr>
        <w:t>com</w:t>
      </w:r>
      <w:r>
        <w:rPr>
          <w:rStyle w:val="7"/>
          <w:rFonts w:ascii="宋体" w:hAnsi="宋体" w:eastAsia="宋体" w:cs="宋体"/>
          <w:snapToGrid w:val="0"/>
          <w:color w:val="auto"/>
          <w:spacing w:val="8"/>
          <w:kern w:val="0"/>
          <w:sz w:val="24"/>
          <w:szCs w:val="24"/>
        </w:rPr>
        <w:t>)、湖南省招标投标监管网 (</w:t>
      </w:r>
      <w:r>
        <w:rPr>
          <w:rStyle w:val="7"/>
          <w:rFonts w:ascii="宋体" w:hAnsi="宋体" w:eastAsia="宋体" w:cs="宋体"/>
          <w:snapToGrid w:val="0"/>
          <w:color w:val="auto"/>
          <w:kern w:val="0"/>
          <w:sz w:val="24"/>
          <w:szCs w:val="24"/>
        </w:rPr>
        <w:t>http</w:t>
      </w:r>
      <w:r>
        <w:rPr>
          <w:rStyle w:val="7"/>
          <w:rFonts w:ascii="宋体" w:hAnsi="宋体" w:eastAsia="宋体" w:cs="宋体"/>
          <w:snapToGrid w:val="0"/>
          <w:color w:val="auto"/>
          <w:spacing w:val="8"/>
          <w:kern w:val="0"/>
          <w:sz w:val="24"/>
          <w:szCs w:val="24"/>
        </w:rPr>
        <w:t>://</w:t>
      </w:r>
      <w:r>
        <w:rPr>
          <w:rStyle w:val="7"/>
          <w:rFonts w:ascii="宋体" w:hAnsi="宋体" w:eastAsia="宋体" w:cs="宋体"/>
          <w:snapToGrid w:val="0"/>
          <w:color w:val="auto"/>
          <w:kern w:val="0"/>
          <w:sz w:val="24"/>
          <w:szCs w:val="24"/>
        </w:rPr>
        <w:t>bidding</w:t>
      </w:r>
      <w:r>
        <w:rPr>
          <w:rStyle w:val="7"/>
          <w:rFonts w:ascii="宋体" w:hAnsi="宋体" w:eastAsia="宋体" w:cs="宋体"/>
          <w:snapToGrid w:val="0"/>
          <w:color w:val="auto"/>
          <w:spacing w:val="8"/>
          <w:kern w:val="0"/>
          <w:sz w:val="24"/>
          <w:szCs w:val="24"/>
        </w:rPr>
        <w:t>.</w:t>
      </w:r>
      <w:r>
        <w:rPr>
          <w:rStyle w:val="7"/>
          <w:rFonts w:ascii="宋体" w:hAnsi="宋体" w:eastAsia="宋体" w:cs="宋体"/>
          <w:snapToGrid w:val="0"/>
          <w:color w:val="auto"/>
          <w:kern w:val="0"/>
          <w:sz w:val="24"/>
          <w:szCs w:val="24"/>
        </w:rPr>
        <w:t>hunan</w:t>
      </w:r>
      <w:r>
        <w:rPr>
          <w:rStyle w:val="7"/>
          <w:rFonts w:ascii="宋体" w:hAnsi="宋体" w:eastAsia="宋体" w:cs="宋体"/>
          <w:snapToGrid w:val="0"/>
          <w:color w:val="auto"/>
          <w:spacing w:val="8"/>
          <w:kern w:val="0"/>
          <w:sz w:val="24"/>
          <w:szCs w:val="24"/>
        </w:rPr>
        <w:t>.</w:t>
      </w:r>
      <w:r>
        <w:rPr>
          <w:rStyle w:val="7"/>
          <w:rFonts w:ascii="宋体" w:hAnsi="宋体" w:eastAsia="宋体" w:cs="宋体"/>
          <w:snapToGrid w:val="0"/>
          <w:color w:val="auto"/>
          <w:kern w:val="0"/>
          <w:sz w:val="24"/>
          <w:szCs w:val="24"/>
        </w:rPr>
        <w:t>gov</w:t>
      </w:r>
      <w:r>
        <w:rPr>
          <w:rStyle w:val="7"/>
          <w:rFonts w:ascii="宋体" w:hAnsi="宋体" w:eastAsia="宋体" w:cs="宋体"/>
          <w:snapToGrid w:val="0"/>
          <w:color w:val="auto"/>
          <w:spacing w:val="8"/>
          <w:kern w:val="0"/>
          <w:sz w:val="24"/>
          <w:szCs w:val="24"/>
        </w:rPr>
        <w:t>.</w:t>
      </w:r>
      <w:r>
        <w:rPr>
          <w:rStyle w:val="7"/>
          <w:rFonts w:ascii="宋体" w:hAnsi="宋体" w:eastAsia="宋体" w:cs="宋体"/>
          <w:snapToGrid w:val="0"/>
          <w:color w:val="auto"/>
          <w:kern w:val="0"/>
          <w:sz w:val="24"/>
          <w:szCs w:val="24"/>
        </w:rPr>
        <w:t>cn</w:t>
      </w:r>
      <w:r>
        <w:rPr>
          <w:rStyle w:val="7"/>
          <w:rFonts w:ascii="宋体" w:hAnsi="宋体" w:eastAsia="宋体" w:cs="宋体"/>
          <w:snapToGrid w:val="0"/>
          <w:color w:val="auto"/>
          <w:spacing w:val="8"/>
          <w:kern w:val="0"/>
          <w:sz w:val="24"/>
          <w:szCs w:val="24"/>
        </w:rPr>
        <w:t>/)、湖南省</w:t>
      </w:r>
      <w:r>
        <w:rPr>
          <w:rStyle w:val="7"/>
          <w:rFonts w:ascii="宋体" w:hAnsi="宋体" w:eastAsia="宋体" w:cs="宋体"/>
          <w:snapToGrid w:val="0"/>
          <w:color w:val="auto"/>
          <w:spacing w:val="20"/>
          <w:kern w:val="0"/>
          <w:sz w:val="24"/>
          <w:szCs w:val="24"/>
        </w:rPr>
        <w:t>交</w:t>
      </w:r>
      <w:r>
        <w:rPr>
          <w:rStyle w:val="7"/>
          <w:rFonts w:ascii="宋体" w:hAnsi="宋体" w:eastAsia="宋体" w:cs="宋体"/>
          <w:snapToGrid w:val="0"/>
          <w:color w:val="auto"/>
          <w:spacing w:val="12"/>
          <w:kern w:val="0"/>
          <w:sz w:val="24"/>
          <w:szCs w:val="24"/>
        </w:rPr>
        <w:t>通</w:t>
      </w:r>
      <w:r>
        <w:rPr>
          <w:rStyle w:val="7"/>
          <w:rFonts w:ascii="宋体" w:hAnsi="宋体" w:eastAsia="宋体" w:cs="宋体"/>
          <w:snapToGrid w:val="0"/>
          <w:color w:val="auto"/>
          <w:spacing w:val="10"/>
          <w:kern w:val="0"/>
          <w:sz w:val="24"/>
          <w:szCs w:val="24"/>
        </w:rPr>
        <w:t>运输厅网(</w:t>
      </w:r>
      <w:r>
        <w:rPr>
          <w:rStyle w:val="7"/>
          <w:rFonts w:ascii="Arial" w:hAnsi="Arial" w:eastAsia="Arial" w:cs="Arial"/>
          <w:snapToGrid w:val="0"/>
          <w:color w:val="auto"/>
          <w:kern w:val="0"/>
          <w:szCs w:val="21"/>
        </w:rPr>
        <w:fldChar w:fldCharType="begin"/>
      </w:r>
      <w:r>
        <w:rPr>
          <w:rStyle w:val="7"/>
          <w:rFonts w:ascii="Arial" w:hAnsi="Arial" w:eastAsia="Arial" w:cs="Arial"/>
          <w:snapToGrid w:val="0"/>
          <w:color w:val="auto"/>
          <w:kern w:val="0"/>
          <w:szCs w:val="21"/>
        </w:rPr>
        <w:instrText xml:space="preserve"> HYPERLINK "http://jtt.hunan.gov.cn" </w:instrText>
      </w:r>
      <w:r>
        <w:rPr>
          <w:rStyle w:val="7"/>
          <w:rFonts w:ascii="Arial" w:hAnsi="Arial" w:eastAsia="Arial" w:cs="Arial"/>
          <w:snapToGrid w:val="0"/>
          <w:color w:val="auto"/>
          <w:kern w:val="0"/>
          <w:szCs w:val="21"/>
        </w:rPr>
        <w:fldChar w:fldCharType="separate"/>
      </w:r>
      <w:r>
        <w:rPr>
          <w:rStyle w:val="7"/>
          <w:rFonts w:ascii="宋体" w:hAnsi="宋体" w:eastAsia="宋体" w:cs="宋体"/>
          <w:snapToGrid w:val="0"/>
          <w:color w:val="auto"/>
          <w:kern w:val="0"/>
          <w:sz w:val="24"/>
          <w:szCs w:val="24"/>
        </w:rPr>
        <w:t>http</w:t>
      </w:r>
      <w:r>
        <w:rPr>
          <w:rStyle w:val="7"/>
          <w:rFonts w:ascii="宋体" w:hAnsi="宋体" w:eastAsia="宋体" w:cs="宋体"/>
          <w:snapToGrid w:val="0"/>
          <w:color w:val="auto"/>
          <w:spacing w:val="10"/>
          <w:kern w:val="0"/>
          <w:sz w:val="24"/>
          <w:szCs w:val="24"/>
        </w:rPr>
        <w:t>://</w:t>
      </w:r>
      <w:r>
        <w:rPr>
          <w:rStyle w:val="7"/>
          <w:rFonts w:ascii="宋体" w:hAnsi="宋体" w:eastAsia="宋体" w:cs="宋体"/>
          <w:snapToGrid w:val="0"/>
          <w:color w:val="auto"/>
          <w:kern w:val="0"/>
          <w:sz w:val="24"/>
          <w:szCs w:val="24"/>
        </w:rPr>
        <w:t>jtt</w:t>
      </w:r>
      <w:r>
        <w:rPr>
          <w:rStyle w:val="7"/>
          <w:rFonts w:ascii="宋体" w:hAnsi="宋体" w:eastAsia="宋体" w:cs="宋体"/>
          <w:snapToGrid w:val="0"/>
          <w:color w:val="auto"/>
          <w:spacing w:val="10"/>
          <w:kern w:val="0"/>
          <w:sz w:val="24"/>
          <w:szCs w:val="24"/>
        </w:rPr>
        <w:t>.</w:t>
      </w:r>
      <w:r>
        <w:rPr>
          <w:rStyle w:val="7"/>
          <w:rFonts w:ascii="宋体" w:hAnsi="宋体" w:eastAsia="宋体" w:cs="宋体"/>
          <w:snapToGrid w:val="0"/>
          <w:color w:val="auto"/>
          <w:kern w:val="0"/>
          <w:sz w:val="24"/>
          <w:szCs w:val="24"/>
        </w:rPr>
        <w:t>hunan</w:t>
      </w:r>
      <w:r>
        <w:rPr>
          <w:rStyle w:val="7"/>
          <w:rFonts w:ascii="宋体" w:hAnsi="宋体" w:eastAsia="宋体" w:cs="宋体"/>
          <w:snapToGrid w:val="0"/>
          <w:color w:val="auto"/>
          <w:spacing w:val="10"/>
          <w:kern w:val="0"/>
          <w:sz w:val="24"/>
          <w:szCs w:val="24"/>
        </w:rPr>
        <w:t>.</w:t>
      </w:r>
      <w:r>
        <w:rPr>
          <w:rStyle w:val="7"/>
          <w:rFonts w:ascii="宋体" w:hAnsi="宋体" w:eastAsia="宋体" w:cs="宋体"/>
          <w:snapToGrid w:val="0"/>
          <w:color w:val="auto"/>
          <w:kern w:val="0"/>
          <w:sz w:val="24"/>
          <w:szCs w:val="24"/>
        </w:rPr>
        <w:t>gov</w:t>
      </w:r>
      <w:r>
        <w:rPr>
          <w:rStyle w:val="7"/>
          <w:rFonts w:ascii="宋体" w:hAnsi="宋体" w:eastAsia="宋体" w:cs="宋体"/>
          <w:snapToGrid w:val="0"/>
          <w:color w:val="auto"/>
          <w:spacing w:val="10"/>
          <w:kern w:val="0"/>
          <w:sz w:val="24"/>
          <w:szCs w:val="24"/>
        </w:rPr>
        <w:t>.</w:t>
      </w:r>
      <w:r>
        <w:rPr>
          <w:rStyle w:val="7"/>
          <w:rFonts w:ascii="宋体" w:hAnsi="宋体" w:eastAsia="宋体" w:cs="宋体"/>
          <w:snapToGrid w:val="0"/>
          <w:color w:val="auto"/>
          <w:kern w:val="0"/>
          <w:sz w:val="24"/>
          <w:szCs w:val="24"/>
        </w:rPr>
        <w:t>cn</w:t>
      </w:r>
      <w:r>
        <w:rPr>
          <w:rStyle w:val="7"/>
          <w:rFonts w:ascii="宋体" w:hAnsi="宋体" w:eastAsia="宋体" w:cs="宋体"/>
          <w:snapToGrid w:val="0"/>
          <w:color w:val="auto"/>
          <w:kern w:val="0"/>
          <w:sz w:val="24"/>
          <w:szCs w:val="24"/>
        </w:rPr>
        <w:fldChar w:fldCharType="end"/>
      </w:r>
      <w:r>
        <w:rPr>
          <w:rStyle w:val="7"/>
          <w:rFonts w:ascii="宋体" w:hAnsi="宋体" w:eastAsia="宋体" w:cs="宋体"/>
          <w:snapToGrid w:val="0"/>
          <w:color w:val="auto"/>
          <w:spacing w:val="10"/>
          <w:kern w:val="0"/>
          <w:sz w:val="24"/>
          <w:szCs w:val="24"/>
        </w:rPr>
        <w:t>)上发布。</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5"/>
          <w:kern w:val="0"/>
          <w:sz w:val="27"/>
          <w:szCs w:val="27"/>
        </w:rPr>
        <w:t>9. 附件</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 xml:space="preserve">附件 1：资格审查条件要求(详见第二章 投标人须知之附录)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附件 2：评标办法(详见第三章 评标办法)</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附件 3：项目概况</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rPr>
          <w:rStyle w:val="7"/>
          <w:rFonts w:ascii="宋体" w:hAnsi="宋体" w:eastAsia="宋体" w:cs="宋体"/>
          <w:snapToGrid w:val="0"/>
          <w:color w:val="auto"/>
          <w:kern w:val="0"/>
          <w:sz w:val="27"/>
          <w:szCs w:val="27"/>
        </w:rPr>
      </w:pPr>
      <w:r>
        <w:rPr>
          <w:rStyle w:val="7"/>
          <w:rFonts w:ascii="宋体" w:hAnsi="宋体" w:eastAsia="宋体" w:cs="宋体"/>
          <w:snapToGrid w:val="0"/>
          <w:color w:val="auto"/>
          <w:spacing w:val="3"/>
          <w:kern w:val="0"/>
          <w:sz w:val="27"/>
          <w:szCs w:val="27"/>
        </w:rPr>
        <w:t>10. 联系方</w:t>
      </w:r>
      <w:r>
        <w:rPr>
          <w:rStyle w:val="7"/>
          <w:rFonts w:ascii="宋体" w:hAnsi="宋体" w:eastAsia="宋体" w:cs="宋体"/>
          <w:snapToGrid w:val="0"/>
          <w:color w:val="auto"/>
          <w:spacing w:val="2"/>
          <w:kern w:val="0"/>
          <w:sz w:val="27"/>
          <w:szCs w:val="27"/>
        </w:rPr>
        <w:t>式</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招</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标</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人：湖南省茶江高速公路建设开发有限公司</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hint="default" w:ascii="宋体" w:hAnsi="宋体" w:eastAsia="宋体" w:cs="宋体"/>
          <w:snapToGrid w:val="0"/>
          <w:color w:val="auto"/>
          <w:spacing w:val="0"/>
          <w:kern w:val="0"/>
          <w:sz w:val="24"/>
          <w:szCs w:val="24"/>
          <w:lang w:val="en-US" w:eastAsia="zh-CN"/>
        </w:rPr>
      </w:pPr>
      <w:r>
        <w:rPr>
          <w:rStyle w:val="7"/>
          <w:rFonts w:ascii="宋体" w:hAnsi="宋体" w:eastAsia="宋体" w:cs="宋体"/>
          <w:snapToGrid w:val="0"/>
          <w:color w:val="auto"/>
          <w:spacing w:val="0"/>
          <w:kern w:val="0"/>
          <w:sz w:val="24"/>
          <w:szCs w:val="24"/>
        </w:rPr>
        <w:t xml:space="preserve">地  </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址：湖南省长沙市</w:t>
      </w:r>
      <w:r>
        <w:rPr>
          <w:rStyle w:val="7"/>
          <w:rFonts w:hint="eastAsia" w:ascii="宋体" w:hAnsi="宋体" w:eastAsia="宋体" w:cs="宋体"/>
          <w:snapToGrid w:val="0"/>
          <w:color w:val="auto"/>
          <w:spacing w:val="0"/>
          <w:kern w:val="0"/>
          <w:sz w:val="24"/>
          <w:szCs w:val="24"/>
          <w:lang w:val="en-US" w:eastAsia="zh-CN"/>
        </w:rPr>
        <w:t>望城区铜官街道何桥村芙蓉北路168号</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联</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系</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人：左先生</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hint="default" w:ascii="宋体" w:hAnsi="宋体" w:eastAsia="宋体" w:cs="宋体"/>
          <w:snapToGrid w:val="0"/>
          <w:color w:val="auto"/>
          <w:spacing w:val="0"/>
          <w:kern w:val="0"/>
          <w:sz w:val="24"/>
          <w:szCs w:val="24"/>
          <w:lang w:val="en-US" w:eastAsia="zh-CN"/>
        </w:rPr>
      </w:pPr>
      <w:r>
        <w:rPr>
          <w:rStyle w:val="7"/>
          <w:rFonts w:ascii="宋体" w:hAnsi="宋体" w:eastAsia="宋体" w:cs="宋体"/>
          <w:snapToGrid w:val="0"/>
          <w:color w:val="auto"/>
          <w:spacing w:val="0"/>
          <w:kern w:val="0"/>
          <w:sz w:val="24"/>
          <w:szCs w:val="24"/>
        </w:rPr>
        <w:t xml:space="preserve">电  </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话：</w:t>
      </w:r>
      <w:r>
        <w:rPr>
          <w:rStyle w:val="7"/>
          <w:rFonts w:hint="eastAsia" w:ascii="宋体" w:hAnsi="宋体" w:eastAsia="宋体" w:cs="宋体"/>
          <w:snapToGrid w:val="0"/>
          <w:color w:val="auto"/>
          <w:spacing w:val="0"/>
          <w:kern w:val="0"/>
          <w:sz w:val="24"/>
          <w:szCs w:val="24"/>
          <w:lang w:val="en-US" w:eastAsia="zh-CN"/>
        </w:rPr>
        <w:t>0731-88087755</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Style w:val="7"/>
          <w:rFonts w:ascii="Arial" w:hAnsi="Arial" w:eastAsia="Arial" w:cs="Arial"/>
          <w:snapToGrid w:val="0"/>
          <w:color w:val="auto"/>
          <w:spacing w:val="0"/>
          <w:kern w:val="0"/>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招标代理：湖南万达项目管理有限公司</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 xml:space="preserve">地  </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 xml:space="preserve">址：湖南省长沙市雨花区旭辉国际广场C2栋17楼1709 </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联 系 人：曹李璐</w:t>
      </w:r>
      <w:r>
        <w:rPr>
          <w:rStyle w:val="7"/>
          <w:rFonts w:hint="eastAsia" w:ascii="宋体" w:hAnsi="宋体" w:cs="宋体"/>
          <w:snapToGrid w:val="0"/>
          <w:color w:val="auto"/>
          <w:spacing w:val="0"/>
          <w:kern w:val="0"/>
          <w:sz w:val="24"/>
          <w:szCs w:val="24"/>
          <w:lang w:eastAsia="zh-CN"/>
        </w:rPr>
        <w:t>（</w:t>
      </w:r>
      <w:r>
        <w:rPr>
          <w:rStyle w:val="7"/>
          <w:rFonts w:hint="eastAsia" w:ascii="宋体" w:hAnsi="宋体" w:cs="宋体"/>
          <w:snapToGrid w:val="0"/>
          <w:color w:val="auto"/>
          <w:spacing w:val="0"/>
          <w:kern w:val="0"/>
          <w:sz w:val="24"/>
          <w:szCs w:val="24"/>
          <w:lang w:val="en-US" w:eastAsia="zh-CN"/>
        </w:rPr>
        <w:t>项目负责人）</w:t>
      </w:r>
      <w:r>
        <w:rPr>
          <w:rStyle w:val="7"/>
          <w:rFonts w:ascii="宋体" w:hAnsi="宋体" w:eastAsia="宋体" w:cs="宋体"/>
          <w:snapToGrid w:val="0"/>
          <w:color w:val="auto"/>
          <w:spacing w:val="0"/>
          <w:kern w:val="0"/>
          <w:sz w:val="24"/>
          <w:szCs w:val="24"/>
        </w:rPr>
        <w:t>、张世文、周冬连</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hint="default" w:ascii="Arial" w:hAnsi="Arial" w:eastAsia="宋体" w:cs="Arial"/>
          <w:snapToGrid w:val="0"/>
          <w:color w:val="auto"/>
          <w:spacing w:val="0"/>
          <w:kern w:val="0"/>
          <w:sz w:val="21"/>
          <w:szCs w:val="21"/>
          <w:lang w:val="en-US" w:eastAsia="zh-CN"/>
        </w:rPr>
      </w:pPr>
      <w:r>
        <w:rPr>
          <w:rStyle w:val="7"/>
          <w:rFonts w:ascii="宋体" w:hAnsi="宋体" w:eastAsia="宋体" w:cs="宋体"/>
          <w:snapToGrid w:val="0"/>
          <w:color w:val="auto"/>
          <w:spacing w:val="0"/>
          <w:kern w:val="0"/>
          <w:sz w:val="24"/>
          <w:szCs w:val="24"/>
        </w:rPr>
        <w:t xml:space="preserve">电  </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 xml:space="preserve">话： </w:t>
      </w:r>
      <w:r>
        <w:rPr>
          <w:rStyle w:val="7"/>
          <w:rFonts w:hint="eastAsia" w:ascii="宋体" w:hAnsi="宋体" w:eastAsia="宋体" w:cs="宋体"/>
          <w:snapToGrid w:val="0"/>
          <w:color w:val="auto"/>
          <w:spacing w:val="0"/>
          <w:kern w:val="0"/>
          <w:sz w:val="24"/>
          <w:szCs w:val="24"/>
          <w:lang w:val="en-US" w:eastAsia="zh-CN"/>
        </w:rPr>
        <w:t>0731-22885118</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Style w:val="7"/>
          <w:rFonts w:ascii="Arial" w:hAnsi="Arial" w:eastAsia="Arial" w:cs="Arial"/>
          <w:snapToGrid w:val="0"/>
          <w:color w:val="auto"/>
          <w:kern w:val="0"/>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监督部门：</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湖南省交通运输厅</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 xml:space="preserve">地 </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址：</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长沙市湘府西路 199 号</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 xml:space="preserve">电 </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话： 0731-88770095 (基本建设处)  0731-88770122 (基本建设处)</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sz w:val="24"/>
          <w:szCs w:val="24"/>
        </w:rPr>
      </w:pPr>
      <w:r>
        <w:rPr>
          <w:rStyle w:val="7"/>
          <w:rFonts w:ascii="宋体" w:hAnsi="宋体" w:eastAsia="宋体" w:cs="宋体"/>
          <w:snapToGrid w:val="0"/>
          <w:color w:val="auto"/>
          <w:spacing w:val="0"/>
          <w:kern w:val="0"/>
          <w:sz w:val="24"/>
          <w:szCs w:val="24"/>
        </w:rPr>
        <w:t xml:space="preserve">传 </w:t>
      </w:r>
      <w:r>
        <w:rPr>
          <w:rStyle w:val="7"/>
          <w:rFonts w:hint="eastAsia" w:ascii="宋体" w:hAnsi="宋体" w:eastAsia="宋体" w:cs="宋体"/>
          <w:snapToGrid w:val="0"/>
          <w:color w:val="auto"/>
          <w:spacing w:val="0"/>
          <w:kern w:val="0"/>
          <w:sz w:val="24"/>
          <w:szCs w:val="24"/>
          <w:lang w:val="en-US" w:eastAsia="zh-CN"/>
        </w:rPr>
        <w:t xml:space="preserve">   </w:t>
      </w:r>
      <w:r>
        <w:rPr>
          <w:rStyle w:val="7"/>
          <w:rFonts w:ascii="宋体" w:hAnsi="宋体" w:eastAsia="宋体" w:cs="宋体"/>
          <w:snapToGrid w:val="0"/>
          <w:color w:val="auto"/>
          <w:spacing w:val="0"/>
          <w:kern w:val="0"/>
          <w:sz w:val="24"/>
          <w:szCs w:val="24"/>
        </w:rPr>
        <w:t>真： 0731-88770094  (基本建设处)</w:t>
      </w:r>
    </w:p>
    <w:p>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color w:val="auto"/>
        </w:rPr>
      </w:pPr>
      <w:r>
        <w:rPr>
          <w:rStyle w:val="7"/>
          <w:rFonts w:ascii="宋体" w:hAnsi="宋体" w:eastAsia="宋体" w:cs="宋体"/>
          <w:snapToGrid w:val="0"/>
          <w:color w:val="auto"/>
          <w:spacing w:val="0"/>
          <w:kern w:val="0"/>
          <w:sz w:val="24"/>
          <w:szCs w:val="24"/>
        </w:rPr>
        <w:t>邮政编码： 410004</w:t>
      </w:r>
    </w:p>
    <w:p>
      <w:pPr>
        <w:rPr>
          <w:color w:val="auto"/>
        </w:rPr>
      </w:pPr>
      <w:r>
        <w:rPr>
          <w:color w:val="auto"/>
        </w:rPr>
        <w:br w:type="page"/>
      </w:r>
    </w:p>
    <w:p>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default" w:eastAsia="黑体" w:cs="Times New Roman"/>
          <w:color w:val="auto"/>
          <w:highlight w:val="white"/>
          <w:lang w:val="en-US" w:eastAsia="zh-CN"/>
        </w:rPr>
      </w:pPr>
      <w:bookmarkStart w:id="0" w:name="_Toc234832863"/>
      <w:bookmarkStart w:id="1" w:name="_Toc17549168"/>
      <w:bookmarkStart w:id="2" w:name="_Toc509993812"/>
      <w:r>
        <w:rPr>
          <w:rFonts w:hint="eastAsia" w:cs="Times New Roman"/>
          <w:color w:val="auto"/>
          <w:highlight w:val="white"/>
          <w:lang w:val="en-US" w:eastAsia="zh-CN"/>
        </w:rPr>
        <w:t>附件1投标人资格条件</w:t>
      </w:r>
    </w:p>
    <w:p>
      <w:pPr>
        <w:pStyle w:val="2"/>
        <w:jc w:val="left"/>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highlight w:val="white"/>
        </w:rPr>
        <w:t>附录1  资格审查条件（资质最低要求）</w:t>
      </w:r>
      <w:bookmarkEnd w:id="0"/>
      <w:bookmarkEnd w:id="1"/>
      <w:bookmarkEnd w:id="2"/>
      <w:r>
        <w:rPr>
          <w:rFonts w:hint="eastAsia" w:ascii="宋体" w:hAnsi="宋体" w:eastAsia="宋体" w:cs="宋体"/>
          <w:b/>
          <w:bCs w:val="0"/>
          <w:color w:val="auto"/>
          <w:sz w:val="28"/>
          <w:szCs w:val="28"/>
          <w:highlight w:val="white"/>
          <w:vertAlign w:val="superscript"/>
        </w:rPr>
        <w:t>1</w:t>
      </w:r>
    </w:p>
    <w:tbl>
      <w:tblPr>
        <w:tblStyle w:val="6"/>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086" w:type="dxa"/>
            <w:noWrap w:val="0"/>
            <w:vAlign w:val="center"/>
          </w:tcPr>
          <w:p>
            <w:pPr>
              <w:widowControl w:val="0"/>
              <w:adjustRightInd w:val="0"/>
              <w:snapToGrid w:val="0"/>
              <w:spacing w:line="4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勘察设计企业资质等级要求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9086" w:type="dxa"/>
            <w:noWrap w:val="0"/>
            <w:vAlign w:val="center"/>
          </w:tcPr>
          <w:p>
            <w:pPr>
              <w:widowControl w:val="0"/>
              <w:adjustRightInd w:val="0"/>
              <w:snapToGrid w:val="0"/>
              <w:spacing w:line="400" w:lineRule="atLeast"/>
              <w:jc w:val="both"/>
              <w:rPr>
                <w:rFonts w:ascii="Times New Roman" w:hAnsi="Times New Roman" w:eastAsia="宋体" w:cs="Times New Roman"/>
                <w:color w:val="auto"/>
                <w:kern w:val="2"/>
                <w:sz w:val="21"/>
                <w:szCs w:val="21"/>
                <w:highlight w:val="green"/>
                <w:lang w:val="en-US" w:eastAsia="zh-CN" w:bidi="ar-SA"/>
              </w:rPr>
            </w:pPr>
            <w:bookmarkStart w:id="3" w:name="EBe3cb88ec9c134a67b4a5449826eff2b8"/>
            <w:r>
              <w:rPr>
                <w:rFonts w:hint="eastAsia" w:ascii="Times New Roman" w:hAnsi="Times New Roman" w:eastAsia="宋体" w:cs="Times New Roman"/>
                <w:color w:val="auto"/>
                <w:kern w:val="2"/>
                <w:sz w:val="21"/>
                <w:szCs w:val="21"/>
                <w:highlight w:val="white"/>
                <w:lang w:val="en-US" w:eastAsia="zh-CN" w:bidi="ar-SA"/>
              </w:rPr>
              <w:t xml:space="preserve">1.具有独立法人资格，持有有效的企业法人营业执照（或事业单位法人证书）；                             </w:t>
            </w:r>
          </w:p>
          <w:p>
            <w:pPr>
              <w:widowControl w:val="0"/>
              <w:adjustRightInd w:val="0"/>
              <w:snapToGrid w:val="0"/>
              <w:spacing w:line="400" w:lineRule="atLeast"/>
              <w:jc w:val="both"/>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2.具有工程勘察综合类甲级资质或工程勘察专业类(岩土工程、工程测量</w:t>
            </w:r>
            <w:r>
              <w:rPr>
                <w:rFonts w:hint="eastAsia" w:ascii="Times New Roman" w:hAnsi="Times New Roman"/>
                <w:color w:val="auto"/>
                <w:kern w:val="2"/>
                <w:sz w:val="21"/>
                <w:szCs w:val="21"/>
                <w:highlight w:val="white"/>
                <w:lang w:val="en-US" w:eastAsia="zh-CN" w:bidi="ar-SA"/>
              </w:rPr>
              <w:t>、</w:t>
            </w:r>
            <w:r>
              <w:rPr>
                <w:rFonts w:hint="eastAsia" w:ascii="Times New Roman" w:hAnsi="Times New Roman" w:eastAsia="宋体" w:cs="Times New Roman"/>
                <w:color w:val="auto"/>
                <w:kern w:val="2"/>
                <w:sz w:val="21"/>
                <w:szCs w:val="21"/>
                <w:highlight w:val="white"/>
                <w:lang w:val="en-US" w:eastAsia="zh-CN" w:bidi="ar-SA"/>
              </w:rPr>
              <w:t xml:space="preserve">水文地质勘察）甲级资质证书；                             </w:t>
            </w:r>
          </w:p>
          <w:p>
            <w:pPr>
              <w:widowControl w:val="0"/>
              <w:adjustRightInd w:val="0"/>
              <w:snapToGrid w:val="0"/>
              <w:spacing w:line="400" w:lineRule="atLeast"/>
              <w:jc w:val="both"/>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 xml:space="preserve">3.具有工程设计综合甲级资质或同时具有：                             </w:t>
            </w:r>
          </w:p>
          <w:p>
            <w:pPr>
              <w:widowControl w:val="0"/>
              <w:adjustRightInd w:val="0"/>
              <w:snapToGrid w:val="0"/>
              <w:spacing w:line="400" w:lineRule="atLeast"/>
              <w:jc w:val="both"/>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 xml:space="preserve">①公路行业甲级资质或公路行业(公路、交通工程、特大桥梁)专业甲级资质；                             </w:t>
            </w:r>
          </w:p>
          <w:p>
            <w:pPr>
              <w:widowControl w:val="0"/>
              <w:adjustRightInd w:val="0"/>
              <w:snapToGrid w:val="0"/>
              <w:spacing w:line="400" w:lineRule="atLeast"/>
              <w:jc w:val="both"/>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②建筑行业乙级及以上资质或建筑行业（建筑工程）乙级及以上资质。</w:t>
            </w:r>
            <w:bookmarkEnd w:id="3"/>
          </w:p>
        </w:tc>
      </w:tr>
    </w:tbl>
    <w:p>
      <w:pPr>
        <w:rPr>
          <w:rFonts w:hint="eastAsia" w:ascii="Calibri" w:hAnsi="Calibri" w:eastAsia="宋体" w:cs="Times New Roman"/>
          <w:b/>
          <w:color w:val="auto"/>
          <w:sz w:val="16"/>
          <w:szCs w:val="22"/>
        </w:rPr>
      </w:pPr>
      <w:bookmarkStart w:id="4" w:name="EB01d8899a4662477a8b26e3fb7a1164be"/>
      <w:r>
        <w:rPr>
          <w:rFonts w:hint="eastAsia" w:ascii="Calibri" w:hAnsi="Calibri" w:eastAsia="宋体" w:cs="Times New Roman"/>
          <w:b/>
          <w:color w:val="auto"/>
          <w:sz w:val="16"/>
          <w:szCs w:val="22"/>
          <w:highlight w:val="white"/>
        </w:rPr>
        <w:t xml:space="preserve"> </w:t>
      </w:r>
      <w:bookmarkEnd w:id="4"/>
    </w:p>
    <w:p>
      <w:pPr>
        <w:rPr>
          <w:rFonts w:ascii="Calibri" w:hAnsi="Calibri" w:eastAsia="宋体" w:cs="Times New Roman"/>
          <w:color w:val="auto"/>
          <w:szCs w:val="22"/>
        </w:rPr>
      </w:pPr>
      <w:r>
        <w:rPr>
          <w:rFonts w:ascii="Calibri" w:hAnsi="Calibri" w:eastAsia="宋体" w:cs="Times New Roman"/>
          <w:color w:val="auto"/>
          <w:sz w:val="20"/>
          <w:szCs w:val="22"/>
          <w:highlight w:val="white"/>
        </w:rPr>
        <w:br w:type="page"/>
      </w:r>
      <w:bookmarkStart w:id="5" w:name="EB47d397e26a77423793d180ab14ac4cf1"/>
      <w:r>
        <w:rPr>
          <w:rFonts w:hint="eastAsia" w:ascii="宋体" w:hAnsi="宋体" w:eastAsia="宋体" w:cs="宋体"/>
          <w:b/>
          <w:bCs w:val="0"/>
          <w:iCs/>
          <w:color w:val="auto"/>
          <w:kern w:val="2"/>
          <w:sz w:val="28"/>
          <w:szCs w:val="28"/>
          <w:highlight w:val="white"/>
          <w:lang w:val="en-US" w:eastAsia="zh-CN" w:bidi="ar-SA"/>
        </w:rPr>
        <w:t xml:space="preserve"> </w:t>
      </w:r>
      <w:bookmarkEnd w:id="5"/>
      <w:bookmarkStart w:id="6" w:name="_Toc17549169"/>
      <w:bookmarkStart w:id="7" w:name="_Toc509993813"/>
      <w:bookmarkStart w:id="8" w:name="_Toc234832865"/>
      <w:r>
        <w:rPr>
          <w:rFonts w:hint="eastAsia" w:ascii="宋体" w:hAnsi="宋体" w:eastAsia="宋体" w:cs="宋体"/>
          <w:b/>
          <w:bCs w:val="0"/>
          <w:iCs/>
          <w:color w:val="auto"/>
          <w:kern w:val="2"/>
          <w:sz w:val="28"/>
          <w:szCs w:val="28"/>
          <w:highlight w:val="white"/>
          <w:lang w:val="en-US" w:eastAsia="zh-CN" w:bidi="ar-SA"/>
        </w:rPr>
        <w:t>附录2  资格审查条件（业绩最低要求）</w:t>
      </w:r>
      <w:bookmarkEnd w:id="6"/>
      <w:bookmarkEnd w:id="7"/>
      <w:bookmarkEnd w:id="8"/>
      <w:r>
        <w:rPr>
          <w:rFonts w:hint="eastAsia" w:ascii="宋体" w:hAnsi="宋体" w:eastAsia="宋体" w:cs="宋体"/>
          <w:b/>
          <w:bCs w:val="0"/>
          <w:iCs/>
          <w:color w:val="auto"/>
          <w:kern w:val="2"/>
          <w:sz w:val="28"/>
          <w:szCs w:val="28"/>
          <w:highlight w:val="white"/>
          <w:lang w:val="en-US" w:eastAsia="zh-CN" w:bidi="ar-SA"/>
        </w:rPr>
        <w:t>1</w:t>
      </w:r>
    </w:p>
    <w:tbl>
      <w:tblPr>
        <w:tblStyle w:val="6"/>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102" w:type="dxa"/>
            <w:noWrap w:val="0"/>
            <w:vAlign w:val="center"/>
          </w:tcPr>
          <w:p>
            <w:pPr>
              <w:widowControl w:val="0"/>
              <w:adjustRightInd w:val="0"/>
              <w:snapToGrid w:val="0"/>
              <w:spacing w:line="4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9102" w:type="dxa"/>
            <w:noWrap w:val="0"/>
            <w:vAlign w:val="center"/>
          </w:tcPr>
          <w:p>
            <w:pPr>
              <w:widowControl w:val="0"/>
              <w:adjustRightInd w:val="0"/>
              <w:snapToGrid w:val="0"/>
              <w:spacing w:line="400" w:lineRule="atLeast"/>
              <w:jc w:val="left"/>
              <w:rPr>
                <w:rFonts w:ascii="Times New Roman" w:hAnsi="Times New Roman" w:eastAsia="宋体" w:cs="Times New Roman"/>
                <w:color w:val="auto"/>
                <w:kern w:val="2"/>
                <w:sz w:val="21"/>
                <w:szCs w:val="21"/>
                <w:highlight w:val="green"/>
                <w:lang w:val="en-US" w:eastAsia="zh-CN" w:bidi="ar-SA"/>
              </w:rPr>
            </w:pPr>
            <w:bookmarkStart w:id="9" w:name="EB96f005d44f764efe80502eb8c69e63d6"/>
            <w:r>
              <w:rPr>
                <w:rFonts w:hint="eastAsia" w:ascii="Times New Roman" w:hAnsi="Times New Roman" w:eastAsia="宋体" w:cs="Times New Roman"/>
                <w:color w:val="auto"/>
                <w:kern w:val="2"/>
                <w:sz w:val="21"/>
                <w:szCs w:val="21"/>
                <w:highlight w:val="white"/>
                <w:lang w:val="en-US" w:eastAsia="zh-CN" w:bidi="ar-SA"/>
              </w:rPr>
              <w:t xml:space="preserve">最近 5 年（递交投标文件截止之日前一日回溯 5 年）内，具有 1 个满足以下条件的类似新建高速公路施工图勘察设计业绩（以下条件可在不同合同中满足）：                           </w:t>
            </w:r>
          </w:p>
          <w:p>
            <w:pPr>
              <w:widowControl w:val="0"/>
              <w:adjustRightInd w:val="0"/>
              <w:snapToGrid w:val="0"/>
              <w:spacing w:line="400" w:lineRule="atLeast"/>
              <w:jc w:val="left"/>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 xml:space="preserve">1、在一个合同中完成过 1 个里程不少于 18.5公里的新建高速公路土建工程（同时包含路基、路面、桥涵、隧道）施工图勘察设计业绩。                           </w:t>
            </w:r>
          </w:p>
          <w:p>
            <w:pPr>
              <w:widowControl w:val="0"/>
              <w:adjustRightInd w:val="0"/>
              <w:snapToGrid w:val="0"/>
              <w:spacing w:line="400" w:lineRule="atLeast"/>
              <w:jc w:val="left"/>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 xml:space="preserve">2、在一个合同中完成过1 个总长大于 1000 米的新建高速公路特大桥工程施工图勘察设计业绩。                          </w:t>
            </w:r>
          </w:p>
          <w:p>
            <w:pPr>
              <w:widowControl w:val="0"/>
              <w:adjustRightInd w:val="0"/>
              <w:snapToGrid w:val="0"/>
              <w:spacing w:line="400" w:lineRule="atLeast"/>
              <w:jc w:val="left"/>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 xml:space="preserve">3、完成一个高速公路房屋建筑工程合同段的施工图勘察设计业绩。                    </w:t>
            </w:r>
          </w:p>
          <w:p>
            <w:pPr>
              <w:widowControl w:val="0"/>
              <w:adjustRightInd w:val="0"/>
              <w:snapToGrid w:val="0"/>
              <w:spacing w:line="400" w:lineRule="atLeast"/>
              <w:jc w:val="left"/>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 xml:space="preserve">      </w:t>
            </w:r>
          </w:p>
          <w:p>
            <w:pPr>
              <w:widowControl w:val="0"/>
              <w:adjustRightInd w:val="0"/>
              <w:snapToGrid w:val="0"/>
              <w:spacing w:line="400" w:lineRule="atLeast"/>
              <w:jc w:val="left"/>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 xml:space="preserve">注： 1. 投标人应根据招标文件第二章“投标人须知”第 3.5.2 项的要求在“近年完成的类似项目情况表”后附相关证明材料。                           </w:t>
            </w:r>
          </w:p>
          <w:p>
            <w:pPr>
              <w:widowControl w:val="0"/>
              <w:adjustRightInd w:val="0"/>
              <w:snapToGrid w:val="0"/>
              <w:spacing w:line="400" w:lineRule="atLeast"/>
              <w:jc w:val="left"/>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 xml:space="preserve">2. 如近年来，投标人法人机构发生合法变更或重组或法人名称变更时，应提供相关部门的合法批件或其他相关证明材料来证明其所附业绩的继承性。                           </w:t>
            </w:r>
          </w:p>
          <w:p>
            <w:pPr>
              <w:widowControl w:val="0"/>
              <w:adjustRightInd w:val="0"/>
              <w:snapToGrid w:val="0"/>
              <w:spacing w:line="400" w:lineRule="atLeast"/>
              <w:jc w:val="left"/>
              <w:rPr>
                <w:rFonts w:hint="eastAsia" w:ascii="Times New Roman" w:hAnsi="Times New Roman" w:eastAsia="宋体" w:cs="Times New Roman"/>
                <w:color w:val="auto"/>
                <w:kern w:val="2"/>
                <w:sz w:val="21"/>
                <w:szCs w:val="21"/>
                <w:highlight w:val="white"/>
                <w:lang w:val="en-US" w:eastAsia="zh-CN" w:bidi="ar-SA"/>
              </w:rPr>
            </w:pPr>
            <w:r>
              <w:rPr>
                <w:rFonts w:hint="eastAsia" w:ascii="Times New Roman" w:hAnsi="Times New Roman" w:eastAsia="宋体" w:cs="Times New Roman"/>
                <w:color w:val="auto"/>
                <w:kern w:val="2"/>
                <w:sz w:val="21"/>
                <w:szCs w:val="21"/>
                <w:highlight w:val="white"/>
                <w:lang w:val="en-US" w:eastAsia="zh-CN" w:bidi="ar-SA"/>
              </w:rPr>
              <w:t>3. 设计业绩计算以施工图设计批复日期为准。</w:t>
            </w:r>
            <w:bookmarkEnd w:id="9"/>
          </w:p>
        </w:tc>
      </w:tr>
    </w:tbl>
    <w:p>
      <w:pPr>
        <w:rPr>
          <w:rFonts w:hint="eastAsia" w:ascii="Calibri" w:hAnsi="Calibri" w:eastAsia="宋体" w:cs="Times New Roman"/>
          <w:b/>
          <w:color w:val="auto"/>
          <w:sz w:val="16"/>
          <w:szCs w:val="22"/>
        </w:rPr>
      </w:pPr>
      <w:bookmarkStart w:id="10" w:name="EB958572b5cf47428ea3bcd223c4a221ec"/>
      <w:r>
        <w:rPr>
          <w:rFonts w:hint="eastAsia" w:ascii="Calibri" w:hAnsi="Calibri" w:eastAsia="宋体" w:cs="Times New Roman"/>
          <w:b/>
          <w:color w:val="auto"/>
          <w:sz w:val="16"/>
          <w:szCs w:val="22"/>
          <w:highlight w:val="white"/>
        </w:rPr>
        <w:t xml:space="preserve"> </w:t>
      </w:r>
      <w:bookmarkEnd w:id="10"/>
    </w:p>
    <w:p>
      <w:pPr>
        <w:jc w:val="left"/>
        <w:rPr>
          <w:rFonts w:ascii="Calibri" w:hAnsi="Calibri" w:eastAsia="宋体" w:cs="Times New Roman"/>
          <w:color w:val="auto"/>
          <w:szCs w:val="22"/>
          <w:highlight w:val="yellow"/>
        </w:rPr>
      </w:pPr>
      <w:r>
        <w:rPr>
          <w:rFonts w:ascii="Calibri" w:hAnsi="Calibri" w:eastAsia="宋体" w:cs="Times New Roman"/>
          <w:color w:val="auto"/>
          <w:sz w:val="20"/>
          <w:szCs w:val="22"/>
          <w:highlight w:val="white"/>
        </w:rPr>
        <w:br w:type="page"/>
      </w:r>
      <w:bookmarkStart w:id="11" w:name="EB298f6f86c6484ab5a45d5d277657fbd4"/>
      <w:r>
        <w:rPr>
          <w:rFonts w:hint="eastAsia" w:ascii="Calibri" w:hAnsi="Calibri" w:eastAsia="宋体" w:cs="Times New Roman"/>
          <w:color w:val="auto"/>
          <w:sz w:val="20"/>
          <w:szCs w:val="22"/>
          <w:highlight w:val="white"/>
        </w:rPr>
        <w:t xml:space="preserve"> </w:t>
      </w:r>
      <w:bookmarkEnd w:id="11"/>
      <w:bookmarkStart w:id="12" w:name="EBd190dd0747aa4aa1928c3e241ed904b5"/>
      <w:r>
        <w:rPr>
          <w:rFonts w:hint="eastAsia" w:ascii="Calibri" w:hAnsi="Calibri" w:eastAsia="宋体" w:cs="Times New Roman"/>
          <w:color w:val="auto"/>
          <w:sz w:val="20"/>
          <w:szCs w:val="22"/>
          <w:highlight w:val="white"/>
        </w:rPr>
        <w:t xml:space="preserve"> </w:t>
      </w:r>
      <w:bookmarkEnd w:id="12"/>
    </w:p>
    <w:p>
      <w:pPr>
        <w:pStyle w:val="2"/>
        <w:jc w:val="left"/>
        <w:rPr>
          <w:rFonts w:hint="eastAsia" w:ascii="宋体" w:hAnsi="宋体" w:eastAsia="宋体" w:cs="宋体"/>
          <w:b/>
          <w:bCs w:val="0"/>
          <w:color w:val="auto"/>
          <w:sz w:val="28"/>
          <w:szCs w:val="28"/>
          <w:highlight w:val="white"/>
        </w:rPr>
      </w:pPr>
      <w:bookmarkStart w:id="13" w:name="_Toc17549170"/>
      <w:bookmarkStart w:id="14" w:name="_Toc234832866"/>
      <w:bookmarkStart w:id="15" w:name="_Toc509993814"/>
      <w:r>
        <w:rPr>
          <w:rFonts w:hint="eastAsia" w:ascii="宋体" w:hAnsi="宋体" w:eastAsia="宋体" w:cs="宋体"/>
          <w:b/>
          <w:bCs w:val="0"/>
          <w:color w:val="auto"/>
          <w:sz w:val="28"/>
          <w:szCs w:val="28"/>
          <w:highlight w:val="white"/>
        </w:rPr>
        <w:t>附录3  资格审查条件（信誉最低要求）</w:t>
      </w:r>
      <w:bookmarkEnd w:id="13"/>
      <w:bookmarkEnd w:id="14"/>
      <w:bookmarkEnd w:id="15"/>
      <w:r>
        <w:rPr>
          <w:rFonts w:hint="eastAsia" w:ascii="宋体" w:hAnsi="宋体" w:eastAsia="宋体" w:cs="宋体"/>
          <w:b/>
          <w:bCs w:val="0"/>
          <w:color w:val="auto"/>
          <w:sz w:val="28"/>
          <w:szCs w:val="28"/>
          <w:highlight w:val="white"/>
        </w:rPr>
        <w:t>1</w:t>
      </w:r>
    </w:p>
    <w:tbl>
      <w:tblPr>
        <w:tblStyle w:val="6"/>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9194" w:type="dxa"/>
            <w:noWrap w:val="0"/>
            <w:vAlign w:val="center"/>
          </w:tcPr>
          <w:p>
            <w:pPr>
              <w:widowControl w:val="0"/>
              <w:adjustRightInd w:val="0"/>
              <w:snapToGrid w:val="0"/>
              <w:spacing w:line="4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9194" w:type="dxa"/>
            <w:noWrap w:val="0"/>
            <w:vAlign w:val="center"/>
          </w:tcPr>
          <w:p>
            <w:pPr>
              <w:widowControl w:val="0"/>
              <w:adjustRightInd w:val="0"/>
              <w:snapToGrid w:val="0"/>
              <w:spacing w:line="400" w:lineRule="atLeast"/>
              <w:jc w:val="left"/>
              <w:rPr>
                <w:rFonts w:hint="eastAsia" w:ascii="宋体" w:hAnsi="宋体" w:eastAsia="宋体" w:cs="宋体"/>
                <w:color w:val="auto"/>
                <w:kern w:val="2"/>
                <w:sz w:val="21"/>
                <w:szCs w:val="21"/>
                <w:highlight w:val="green"/>
                <w:lang w:val="en-US" w:eastAsia="zh-CN" w:bidi="ar-SA"/>
              </w:rPr>
            </w:pPr>
            <w:bookmarkStart w:id="16" w:name="EB4f3cea4aa8db4945b454e65f8beeba4c"/>
            <w:r>
              <w:rPr>
                <w:rFonts w:hint="eastAsia" w:ascii="宋体" w:hAnsi="宋体" w:eastAsia="宋体" w:cs="宋体"/>
                <w:color w:val="auto"/>
                <w:kern w:val="2"/>
                <w:sz w:val="21"/>
                <w:szCs w:val="21"/>
                <w:highlight w:val="white"/>
                <w:lang w:val="en-US" w:eastAsia="zh-CN" w:bidi="ar-SA"/>
              </w:rPr>
              <w:t xml:space="preserve">投标人不得存在投标人须知 1.4.3 款和 1.4.4 款的情形且不得存在以下情形之一：                           </w:t>
            </w:r>
          </w:p>
          <w:p>
            <w:pPr>
              <w:widowControl w:val="0"/>
              <w:adjustRightInd w:val="0"/>
              <w:snapToGrid w:val="0"/>
              <w:spacing w:line="400" w:lineRule="atLeast"/>
              <w:jc w:val="left"/>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被湖南省交通运输厅评为最近第一年度 D 级、连续两年（最近第二年和最近第一年）评为 C 级及以下信用等级的投标人。      </w:t>
            </w:r>
          </w:p>
          <w:p>
            <w:pPr>
              <w:widowControl w:val="0"/>
              <w:adjustRightInd w:val="0"/>
              <w:snapToGrid w:val="0"/>
              <w:spacing w:line="400" w:lineRule="atLeast"/>
              <w:jc w:val="left"/>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      </w:t>
            </w:r>
          </w:p>
          <w:p>
            <w:pPr>
              <w:widowControl w:val="0"/>
              <w:adjustRightInd w:val="0"/>
              <w:snapToGrid w:val="0"/>
              <w:spacing w:line="400" w:lineRule="atLeast"/>
              <w:jc w:val="left"/>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注：                           </w:t>
            </w:r>
          </w:p>
          <w:p>
            <w:pPr>
              <w:widowControl w:val="0"/>
              <w:adjustRightInd w:val="0"/>
              <w:snapToGrid w:val="0"/>
              <w:spacing w:line="400" w:lineRule="atLeast"/>
              <w:jc w:val="left"/>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 投标人应根据招标文件第二章“投标人须知”正文第 1.4.4 项规定，逐条说明其信誉情况；                           </w:t>
            </w:r>
          </w:p>
          <w:p>
            <w:pPr>
              <w:widowControl w:val="0"/>
              <w:adjustRightInd w:val="0"/>
              <w:snapToGrid w:val="0"/>
              <w:spacing w:line="400" w:lineRule="atLeast"/>
              <w:jc w:val="left"/>
              <w:rPr>
                <w:rFonts w:hint="eastAsia" w:ascii="Times New Roman" w:hAnsi="Times New Roman" w:eastAsia="宋体" w:cs="Times New Roman"/>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 投标人应根据招标文件第二章“投标人须知”第 3.5.3 项的要求在“投标人信誉情况表”后附相关证明材料；</w:t>
            </w:r>
            <w:bookmarkEnd w:id="16"/>
          </w:p>
        </w:tc>
      </w:tr>
    </w:tbl>
    <w:p>
      <w:pPr>
        <w:rPr>
          <w:rFonts w:hint="eastAsia" w:ascii="Calibri" w:hAnsi="Calibri" w:eastAsia="宋体" w:cs="Times New Roman"/>
          <w:b/>
          <w:color w:val="auto"/>
          <w:sz w:val="16"/>
          <w:szCs w:val="22"/>
        </w:rPr>
      </w:pPr>
      <w:bookmarkStart w:id="17" w:name="EBc4b9372d4b0d43f58ca74e78bf1e3cc9"/>
      <w:r>
        <w:rPr>
          <w:rFonts w:hint="eastAsia" w:ascii="Calibri" w:hAnsi="Calibri" w:eastAsia="宋体" w:cs="Times New Roman"/>
          <w:b/>
          <w:color w:val="auto"/>
          <w:sz w:val="16"/>
          <w:szCs w:val="22"/>
          <w:highlight w:val="white"/>
        </w:rPr>
        <w:t xml:space="preserve"> </w:t>
      </w:r>
      <w:bookmarkEnd w:id="17"/>
    </w:p>
    <w:p>
      <w:pPr>
        <w:rPr>
          <w:rFonts w:ascii="Calibri" w:hAnsi="Calibri" w:eastAsia="宋体" w:cs="Times New Roman"/>
          <w:color w:val="auto"/>
          <w:szCs w:val="22"/>
          <w:highlight w:val="yellow"/>
        </w:rPr>
      </w:pPr>
      <w:r>
        <w:rPr>
          <w:rFonts w:ascii="Calibri" w:hAnsi="Calibri" w:eastAsia="宋体" w:cs="Times New Roman"/>
          <w:color w:val="auto"/>
          <w:sz w:val="20"/>
          <w:szCs w:val="22"/>
          <w:highlight w:val="white"/>
        </w:rPr>
        <w:br w:type="page"/>
      </w:r>
      <w:bookmarkStart w:id="18" w:name="EBa874888f6cb74454b485394253745cfb"/>
      <w:r>
        <w:rPr>
          <w:rFonts w:hint="eastAsia" w:ascii="Calibri" w:hAnsi="Calibri" w:eastAsia="宋体" w:cs="Times New Roman"/>
          <w:color w:val="auto"/>
          <w:sz w:val="20"/>
          <w:szCs w:val="22"/>
          <w:highlight w:val="white"/>
        </w:rPr>
        <w:t xml:space="preserve"> </w:t>
      </w:r>
      <w:bookmarkEnd w:id="18"/>
      <w:bookmarkStart w:id="19" w:name="EB4416174e740b406db504afb1775f509d"/>
      <w:r>
        <w:rPr>
          <w:rFonts w:hint="eastAsia" w:ascii="Calibri" w:hAnsi="Calibri" w:eastAsia="宋体" w:cs="Times New Roman"/>
          <w:color w:val="auto"/>
          <w:sz w:val="20"/>
          <w:szCs w:val="22"/>
          <w:highlight w:val="white"/>
        </w:rPr>
        <w:t xml:space="preserve"> </w:t>
      </w:r>
      <w:bookmarkEnd w:id="19"/>
    </w:p>
    <w:p>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8"/>
          <w:szCs w:val="28"/>
          <w:highlight w:val="white"/>
        </w:rPr>
      </w:pPr>
      <w:bookmarkStart w:id="20" w:name="_Toc509993815"/>
      <w:bookmarkStart w:id="21" w:name="_Toc234832867"/>
      <w:bookmarkStart w:id="22" w:name="_Toc17549171"/>
      <w:r>
        <w:rPr>
          <w:rFonts w:hint="eastAsia" w:ascii="宋体" w:hAnsi="宋体" w:eastAsia="宋体" w:cs="宋体"/>
          <w:b/>
          <w:bCs w:val="0"/>
          <w:color w:val="auto"/>
          <w:sz w:val="28"/>
          <w:szCs w:val="28"/>
          <w:highlight w:val="white"/>
        </w:rPr>
        <w:t>附录4  资格审查条件（项目负责人最低要求）</w:t>
      </w:r>
      <w:bookmarkEnd w:id="20"/>
      <w:bookmarkEnd w:id="21"/>
      <w:bookmarkEnd w:id="22"/>
      <w:r>
        <w:rPr>
          <w:rFonts w:hint="eastAsia" w:ascii="宋体" w:hAnsi="宋体" w:eastAsia="宋体" w:cs="宋体"/>
          <w:b/>
          <w:bCs w:val="0"/>
          <w:color w:val="auto"/>
          <w:sz w:val="28"/>
          <w:szCs w:val="28"/>
          <w:highlight w:val="white"/>
        </w:rPr>
        <w:t>1</w:t>
      </w:r>
    </w:p>
    <w:tbl>
      <w:tblPr>
        <w:tblStyle w:val="6"/>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720"/>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71" w:type="dxa"/>
            <w:noWrap w:val="0"/>
            <w:vAlign w:val="center"/>
          </w:tcPr>
          <w:p>
            <w:pPr>
              <w:widowControl w:val="0"/>
              <w:adjustRightInd w:val="0"/>
              <w:snapToGrid w:val="0"/>
              <w:spacing w:line="300" w:lineRule="auto"/>
              <w:jc w:val="center"/>
              <w:rPr>
                <w:rFonts w:ascii="Times New Roman" w:hAnsi="Times New Roman" w:eastAsia="宋体" w:cs="Times New Roman"/>
                <w:color w:val="auto"/>
                <w:kern w:val="2"/>
                <w:sz w:val="21"/>
                <w:szCs w:val="21"/>
                <w:lang w:val="en-US" w:eastAsia="zh-CN" w:bidi="ar-SA"/>
              </w:rPr>
            </w:pPr>
            <w:bookmarkStart w:id="23" w:name="_Hlk12835511"/>
            <w:r>
              <w:rPr>
                <w:rFonts w:ascii="Times New Roman" w:hAnsi="Times New Roman" w:eastAsia="宋体" w:cs="Times New Roman"/>
                <w:color w:val="auto"/>
                <w:kern w:val="2"/>
                <w:sz w:val="21"/>
                <w:szCs w:val="21"/>
                <w:highlight w:val="white"/>
                <w:lang w:val="en-US" w:eastAsia="zh-CN" w:bidi="ar-SA"/>
              </w:rPr>
              <w:t>人  员</w:t>
            </w:r>
          </w:p>
        </w:tc>
        <w:tc>
          <w:tcPr>
            <w:tcW w:w="1720" w:type="dxa"/>
            <w:noWrap w:val="0"/>
            <w:vAlign w:val="center"/>
          </w:tcPr>
          <w:p>
            <w:pPr>
              <w:widowControl w:val="0"/>
              <w:adjustRightInd w:val="0"/>
              <w:snapToGrid w:val="0"/>
              <w:spacing w:line="300" w:lineRule="auto"/>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数  量</w:t>
            </w:r>
          </w:p>
        </w:tc>
        <w:tc>
          <w:tcPr>
            <w:tcW w:w="5630" w:type="dxa"/>
            <w:noWrap w:val="0"/>
            <w:vAlign w:val="center"/>
          </w:tcPr>
          <w:p>
            <w:pPr>
              <w:widowControl w:val="0"/>
              <w:adjustRightInd w:val="0"/>
              <w:snapToGrid w:val="0"/>
              <w:spacing w:line="300" w:lineRule="auto"/>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871" w:type="dxa"/>
            <w:noWrap w:val="0"/>
            <w:vAlign w:val="center"/>
          </w:tcPr>
          <w:p>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24" w:name="EB47279cc22312400bb11ad98b7d3c7691"/>
            <w:r>
              <w:rPr>
                <w:rFonts w:hint="eastAsia" w:ascii="宋体" w:hAnsi="宋体" w:eastAsia="宋体" w:cs="宋体"/>
                <w:color w:val="auto"/>
                <w:kern w:val="2"/>
                <w:sz w:val="21"/>
                <w:szCs w:val="21"/>
                <w:highlight w:val="white"/>
                <w:lang w:val="en-US" w:eastAsia="zh-CN" w:bidi="ar-SA"/>
              </w:rPr>
              <w:t>项目负责人</w:t>
            </w:r>
            <w:bookmarkEnd w:id="24"/>
          </w:p>
        </w:tc>
        <w:tc>
          <w:tcPr>
            <w:tcW w:w="1720" w:type="dxa"/>
            <w:noWrap w:val="0"/>
            <w:vAlign w:val="center"/>
          </w:tcPr>
          <w:p>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25" w:name="EBb03f8ddf2eca43688c0e3282993ae0a3"/>
            <w:r>
              <w:rPr>
                <w:rFonts w:hint="eastAsia" w:ascii="宋体" w:hAnsi="宋体" w:eastAsia="宋体" w:cs="宋体"/>
                <w:color w:val="auto"/>
                <w:kern w:val="2"/>
                <w:sz w:val="21"/>
                <w:szCs w:val="21"/>
                <w:highlight w:val="white"/>
                <w:lang w:val="en-US" w:eastAsia="zh-CN" w:bidi="ar-SA"/>
              </w:rPr>
              <w:t>1</w:t>
            </w:r>
            <w:bookmarkEnd w:id="25"/>
          </w:p>
        </w:tc>
        <w:tc>
          <w:tcPr>
            <w:tcW w:w="5630" w:type="dxa"/>
            <w:noWrap w:val="0"/>
            <w:vAlign w:val="center"/>
          </w:tcPr>
          <w:p>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26" w:name="EB33dc4bf9265847ec93d89d2a77fc3283"/>
            <w:r>
              <w:rPr>
                <w:rFonts w:hint="eastAsia" w:ascii="宋体" w:hAnsi="宋体" w:eastAsia="宋体" w:cs="宋体"/>
                <w:color w:val="auto"/>
                <w:kern w:val="2"/>
                <w:sz w:val="21"/>
                <w:szCs w:val="21"/>
                <w:highlight w:val="white"/>
                <w:lang w:val="en-US" w:eastAsia="zh-CN" w:bidi="ar-SA"/>
              </w:rPr>
              <w:t xml:space="preserve">1、公路工程相关专业高级及以上职称；  </w:t>
            </w:r>
          </w:p>
          <w:p>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2、最近 5 年(递交投标文件截止之日前一日回溯 5 年)作为项目负责人主持过 1 个 18.5 公里及以上的新建高速公路土建工程(同时包含路基、路面、桥涵、隧道)施工图勘察设计。  </w:t>
            </w:r>
          </w:p>
          <w:p>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注：   </w:t>
            </w:r>
          </w:p>
          <w:p>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1.公路工程相关专业职称包括公路工程、桥梁工程、公路与桥梁工程、交通土建、隧道地下结构工程、交通工程、公路桥梁、公路桥梁与隧道、道路与桥梁隧道工程等专业职称。                    </w:t>
            </w:r>
          </w:p>
          <w:p>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2.投标人应根据招标文件第二章“投标人须知”第 3.5.4  项的要求在“拟委任的项目负责人资历表”后 附相关证明材料。</w:t>
            </w:r>
            <w:bookmarkEnd w:id="26"/>
          </w:p>
        </w:tc>
      </w:tr>
      <w:bookmarkEnd w:id="23"/>
    </w:tbl>
    <w:p>
      <w:pPr>
        <w:rPr>
          <w:rFonts w:hint="eastAsia" w:ascii="Calibri" w:hAnsi="Calibri" w:eastAsia="宋体" w:cs="Times New Roman"/>
          <w:b/>
          <w:color w:val="auto"/>
          <w:sz w:val="16"/>
          <w:szCs w:val="22"/>
        </w:rPr>
      </w:pPr>
      <w:bookmarkStart w:id="27" w:name="EB33a6b43eecfc4d2796791a6cd2b8dce3"/>
      <w:r>
        <w:rPr>
          <w:rFonts w:hint="eastAsia" w:ascii="Calibri" w:hAnsi="Calibri" w:eastAsia="宋体" w:cs="Times New Roman"/>
          <w:b/>
          <w:color w:val="auto"/>
          <w:sz w:val="16"/>
          <w:szCs w:val="22"/>
          <w:highlight w:val="white"/>
        </w:rPr>
        <w:t xml:space="preserve"> </w:t>
      </w:r>
      <w:bookmarkEnd w:id="27"/>
    </w:p>
    <w:p>
      <w:pPr>
        <w:jc w:val="left"/>
        <w:rPr>
          <w:rFonts w:ascii="Calibri" w:hAnsi="Calibri" w:eastAsia="宋体" w:cs="Times New Roman"/>
          <w:color w:val="auto"/>
          <w:szCs w:val="22"/>
          <w:highlight w:val="yellow"/>
        </w:rPr>
      </w:pPr>
      <w:r>
        <w:rPr>
          <w:rFonts w:ascii="Calibri" w:hAnsi="Calibri" w:eastAsia="宋体" w:cs="Times New Roman"/>
          <w:color w:val="auto"/>
          <w:sz w:val="20"/>
          <w:szCs w:val="22"/>
          <w:highlight w:val="white"/>
        </w:rPr>
        <w:br w:type="page"/>
      </w:r>
      <w:bookmarkStart w:id="28" w:name="EB34c261f151bd41aaa7cb2f001771354d"/>
      <w:r>
        <w:rPr>
          <w:rFonts w:hint="eastAsia" w:ascii="Calibri" w:hAnsi="Calibri" w:eastAsia="宋体" w:cs="Times New Roman"/>
          <w:color w:val="auto"/>
          <w:sz w:val="20"/>
          <w:szCs w:val="22"/>
          <w:highlight w:val="white"/>
        </w:rPr>
        <w:t xml:space="preserve"> </w:t>
      </w:r>
      <w:bookmarkEnd w:id="28"/>
      <w:bookmarkStart w:id="29" w:name="EB4370aa64128543329a87af91f3ce983b"/>
      <w:r>
        <w:rPr>
          <w:rFonts w:hint="eastAsia" w:ascii="Calibri" w:hAnsi="Calibri" w:eastAsia="宋体" w:cs="Times New Roman"/>
          <w:color w:val="auto"/>
          <w:sz w:val="20"/>
          <w:szCs w:val="22"/>
          <w:highlight w:val="white"/>
        </w:rPr>
        <w:t xml:space="preserve"> </w:t>
      </w:r>
      <w:bookmarkEnd w:id="29"/>
    </w:p>
    <w:p>
      <w:pPr>
        <w:pStyle w:val="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rPr>
      </w:pPr>
      <w:bookmarkStart w:id="30" w:name="_Toc509993816"/>
      <w:bookmarkStart w:id="31" w:name="_Toc17549172"/>
      <w:bookmarkStart w:id="32" w:name="_Toc234832868"/>
      <w:r>
        <w:rPr>
          <w:rFonts w:hint="eastAsia" w:ascii="宋体" w:hAnsi="宋体" w:eastAsia="宋体" w:cs="宋体"/>
          <w:b/>
          <w:bCs w:val="0"/>
          <w:color w:val="auto"/>
          <w:highlight w:val="white"/>
        </w:rPr>
        <w:t>附录5  资格审查条件（分项负责人最低要求）</w:t>
      </w:r>
      <w:bookmarkEnd w:id="30"/>
      <w:bookmarkEnd w:id="31"/>
      <w:bookmarkEnd w:id="32"/>
      <w:r>
        <w:rPr>
          <w:rFonts w:hint="eastAsia" w:ascii="宋体" w:hAnsi="宋体" w:eastAsia="宋体" w:cs="宋体"/>
          <w:b/>
          <w:bCs w:val="0"/>
          <w:color w:val="auto"/>
          <w:highlight w:val="white"/>
          <w:vertAlign w:val="superscript"/>
        </w:rPr>
        <w:t>1</w:t>
      </w:r>
    </w:p>
    <w:tbl>
      <w:tblPr>
        <w:tblStyle w:val="6"/>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466"/>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80" w:type="dxa"/>
            <w:noWrap w:val="0"/>
            <w:vAlign w:val="center"/>
          </w:tcPr>
          <w:p>
            <w:pPr>
              <w:widowControl w:val="0"/>
              <w:adjustRightInd w:val="0"/>
              <w:snapToGrid w:val="0"/>
              <w:spacing w:line="4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人  员</w:t>
            </w:r>
          </w:p>
        </w:tc>
        <w:tc>
          <w:tcPr>
            <w:tcW w:w="1466" w:type="dxa"/>
            <w:noWrap w:val="0"/>
            <w:vAlign w:val="center"/>
          </w:tcPr>
          <w:p>
            <w:pPr>
              <w:widowControl w:val="0"/>
              <w:adjustRightInd w:val="0"/>
              <w:snapToGrid w:val="0"/>
              <w:spacing w:line="4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数  量</w:t>
            </w:r>
          </w:p>
        </w:tc>
        <w:tc>
          <w:tcPr>
            <w:tcW w:w="5752" w:type="dxa"/>
            <w:noWrap w:val="0"/>
            <w:vAlign w:val="center"/>
          </w:tcPr>
          <w:p>
            <w:pPr>
              <w:widowControl w:val="0"/>
              <w:adjustRightInd w:val="0"/>
              <w:snapToGrid w:val="0"/>
              <w:spacing w:line="4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Times New Roman" w:hAnsi="Times New Roman" w:eastAsia="宋体" w:cs="Times New Roman"/>
                <w:color w:val="auto"/>
                <w:kern w:val="2"/>
                <w:sz w:val="24"/>
                <w:szCs w:val="24"/>
                <w:highlight w:val="green"/>
                <w:lang w:val="en-US" w:eastAsia="zh-CN" w:bidi="ar-SA"/>
              </w:rPr>
            </w:pPr>
            <w:bookmarkStart w:id="33" w:name="EB0eae43347c5e484d92af4d5cd1f05ea7"/>
            <w:r>
              <w:rPr>
                <w:rFonts w:hint="eastAsia" w:ascii="Times New Roman" w:hAnsi="Times New Roman" w:eastAsia="宋体" w:cs="Times New Roman"/>
                <w:color w:val="auto"/>
                <w:kern w:val="2"/>
                <w:sz w:val="24"/>
                <w:szCs w:val="24"/>
                <w:highlight w:val="white"/>
                <w:lang w:val="en-US" w:eastAsia="zh-CN" w:bidi="ar-SA"/>
              </w:rPr>
              <w:t>/</w:t>
            </w:r>
            <w:bookmarkEnd w:id="33"/>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Times New Roman" w:hAnsi="Times New Roman" w:eastAsia="宋体" w:cs="Times New Roman"/>
                <w:color w:val="auto"/>
                <w:kern w:val="2"/>
                <w:sz w:val="24"/>
                <w:szCs w:val="24"/>
                <w:highlight w:val="green"/>
                <w:lang w:val="en-US" w:eastAsia="zh-CN" w:bidi="ar-SA"/>
              </w:rPr>
            </w:pPr>
            <w:bookmarkStart w:id="34" w:name="EBbb976783f45542489cf178d19700c709"/>
            <w:r>
              <w:rPr>
                <w:rFonts w:hint="eastAsia" w:ascii="Times New Roman" w:hAnsi="Times New Roman" w:eastAsia="宋体" w:cs="Times New Roman"/>
                <w:color w:val="auto"/>
                <w:kern w:val="2"/>
                <w:sz w:val="24"/>
                <w:szCs w:val="24"/>
                <w:highlight w:val="white"/>
                <w:lang w:val="en-US" w:eastAsia="zh-CN" w:bidi="ar-SA"/>
              </w:rPr>
              <w:t>/</w:t>
            </w:r>
            <w:bookmarkEnd w:id="34"/>
          </w:p>
        </w:tc>
        <w:tc>
          <w:tcPr>
            <w:tcW w:w="575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Times New Roman" w:hAnsi="Times New Roman" w:eastAsia="宋体" w:cs="Times New Roman"/>
                <w:color w:val="auto"/>
                <w:kern w:val="2"/>
                <w:sz w:val="24"/>
                <w:szCs w:val="24"/>
                <w:highlight w:val="green"/>
                <w:lang w:val="en-US" w:eastAsia="zh-CN" w:bidi="ar-SA"/>
              </w:rPr>
            </w:pPr>
            <w:bookmarkStart w:id="35" w:name="EB3ec7eac08cb8446299af19c7da94a96a"/>
            <w:r>
              <w:rPr>
                <w:rFonts w:hint="eastAsia" w:ascii="Times New Roman" w:hAnsi="Times New Roman" w:eastAsia="宋体" w:cs="Times New Roman"/>
                <w:color w:val="auto"/>
                <w:kern w:val="2"/>
                <w:sz w:val="24"/>
                <w:szCs w:val="24"/>
                <w:highlight w:val="white"/>
                <w:lang w:val="en-US" w:eastAsia="zh-CN" w:bidi="ar-SA"/>
              </w:rPr>
              <w:t>/</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36" w:name="EB60339cfb32ff4589a99ec052cdae34ea"/>
            <w:r>
              <w:rPr>
                <w:rFonts w:hint="eastAsia" w:ascii="Times New Roman" w:hAnsi="Times New Roman" w:eastAsia="宋体" w:cs="Times New Roman"/>
                <w:color w:val="auto"/>
                <w:kern w:val="2"/>
                <w:sz w:val="24"/>
                <w:szCs w:val="24"/>
                <w:highlight w:val="white"/>
                <w:lang w:val="en-US" w:eastAsia="zh-CN" w:bidi="ar-SA"/>
              </w:rPr>
              <w:t>/</w:t>
            </w:r>
            <w:bookmarkEnd w:id="36"/>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37" w:name="EBae1f4acf17fc4c8e9471722ce0ffac68"/>
            <w:r>
              <w:rPr>
                <w:rFonts w:hint="eastAsia" w:ascii="Times New Roman" w:hAnsi="Times New Roman" w:eastAsia="宋体" w:cs="Times New Roman"/>
                <w:color w:val="auto"/>
                <w:kern w:val="2"/>
                <w:sz w:val="24"/>
                <w:szCs w:val="24"/>
                <w:highlight w:val="white"/>
                <w:lang w:val="en-US" w:eastAsia="zh-CN" w:bidi="ar-SA"/>
              </w:rPr>
              <w:t>/</w:t>
            </w:r>
            <w:bookmarkEnd w:id="37"/>
          </w:p>
        </w:tc>
        <w:tc>
          <w:tcPr>
            <w:tcW w:w="575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38" w:name="EB6565357946f5490e94c978c626154047"/>
            <w:r>
              <w:rPr>
                <w:rFonts w:hint="eastAsia" w:ascii="Times New Roman" w:hAnsi="Times New Roman" w:eastAsia="宋体" w:cs="Times New Roman"/>
                <w:color w:val="auto"/>
                <w:kern w:val="2"/>
                <w:sz w:val="24"/>
                <w:szCs w:val="24"/>
                <w:highlight w:val="white"/>
                <w:lang w:val="en-US" w:eastAsia="zh-CN" w:bidi="ar-SA"/>
              </w:rPr>
              <w:t>/</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39" w:name="EB40b7fd402a5b4c8689525c99e778193f"/>
            <w:r>
              <w:rPr>
                <w:rFonts w:hint="eastAsia" w:ascii="Times New Roman" w:hAnsi="Times New Roman" w:eastAsia="宋体" w:cs="Times New Roman"/>
                <w:color w:val="auto"/>
                <w:kern w:val="2"/>
                <w:sz w:val="24"/>
                <w:szCs w:val="24"/>
                <w:highlight w:val="white"/>
                <w:lang w:val="en-US" w:eastAsia="zh-CN" w:bidi="ar-SA"/>
              </w:rPr>
              <w:t>/</w:t>
            </w:r>
            <w:bookmarkEnd w:id="39"/>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40" w:name="EB33036a4cc5674807b6d6d7d1c3f33cda"/>
            <w:r>
              <w:rPr>
                <w:rFonts w:hint="eastAsia" w:ascii="Times New Roman" w:hAnsi="Times New Roman" w:eastAsia="宋体" w:cs="Times New Roman"/>
                <w:color w:val="auto"/>
                <w:kern w:val="2"/>
                <w:sz w:val="24"/>
                <w:szCs w:val="24"/>
                <w:highlight w:val="white"/>
                <w:lang w:val="en-US" w:eastAsia="zh-CN" w:bidi="ar-SA"/>
              </w:rPr>
              <w:t>/</w:t>
            </w:r>
            <w:bookmarkEnd w:id="40"/>
          </w:p>
        </w:tc>
        <w:tc>
          <w:tcPr>
            <w:tcW w:w="575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41" w:name="EB10b8d7f467c1453c884e7b439ee871fa"/>
            <w:r>
              <w:rPr>
                <w:rFonts w:hint="eastAsia" w:ascii="Times New Roman" w:hAnsi="Times New Roman" w:eastAsia="宋体" w:cs="Times New Roman"/>
                <w:color w:val="auto"/>
                <w:kern w:val="2"/>
                <w:sz w:val="24"/>
                <w:szCs w:val="24"/>
                <w:highlight w:val="white"/>
                <w:lang w:val="en-US" w:eastAsia="zh-CN" w:bidi="ar-SA"/>
              </w:rPr>
              <w:t>/</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42" w:name="EB97e0c19511eb43049efac799251711c9"/>
            <w:r>
              <w:rPr>
                <w:rFonts w:hint="eastAsia" w:ascii="Times New Roman" w:hAnsi="Times New Roman" w:eastAsia="宋体" w:cs="Times New Roman"/>
                <w:color w:val="auto"/>
                <w:kern w:val="2"/>
                <w:sz w:val="24"/>
                <w:szCs w:val="24"/>
                <w:highlight w:val="white"/>
                <w:lang w:val="en-US" w:eastAsia="zh-CN" w:bidi="ar-SA"/>
              </w:rPr>
              <w:t>/</w:t>
            </w:r>
            <w:bookmarkEnd w:id="42"/>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43" w:name="EB110f3319b2a24461addf04066205c10c"/>
            <w:r>
              <w:rPr>
                <w:rFonts w:hint="eastAsia" w:ascii="Times New Roman" w:hAnsi="Times New Roman" w:eastAsia="宋体" w:cs="Times New Roman"/>
                <w:color w:val="auto"/>
                <w:kern w:val="2"/>
                <w:sz w:val="24"/>
                <w:szCs w:val="24"/>
                <w:highlight w:val="white"/>
                <w:lang w:val="en-US" w:eastAsia="zh-CN" w:bidi="ar-SA"/>
              </w:rPr>
              <w:t>/</w:t>
            </w:r>
            <w:bookmarkEnd w:id="43"/>
          </w:p>
        </w:tc>
        <w:tc>
          <w:tcPr>
            <w:tcW w:w="575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44" w:name="EBf8f0d4f6a92d4e9d992b0a7f8468a2a4"/>
            <w:r>
              <w:rPr>
                <w:rFonts w:hint="eastAsia" w:ascii="Times New Roman" w:hAnsi="Times New Roman" w:eastAsia="宋体" w:cs="Times New Roman"/>
                <w:color w:val="auto"/>
                <w:kern w:val="2"/>
                <w:sz w:val="24"/>
                <w:szCs w:val="24"/>
                <w:highlight w:val="white"/>
                <w:lang w:val="en-US" w:eastAsia="zh-CN" w:bidi="ar-SA"/>
              </w:rPr>
              <w:t>/</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45" w:name="EB1d60f60ff4a64f28a49cd632a9103758"/>
            <w:r>
              <w:rPr>
                <w:rFonts w:hint="eastAsia" w:ascii="Times New Roman" w:hAnsi="Times New Roman" w:eastAsia="宋体" w:cs="Times New Roman"/>
                <w:color w:val="auto"/>
                <w:kern w:val="2"/>
                <w:sz w:val="24"/>
                <w:szCs w:val="24"/>
                <w:highlight w:val="white"/>
                <w:lang w:val="en-US" w:eastAsia="zh-CN" w:bidi="ar-SA"/>
              </w:rPr>
              <w:t>/</w:t>
            </w:r>
            <w:bookmarkEnd w:id="45"/>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46" w:name="EB6771398be4f04b6f94b061ecac135e3d"/>
            <w:r>
              <w:rPr>
                <w:rFonts w:hint="eastAsia" w:ascii="Times New Roman" w:hAnsi="Times New Roman" w:eastAsia="宋体" w:cs="Times New Roman"/>
                <w:color w:val="auto"/>
                <w:kern w:val="2"/>
                <w:sz w:val="24"/>
                <w:szCs w:val="24"/>
                <w:highlight w:val="white"/>
                <w:lang w:val="en-US" w:eastAsia="zh-CN" w:bidi="ar-SA"/>
              </w:rPr>
              <w:t>/</w:t>
            </w:r>
            <w:bookmarkEnd w:id="46"/>
          </w:p>
        </w:tc>
        <w:tc>
          <w:tcPr>
            <w:tcW w:w="575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eastAsia="宋体" w:cs="Times New Roman"/>
                <w:color w:val="auto"/>
                <w:kern w:val="2"/>
                <w:sz w:val="24"/>
                <w:szCs w:val="24"/>
                <w:highlight w:val="green"/>
                <w:lang w:val="en-US" w:eastAsia="zh-CN" w:bidi="ar-SA"/>
              </w:rPr>
            </w:pPr>
            <w:bookmarkStart w:id="47" w:name="EBed09592567d34cf6b720675d36427a62"/>
            <w:r>
              <w:rPr>
                <w:rFonts w:hint="eastAsia" w:ascii="Times New Roman" w:hAnsi="Times New Roman" w:eastAsia="宋体" w:cs="Times New Roman"/>
                <w:color w:val="auto"/>
                <w:kern w:val="2"/>
                <w:sz w:val="24"/>
                <w:szCs w:val="24"/>
                <w:highlight w:val="white"/>
                <w:lang w:val="en-US" w:eastAsia="zh-CN" w:bidi="ar-SA"/>
              </w:rPr>
              <w:t>/</w:t>
            </w:r>
            <w:bookmarkEnd w:id="47"/>
          </w:p>
        </w:tc>
      </w:tr>
    </w:tbl>
    <w:p>
      <w:pPr>
        <w:rPr>
          <w:rFonts w:hint="eastAsia" w:ascii="Calibri" w:hAnsi="Calibri" w:eastAsia="宋体" w:cs="Times New Roman"/>
          <w:color w:val="auto"/>
          <w:sz w:val="20"/>
          <w:szCs w:val="22"/>
          <w:highlight w:val="cyan"/>
        </w:rPr>
      </w:pPr>
      <w:bookmarkStart w:id="48" w:name="EB69251e24f8aa4e7d827b36601e0b37b5"/>
      <w:r>
        <w:rPr>
          <w:rFonts w:hint="eastAsia" w:ascii="Calibri" w:hAnsi="Calibri" w:eastAsia="宋体" w:cs="Times New Roman"/>
          <w:color w:val="auto"/>
          <w:sz w:val="20"/>
          <w:szCs w:val="22"/>
          <w:highlight w:val="white"/>
        </w:rPr>
        <w:t xml:space="preserve"> </w:t>
      </w:r>
      <w:bookmarkEnd w:id="48"/>
    </w:p>
    <w:p>
      <w:pPr>
        <w:rPr>
          <w:rFonts w:ascii="Calibri" w:hAnsi="Calibri" w:eastAsia="宋体" w:cs="Times New Roman"/>
          <w:color w:val="auto"/>
          <w:szCs w:val="22"/>
        </w:rPr>
      </w:pPr>
    </w:p>
    <w:p>
      <w:pPr>
        <w:jc w:val="left"/>
        <w:rPr>
          <w:color w:val="auto"/>
        </w:rPr>
      </w:pPr>
      <w:r>
        <w:rPr>
          <w:color w:val="auto"/>
        </w:rPr>
        <w:br w:type="page"/>
      </w:r>
    </w:p>
    <w:p>
      <w:pPr>
        <w:pStyle w:val="5"/>
        <w:rPr>
          <w:color w:val="auto"/>
        </w:rPr>
      </w:pPr>
      <w:bookmarkStart w:id="49" w:name="_Toc30402381"/>
      <w:bookmarkStart w:id="50" w:name="_Toc234832942"/>
      <w:bookmarkStart w:id="51" w:name="_Toc509993881"/>
      <w:bookmarkStart w:id="52" w:name="_Toc256000007"/>
      <w:bookmarkStart w:id="53" w:name="_Toc20149128"/>
      <w:bookmarkStart w:id="54" w:name="_Toc17549189"/>
      <w:r>
        <w:rPr>
          <w:color w:val="auto"/>
          <w:highlight w:val="white"/>
        </w:rPr>
        <w:t xml:space="preserve">  评标办法</w:t>
      </w:r>
      <w:r>
        <w:rPr>
          <w:rStyle w:val="8"/>
          <w:rFonts w:ascii="Calibri" w:hAnsi="Calibri"/>
          <w:color w:val="auto"/>
          <w:kern w:val="2"/>
          <w:sz w:val="21"/>
          <w:szCs w:val="22"/>
        </w:rPr>
        <w:footnoteReference w:id="0"/>
      </w:r>
      <w:r>
        <w:rPr>
          <w:color w:val="auto"/>
          <w:highlight w:val="white"/>
        </w:rPr>
        <w:t>（综合评估法）</w:t>
      </w:r>
      <w:bookmarkEnd w:id="49"/>
      <w:bookmarkEnd w:id="50"/>
      <w:bookmarkEnd w:id="51"/>
      <w:bookmarkEnd w:id="52"/>
      <w:bookmarkEnd w:id="53"/>
      <w:bookmarkEnd w:id="54"/>
    </w:p>
    <w:p>
      <w:pPr>
        <w:keepNext/>
        <w:keepLines/>
        <w:spacing w:before="480" w:after="240" w:line="380" w:lineRule="atLeast"/>
        <w:jc w:val="left"/>
        <w:outlineLvl w:val="1"/>
        <w:rPr>
          <w:rFonts w:ascii="Times New Roman" w:hAnsi="Times New Roman" w:eastAsia="黑体" w:cs="Times New Roman"/>
          <w:bCs/>
          <w:color w:val="auto"/>
          <w:kern w:val="44"/>
          <w:sz w:val="24"/>
          <w:szCs w:val="24"/>
        </w:rPr>
      </w:pPr>
      <w:bookmarkStart w:id="55" w:name="_Toc509993882"/>
      <w:bookmarkStart w:id="56" w:name="_Toc17549190"/>
      <w:bookmarkStart w:id="57" w:name="_Toc234832943"/>
      <w:r>
        <w:rPr>
          <w:rFonts w:ascii="Times New Roman" w:hAnsi="Times New Roman" w:eastAsia="黑体" w:cs="Times New Roman"/>
          <w:bCs/>
          <w:color w:val="auto"/>
          <w:kern w:val="44"/>
          <w:sz w:val="24"/>
          <w:szCs w:val="24"/>
          <w:highlight w:val="white"/>
        </w:rPr>
        <w:t>评标办法前附表</w:t>
      </w:r>
      <w:r>
        <w:rPr>
          <w:rFonts w:ascii="Times New Roman" w:hAnsi="Times New Roman" w:eastAsia="黑体" w:cs="Times New Roman"/>
          <w:b/>
          <w:bCs/>
          <w:color w:val="auto"/>
          <w:kern w:val="44"/>
          <w:sz w:val="28"/>
          <w:szCs w:val="28"/>
          <w:vertAlign w:val="superscript"/>
        </w:rPr>
        <w:footnoteReference w:id="1"/>
      </w:r>
      <w:bookmarkEnd w:id="55"/>
      <w:bookmarkEnd w:id="56"/>
      <w:bookmarkEnd w:id="57"/>
    </w:p>
    <w:tbl>
      <w:tblPr>
        <w:tblStyle w:val="6"/>
        <w:tblW w:w="9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1280"/>
        <w:gridCol w:w="7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2159" w:type="dxa"/>
            <w:gridSpan w:val="2"/>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highlight w:val="white"/>
                <w:lang w:val="en-US" w:eastAsia="zh-CN" w:bidi="ar-SA"/>
              </w:rPr>
              <w:t>条款号</w:t>
            </w:r>
          </w:p>
        </w:tc>
        <w:tc>
          <w:tcPr>
            <w:tcW w:w="705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eastAsia="宋体" w:cs="Times New Roman"/>
                <w:b/>
                <w:color w:val="auto"/>
                <w:spacing w:val="4"/>
                <w:kern w:val="2"/>
                <w:sz w:val="21"/>
                <w:szCs w:val="21"/>
                <w:lang w:val="en-US" w:eastAsia="zh-CN" w:bidi="ar-SA"/>
              </w:rPr>
            </w:pPr>
            <w:r>
              <w:rPr>
                <w:rFonts w:ascii="Times New Roman" w:hAnsi="Times New Roman" w:eastAsia="宋体" w:cs="Times New Roman"/>
                <w:b/>
                <w:color w:val="auto"/>
                <w:spacing w:val="4"/>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9" w:type="dxa"/>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1</w:t>
            </w:r>
          </w:p>
        </w:tc>
        <w:tc>
          <w:tcPr>
            <w:tcW w:w="1280" w:type="dxa"/>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评标方法</w:t>
            </w:r>
          </w:p>
        </w:tc>
        <w:tc>
          <w:tcPr>
            <w:tcW w:w="705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ind w:firstLine="420" w:firstLineChars="200"/>
              <w:jc w:val="left"/>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综合评分相等时，评标委员会依次按照以下优先顺序推荐中标候选人或确定中标人：</w:t>
            </w:r>
          </w:p>
          <w:p>
            <w:pPr>
              <w:widowControl w:val="0"/>
              <w:spacing w:line="360" w:lineRule="atLeast"/>
              <w:ind w:firstLine="420" w:firstLineChars="200"/>
              <w:jc w:val="left"/>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（1）评标价低的投标人优先；</w:t>
            </w:r>
          </w:p>
          <w:p>
            <w:pPr>
              <w:widowControl w:val="0"/>
              <w:spacing w:line="360" w:lineRule="atLeast"/>
              <w:ind w:firstLine="420" w:firstLineChars="200"/>
              <w:jc w:val="left"/>
              <w:rPr>
                <w:rFonts w:ascii="Times New Roman" w:hAnsi="Times New Roman" w:eastAsia="黑体" w:cs="Times New Roman"/>
                <w:color w:val="auto"/>
                <w:kern w:val="2"/>
                <w:sz w:val="21"/>
                <w:szCs w:val="21"/>
                <w:lang w:val="en-US" w:eastAsia="zh-CN" w:bidi="ar-SA"/>
              </w:rPr>
            </w:pPr>
            <w:r>
              <w:rPr>
                <w:rFonts w:ascii="Times New Roman" w:hAnsi="Times New Roman" w:eastAsia="黑体" w:cs="Times New Roman"/>
                <w:color w:val="auto"/>
                <w:kern w:val="2"/>
                <w:sz w:val="21"/>
                <w:szCs w:val="21"/>
                <w:highlight w:val="white"/>
                <w:lang w:val="en-US" w:eastAsia="zh-CN" w:bidi="ar-SA"/>
              </w:rPr>
              <w:t>（2）被湖南省交通运输厅评为最近1年较高信用等级的投标人优先；</w:t>
            </w:r>
          </w:p>
          <w:p>
            <w:pPr>
              <w:widowControl w:val="0"/>
              <w:spacing w:line="360" w:lineRule="atLeast"/>
              <w:ind w:firstLine="420" w:firstLineChars="200"/>
              <w:jc w:val="left"/>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（3）商务和技术得分较高的投标人优先；</w:t>
            </w:r>
          </w:p>
          <w:p>
            <w:pPr>
              <w:widowControl w:val="0"/>
              <w:spacing w:line="360" w:lineRule="atLeast"/>
              <w:ind w:firstLine="420" w:firstLineChars="200"/>
              <w:jc w:val="left"/>
              <w:rPr>
                <w:rFonts w:ascii="Times New Roman" w:hAnsi="Times New Roman" w:eastAsia="宋体" w:cs="Times New Roman"/>
                <w:b/>
                <w:color w:val="auto"/>
                <w:kern w:val="2"/>
                <w:sz w:val="21"/>
                <w:szCs w:val="21"/>
                <w:lang w:val="en-US" w:eastAsia="zh-CN" w:bidi="ar-SA"/>
              </w:rPr>
            </w:pPr>
            <w:r>
              <w:rPr>
                <w:rFonts w:ascii="Times New Roman" w:hAnsi="Times New Roman" w:eastAsia="黑体" w:cs="Times New Roman"/>
                <w:color w:val="auto"/>
                <w:kern w:val="2"/>
                <w:sz w:val="21"/>
                <w:szCs w:val="21"/>
                <w:highlight w:val="white"/>
                <w:lang w:val="en-US" w:eastAsia="zh-CN" w:bidi="ar-SA"/>
              </w:rPr>
              <w:t>（4）随机摇号确定排序。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1" w:type="dxa"/>
            <w:gridSpan w:val="3"/>
            <w:tcBorders>
              <w:top w:val="single" w:color="auto" w:sz="4" w:space="0"/>
              <w:left w:val="nil"/>
              <w:bottom w:val="nil"/>
              <w:right w:val="nil"/>
            </w:tcBorders>
            <w:noWrap w:val="0"/>
            <w:vAlign w:val="center"/>
          </w:tcPr>
          <w:p>
            <w:pPr>
              <w:widowControl w:val="0"/>
              <w:jc w:val="both"/>
              <w:rPr>
                <w:rFonts w:hint="eastAsia" w:ascii="Calibri" w:hAnsi="Calibri" w:eastAsia="宋体" w:cs="Times New Roman"/>
                <w:color w:val="auto"/>
                <w:kern w:val="2"/>
                <w:sz w:val="21"/>
                <w:szCs w:val="22"/>
                <w:highlight w:val="red"/>
                <w:lang w:val="en-US" w:eastAsia="zh-CN" w:bidi="ar-SA"/>
              </w:rPr>
            </w:pPr>
            <w:bookmarkStart w:id="58" w:name="EB18e56fd9d09c408c87d36a9122cde04e"/>
          </w:p>
          <w:tbl>
            <w:tblPr>
              <w:tblStyle w:val="6"/>
              <w:tblW w:w="9202"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90"/>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2.1.1</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2.1.3</w:t>
                  </w:r>
                </w:p>
              </w:tc>
              <w:tc>
                <w:tcPr>
                  <w:tcW w:w="700"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形式评审与响应性评审标准</w:t>
                  </w:r>
                </w:p>
              </w:tc>
              <w:tc>
                <w:tcPr>
                  <w:tcW w:w="3830"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第一个信封（商务及技术文件）评审标准：</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(1)开标形式评审</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a. 开标后投标人投标函所列标段与招标标段一致；</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b. 投标人在规定的时间内解密投标文件第一信封（商务和技术文件）；</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c. 不同投标人的投标文件编制识别码不一致(若一致则视为投标人相互串通投标)。</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d.不同投标人提交电子投标文件 IP 地址不相同（若相同时能合理说明）；</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e.不同投标人提交电子投标文件的 IP 地址不在某一特定区域（若相同时能合理说明）；</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f.电子投标文件硬件信息不相同（若相同时能合理说明）。</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(2)投标文件按照招标文件规定的格式、内容填写，字迹清晰可辨，内容齐全完整</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a.投标函按招标文件规定填报了项目名称、标段号、补遗书编号（如有）、勘察服务期限、工程质量要求、安全目标及环保目标；</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b.投标文件组成齐全完整，内容均按规定填写。</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(3)投标文件上法定代表人或其委托代理人的签字、投标人的单位章盖章齐全，符合招标文件规定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(4)投标人按照招标文件的规定提供了投标保证金</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a.投标保证金金额符合招标文件规定的金额，且投标保证金有效期与投标有效期一致；</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b.若投标保证金采用现金或支票形式提交，投标人应在递交投标文件截止时间之前，将投标保证金由投标人的基本账户一次性转入招标人指定账户；</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c.若投标保证金采用银行保函形式提交，银行保函的格式、开具保函的银行及时效均满足招标文件要求，且在递交投标文件截止时间之前向招标人提交了银行保函和银行查询授权书原件。若保函仅加盖银行业务公章，提交了银行出具的同等法律效力证明的原件。</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d.采用电子保函递交投标保证金的，请自行登录湖南省公共资源交易服务平台首页“电子保函”，进入“保证金创新服务支撑管理系统”办理，保函格式以系统中的为准。</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(5)投标人法定代表人授权委托代理人签署投标文件的，须提交授权委托书，且授权人和被授权人均在授权委托书上签名（可电子签名）</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(6)投标人法定代表人亲自签署投标文件的，提供了法定代表人身份证明，且法定代表人在法定代表人身份证明上签名（可电子签名）</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(7)同一投标人未提交两个以上不同的投标文件，但招标文件要求提交备选投标的除外</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(8)投标文件中未出现有关投标报价的内容</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(9)投标文件载明的招标项目完成期限符合招标文件规定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(10)投标文件对招标文件的实质性要求和条件作出响应</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(11)权利义务符合招标文件规定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a.投标人应接受招标文件规定的风险划分原则，未提出新的风险划分办法；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b.投标人未增加委托人的责任范围，或减少投标人义务；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c.投标人未提出不同的支付办法；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d.投标人对合同纠纷、事故处理办法未提出异议；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e.投标人在投标活动中无欺诈行为；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f.投标人未对合同条款有重要保留。</w:t>
                  </w:r>
                </w:p>
              </w:tc>
            </w:tr>
            <w:bookmarkEnd w:id="58"/>
          </w:tbl>
          <w:p>
            <w:pPr>
              <w:widowControl w:val="0"/>
              <w:jc w:val="both"/>
              <w:rPr>
                <w:rFonts w:hint="eastAsia" w:ascii="Calibri" w:hAnsi="Calibri" w:eastAsia="宋体" w:cs="Times New Roman"/>
                <w:color w:val="auto"/>
                <w:kern w:val="2"/>
                <w:sz w:val="21"/>
                <w:szCs w:val="22"/>
                <w:highlight w:val="red"/>
                <w:lang w:val="en-US" w:eastAsia="zh-CN" w:bidi="ar-SA"/>
              </w:rPr>
            </w:pPr>
            <w:bookmarkStart w:id="59" w:name="EB49a68601c16a4c3496c5dd5b499d40af"/>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68"/>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7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2.1.1</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2.1.3</w:t>
                  </w:r>
                </w:p>
              </w:tc>
              <w:tc>
                <w:tcPr>
                  <w:tcW w:w="690"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形式评审与响应性评审标准</w:t>
                  </w:r>
                </w:p>
              </w:tc>
              <w:tc>
                <w:tcPr>
                  <w:tcW w:w="3835"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第二个信封（报价文件）评审标准：</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(1)开标形式性评审</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a.投标函上填写投标总价；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b.投标人投标函所列标段与招标标段一致；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c.投标报价未超出招标人公布的最高投标限价（如有）；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d. 投标人在规定时间内进行解密投标文件第二信封（报价文件）；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e.不同投标人的电子投标文件编制识别码不一致(若一致则视投标人相互串通投标)；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f.不同投标人提交电子投标文件 IP 地址不相同（若相同时能合理说明）；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g.不同投标人提交电子投标文件的 IP 地址不在某一特定区域 （若相同时能合理说明）；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h.电子投标文件硬件信息不相同（若相同时能合理说明）。</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(2)投标文件按照招标文件规定的格式、内容填写，字迹清晰可辨，内容齐全完整</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a.投标函按招标文件规定填报了项目名称、标段号、补遗书编号（如有）、投标价（包括大写金额和小写金额）；</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b.已标价报价清单说明文字与招标文件规定一致，未进行实质性修改和删减； </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c.投标文件组成齐全完整，内容均按规定填写。</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(3)投标文件上法定代表人或其委托代理人的签字、投标人的单位章盖章齐全，符合招标文件规定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(4)投标报价未超过招标文件设定的相应部分的最高投标限价（如有）</w:t>
                  </w:r>
                </w:p>
                <w:p>
                  <w:pPr>
                    <w:widowControl w:val="0"/>
                    <w:jc w:val="left"/>
                    <w:rPr>
                      <w:rFonts w:ascii="宋体" w:hAnsi="宋体" w:eastAsia="宋体" w:cs="宋体"/>
                      <w:b w:val="0"/>
                      <w:color w:val="auto"/>
                      <w:kern w:val="2"/>
                      <w:sz w:val="21"/>
                      <w:szCs w:val="22"/>
                      <w:lang w:val="en-US" w:eastAsia="zh-CN" w:bidi="ar-SA"/>
                    </w:rPr>
                  </w:pP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(5)投标报价的大写金额能够确定具体数值</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(6)同一投标人未提交两个以上不同的投标报价，但招标文件要求提交备选投标的除外</w:t>
                  </w:r>
                </w:p>
              </w:tc>
            </w:tr>
            <w:bookmarkEnd w:id="59"/>
          </w:tbl>
          <w:p>
            <w:pPr>
              <w:widowControl w:val="0"/>
              <w:jc w:val="both"/>
              <w:rPr>
                <w:rFonts w:hint="eastAsia" w:ascii="Calibri" w:hAnsi="Calibri" w:eastAsia="宋体" w:cs="Times New Roman"/>
                <w:color w:val="auto"/>
                <w:kern w:val="2"/>
                <w:sz w:val="20"/>
                <w:szCs w:val="22"/>
                <w:highlight w:val="white"/>
                <w:lang w:val="en-US" w:eastAsia="zh-CN" w:bidi="ar-SA"/>
              </w:rPr>
            </w:pPr>
          </w:p>
          <w:p>
            <w:pPr>
              <w:widowControl w:val="0"/>
              <w:jc w:val="both"/>
              <w:rPr>
                <w:rFonts w:ascii="Calibri" w:hAnsi="Calibri" w:eastAsia="宋体" w:cs="Times New Roman"/>
                <w:color w:val="auto"/>
                <w:kern w:val="2"/>
                <w:sz w:val="21"/>
                <w:szCs w:val="22"/>
                <w:highlight w:val="red"/>
                <w:lang w:val="en-US" w:eastAsia="zh-CN" w:bidi="ar-SA"/>
              </w:rPr>
            </w:pPr>
            <w:bookmarkStart w:id="60" w:name="EB76f3d8ec73854c61b9114512c45e61dd"/>
          </w:p>
          <w:tbl>
            <w:tblPr>
              <w:tblStyle w:val="6"/>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30"/>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pct"/>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条款号</w:t>
                  </w:r>
                </w:p>
              </w:tc>
              <w:tc>
                <w:tcPr>
                  <w:tcW w:w="3848"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2.1.2</w:t>
                  </w:r>
                </w:p>
              </w:tc>
              <w:tc>
                <w:tcPr>
                  <w:tcW w:w="672"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资格评审标准</w:t>
                  </w:r>
                </w:p>
              </w:tc>
              <w:tc>
                <w:tcPr>
                  <w:tcW w:w="3848"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(1)投标人具备有效的营业执照、组织机构代码证、勘察资质证书、设计资质证书和基本账户开户许可证</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(2)投标人的资质等级符合招标文件规定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(3)投标人的类似项目业绩符合招标文件规定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(4)投标人的信誉符合招标文件规定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(5)投标人的项目负责人资格符合招标文件规定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(6)投标人的其他要求符合招标文件规定</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(7)投标人不存在第二章“投标人须知”第1.4.3项或第1.4.4项规定的任何一种情形</w:t>
                  </w:r>
                </w:p>
                <w:p>
                  <w:pPr>
                    <w:widowControl w:val="0"/>
                    <w:jc w:val="left"/>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(8)投标人符合第二章“投标人须知”第1.4.5项规定</w:t>
                  </w:r>
                </w:p>
                <w:p>
                  <w:pPr>
                    <w:widowControl w:val="0"/>
                    <w:jc w:val="left"/>
                    <w:rPr>
                      <w:rFonts w:ascii="宋体" w:hAnsi="宋体" w:eastAsia="宋体" w:cs="宋体"/>
                      <w:b w:val="0"/>
                      <w:color w:val="auto"/>
                      <w:kern w:val="2"/>
                      <w:sz w:val="21"/>
                      <w:szCs w:val="22"/>
                      <w:lang w:val="en-US" w:eastAsia="zh-CN" w:bidi="ar-SA"/>
                    </w:rPr>
                  </w:pPr>
                </w:p>
              </w:tc>
            </w:tr>
            <w:bookmarkEnd w:id="60"/>
          </w:tbl>
          <w:p>
            <w:pPr>
              <w:widowControl w:val="0"/>
              <w:jc w:val="both"/>
              <w:rPr>
                <w:rFonts w:hint="eastAsia" w:ascii="Calibri" w:hAnsi="Calibri" w:eastAsia="宋体" w:cs="Times New Roman"/>
                <w:color w:val="auto"/>
                <w:kern w:val="2"/>
                <w:sz w:val="20"/>
                <w:szCs w:val="22"/>
                <w:highlight w:val="white"/>
                <w:lang w:val="en-US" w:eastAsia="zh-CN" w:bidi="ar-SA"/>
              </w:rPr>
            </w:pPr>
          </w:p>
        </w:tc>
      </w:tr>
    </w:tbl>
    <w:p>
      <w:pPr>
        <w:rPr>
          <w:rFonts w:ascii="Times New Roman" w:hAnsi="Times New Roman" w:eastAsia="宋体" w:cs="Times New Roman"/>
          <w:color w:val="auto"/>
          <w:szCs w:val="24"/>
          <w:highlight w:val="red"/>
        </w:rPr>
      </w:pPr>
      <w:bookmarkStart w:id="61" w:name="EBe0cc0e1eedfa4cbfbd7a286747e1f76c"/>
    </w:p>
    <w:tbl>
      <w:tblPr>
        <w:tblStyle w:val="6"/>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184"/>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 w:type="pc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color w:val="auto"/>
                <w:spacing w:val="0"/>
                <w:kern w:val="2"/>
                <w:sz w:val="21"/>
                <w:szCs w:val="22"/>
                <w:lang w:val="en-US" w:eastAsia="zh-CN" w:bidi="ar-SA"/>
              </w:rPr>
            </w:pPr>
            <w:r>
              <w:rPr>
                <w:rFonts w:ascii="宋体" w:hAnsi="宋体" w:eastAsia="宋体" w:cs="宋体"/>
                <w:b/>
                <w:color w:val="auto"/>
                <w:spacing w:val="8"/>
                <w:kern w:val="2"/>
                <w:sz w:val="21"/>
                <w:szCs w:val="22"/>
                <w:lang w:val="en-US" w:eastAsia="zh-CN" w:bidi="ar-SA"/>
              </w:rPr>
              <w:t>条款</w:t>
            </w:r>
            <w:r>
              <w:rPr>
                <w:rFonts w:ascii="宋体" w:hAnsi="宋体" w:eastAsia="宋体" w:cs="宋体"/>
                <w:b/>
                <w:color w:val="auto"/>
                <w:spacing w:val="0"/>
                <w:kern w:val="2"/>
                <w:sz w:val="21"/>
                <w:szCs w:val="22"/>
                <w:lang w:val="en-US" w:eastAsia="zh-CN" w:bidi="ar-SA"/>
              </w:rPr>
              <w:t>号</w:t>
            </w:r>
          </w:p>
        </w:tc>
        <w:tc>
          <w:tcPr>
            <w:tcW w:w="645" w:type="pc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color w:val="auto"/>
                <w:spacing w:val="0"/>
                <w:kern w:val="2"/>
                <w:sz w:val="21"/>
                <w:szCs w:val="22"/>
                <w:lang w:val="en-US" w:eastAsia="zh-CN" w:bidi="ar-SA"/>
              </w:rPr>
            </w:pPr>
            <w:r>
              <w:rPr>
                <w:rFonts w:ascii="宋体" w:hAnsi="宋体" w:eastAsia="宋体" w:cs="宋体"/>
                <w:b/>
                <w:color w:val="auto"/>
                <w:spacing w:val="19"/>
                <w:kern w:val="2"/>
                <w:sz w:val="21"/>
                <w:szCs w:val="22"/>
                <w:lang w:val="en-US" w:eastAsia="zh-CN" w:bidi="ar-SA"/>
              </w:rPr>
              <w:t>条款内</w:t>
            </w:r>
            <w:r>
              <w:rPr>
                <w:rFonts w:ascii="宋体" w:hAnsi="宋体" w:eastAsia="宋体" w:cs="宋体"/>
                <w:b/>
                <w:color w:val="auto"/>
                <w:spacing w:val="0"/>
                <w:kern w:val="2"/>
                <w:sz w:val="21"/>
                <w:szCs w:val="22"/>
                <w:lang w:val="en-US" w:eastAsia="zh-CN" w:bidi="ar-SA"/>
              </w:rPr>
              <w:t>容</w:t>
            </w:r>
          </w:p>
        </w:tc>
        <w:tc>
          <w:tcPr>
            <w:tcW w:w="3867" w:type="pc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color w:val="auto"/>
                <w:spacing w:val="0"/>
                <w:kern w:val="2"/>
                <w:sz w:val="21"/>
                <w:szCs w:val="22"/>
                <w:lang w:val="en-US" w:eastAsia="zh-CN" w:bidi="ar-SA"/>
              </w:rPr>
            </w:pPr>
            <w:r>
              <w:rPr>
                <w:rFonts w:ascii="宋体" w:hAnsi="宋体" w:eastAsia="宋体" w:cs="宋体"/>
                <w:b/>
                <w:color w:val="auto"/>
                <w:spacing w:val="1003"/>
                <w:kern w:val="2"/>
                <w:sz w:val="21"/>
                <w:szCs w:val="22"/>
                <w:lang w:val="en-US" w:eastAsia="zh-CN" w:bidi="ar-SA"/>
              </w:rPr>
              <w:t>编列内</w:t>
            </w:r>
            <w:r>
              <w:rPr>
                <w:rFonts w:ascii="宋体" w:hAnsi="宋体" w:eastAsia="宋体" w:cs="宋体"/>
                <w:b/>
                <w:color w:val="auto"/>
                <w:spacing w:val="0"/>
                <w:kern w:val="2"/>
                <w:sz w:val="21"/>
                <w:szCs w:val="22"/>
                <w:lang w:val="en-US" w:eastAsia="zh-CN" w:bidi="ar-SA"/>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35"/>
                <w:kern w:val="2"/>
                <w:sz w:val="21"/>
                <w:szCs w:val="22"/>
                <w:lang w:val="en-US" w:eastAsia="zh-CN" w:bidi="ar-SA"/>
              </w:rPr>
              <w:t>2.2.</w:t>
            </w:r>
            <w:r>
              <w:rPr>
                <w:rFonts w:ascii="宋体" w:hAnsi="宋体" w:eastAsia="宋体" w:cs="宋体"/>
                <w:b w:val="0"/>
                <w:color w:val="auto"/>
                <w:spacing w:val="0"/>
                <w:kern w:val="2"/>
                <w:sz w:val="21"/>
                <w:szCs w:val="22"/>
                <w:lang w:val="en-US" w:eastAsia="zh-CN" w:bidi="ar-SA"/>
              </w:rPr>
              <w:t>1</w:t>
            </w:r>
          </w:p>
        </w:tc>
        <w:tc>
          <w:tcPr>
            <w:tcW w:w="645" w:type="pc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19"/>
                <w:kern w:val="2"/>
                <w:sz w:val="21"/>
                <w:szCs w:val="22"/>
                <w:lang w:val="en-US" w:eastAsia="zh-CN" w:bidi="ar-SA"/>
              </w:rPr>
              <w:t>分值构</w:t>
            </w:r>
            <w:r>
              <w:rPr>
                <w:rFonts w:ascii="宋体" w:hAnsi="宋体" w:eastAsia="宋体" w:cs="宋体"/>
                <w:b w:val="0"/>
                <w:color w:val="auto"/>
                <w:spacing w:val="0"/>
                <w:kern w:val="2"/>
                <w:sz w:val="21"/>
                <w:szCs w:val="22"/>
                <w:lang w:val="en-US" w:eastAsia="zh-CN" w:bidi="ar-SA"/>
              </w:rPr>
              <w:t>成</w:t>
            </w:r>
          </w:p>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（总分100.0分）</w:t>
            </w:r>
          </w:p>
        </w:tc>
        <w:tc>
          <w:tcPr>
            <w:tcW w:w="3867" w:type="pc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61"/>
                <w:kern w:val="2"/>
                <w:sz w:val="21"/>
                <w:szCs w:val="22"/>
                <w:lang w:val="en-US" w:eastAsia="zh-CN" w:bidi="ar-SA"/>
              </w:rPr>
              <w:t>第一个信封（商务及技术文件）评分分值构成</w:t>
            </w:r>
            <w:r>
              <w:rPr>
                <w:rFonts w:ascii="宋体" w:hAnsi="宋体" w:eastAsia="宋体" w:cs="宋体"/>
                <w:b w:val="0"/>
                <w:color w:val="auto"/>
                <w:spacing w:val="0"/>
                <w:kern w:val="2"/>
                <w:sz w:val="21"/>
                <w:szCs w:val="22"/>
                <w:lang w:val="en-US" w:eastAsia="zh-CN" w:bidi="ar-SA"/>
              </w:rPr>
              <w:t>：</w:t>
            </w:r>
          </w:p>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技术建议书：45.0分</w:t>
            </w:r>
          </w:p>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主要人员：20.0分</w:t>
            </w:r>
          </w:p>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技术能力：5分</w:t>
            </w:r>
          </w:p>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业绩：12分</w:t>
            </w:r>
          </w:p>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履约信誉：8分</w:t>
            </w:r>
          </w:p>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w:t>
            </w:r>
          </w:p>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第二个信封（报价文件）评分分值构成：</w:t>
            </w:r>
          </w:p>
          <w:p>
            <w:pPr>
              <w:widowControl w:val="0"/>
              <w:jc w:val="left"/>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评标价 ：10.0 分</w:t>
            </w:r>
          </w:p>
        </w:tc>
      </w:tr>
      <w:bookmarkEnd w:id="61"/>
    </w:tbl>
    <w:p>
      <w:pPr>
        <w:rPr>
          <w:rFonts w:hint="eastAsia" w:ascii="Times New Roman" w:hAnsi="Times New Roman" w:eastAsia="宋体" w:cs="Times New Roman"/>
          <w:color w:val="auto"/>
          <w:sz w:val="20"/>
          <w:szCs w:val="24"/>
          <w:highlight w:val="white"/>
        </w:rPr>
      </w:pPr>
    </w:p>
    <w:tbl>
      <w:tblPr>
        <w:tblStyle w:val="6"/>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3"/>
        <w:gridCol w:w="1177"/>
        <w:gridCol w:w="7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3" w:type="dxa"/>
            <w:tcBorders>
              <w:top w:val="single" w:color="auto" w:sz="4" w:space="0"/>
              <w:bottom w:val="single" w:color="auto" w:sz="4" w:space="0"/>
              <w:right w:val="single" w:color="auto" w:sz="4" w:space="0"/>
            </w:tcBorders>
            <w:noWrap w:val="0"/>
            <w:vAlign w:val="center"/>
          </w:tcPr>
          <w:p>
            <w:pPr>
              <w:widowControl w:val="0"/>
              <w:spacing w:line="34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2.2.2</w:t>
            </w:r>
          </w:p>
        </w:tc>
        <w:tc>
          <w:tcPr>
            <w:tcW w:w="1177" w:type="dxa"/>
            <w:tcBorders>
              <w:top w:val="single" w:color="auto" w:sz="4" w:space="0"/>
              <w:bottom w:val="single" w:color="auto" w:sz="4" w:space="0"/>
              <w:right w:val="single" w:color="auto" w:sz="4" w:space="0"/>
            </w:tcBorders>
            <w:noWrap w:val="0"/>
            <w:vAlign w:val="center"/>
          </w:tcPr>
          <w:p>
            <w:pPr>
              <w:widowControl w:val="0"/>
              <w:spacing w:line="34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评标基准价计算方法</w:t>
            </w:r>
          </w:p>
        </w:tc>
        <w:tc>
          <w:tcPr>
            <w:tcW w:w="71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left"/>
              <w:rPr>
                <w:rFonts w:ascii="Times New Roman" w:hAnsi="Times New Roman" w:eastAsia="黑体" w:cs="Times New Roman"/>
                <w:color w:val="auto"/>
                <w:kern w:val="2"/>
                <w:sz w:val="21"/>
                <w:szCs w:val="21"/>
                <w:highlight w:val="red"/>
                <w:lang w:val="en-US" w:eastAsia="zh-CN" w:bidi="ar-SA"/>
              </w:rPr>
            </w:pPr>
            <w:bookmarkStart w:id="62" w:name="EBbb53cf9ac159432f9083724c0bed65db"/>
          </w:p>
          <w:p>
            <w:pPr>
              <w:widowControl w:val="0"/>
              <w:jc w:val="left"/>
              <w:rPr>
                <w:rFonts w:ascii="宋体" w:hAnsi="宋体" w:eastAsia="宋体" w:cs="宋体"/>
                <w:color w:val="auto"/>
                <w:kern w:val="2"/>
                <w:sz w:val="21"/>
                <w:szCs w:val="22"/>
                <w:lang w:val="en-US" w:eastAsia="zh-CN" w:bidi="ar-SA"/>
              </w:rPr>
            </w:pPr>
            <w:r>
              <w:rPr>
                <w:rFonts w:ascii="宋体" w:hAnsi="宋体" w:eastAsia="宋体" w:cs="宋体"/>
                <w:color w:val="auto"/>
                <w:kern w:val="2"/>
                <w:sz w:val="21"/>
                <w:szCs w:val="22"/>
                <w:lang w:val="en-US" w:eastAsia="zh-CN" w:bidi="ar-SA"/>
              </w:rPr>
              <w:t>评标基准价计算方法：</w:t>
            </w:r>
          </w:p>
          <w:p>
            <w:pPr>
              <w:widowControl w:val="0"/>
              <w:jc w:val="left"/>
              <w:rPr>
                <w:rFonts w:ascii="宋体" w:hAnsi="宋体" w:eastAsia="宋体" w:cs="宋体"/>
                <w:color w:val="auto"/>
                <w:kern w:val="2"/>
                <w:sz w:val="21"/>
                <w:szCs w:val="22"/>
                <w:lang w:val="en-US" w:eastAsia="zh-CN" w:bidi="ar-SA"/>
              </w:rPr>
            </w:pPr>
            <w:r>
              <w:rPr>
                <w:rFonts w:ascii="宋体" w:hAnsi="宋体" w:eastAsia="宋体" w:cs="宋体"/>
                <w:color w:val="auto"/>
                <w:kern w:val="2"/>
                <w:sz w:val="21"/>
                <w:szCs w:val="22"/>
                <w:lang w:val="en-US" w:eastAsia="zh-CN" w:bidi="ar-SA"/>
              </w:rPr>
              <w:t>在开标现场，招标人将当场计算并宣布评标基准价。</w:t>
            </w:r>
          </w:p>
          <w:p>
            <w:pPr>
              <w:widowControl w:val="0"/>
              <w:jc w:val="left"/>
              <w:rPr>
                <w:rFonts w:ascii="宋体" w:hAnsi="宋体" w:eastAsia="宋体" w:cs="宋体"/>
                <w:color w:val="auto"/>
                <w:kern w:val="2"/>
                <w:sz w:val="21"/>
                <w:szCs w:val="22"/>
                <w:lang w:val="en-US" w:eastAsia="zh-CN" w:bidi="ar-SA"/>
              </w:rPr>
            </w:pPr>
            <w:r>
              <w:rPr>
                <w:rFonts w:ascii="宋体" w:hAnsi="宋体" w:eastAsia="宋体" w:cs="宋体"/>
                <w:color w:val="auto"/>
                <w:kern w:val="2"/>
                <w:sz w:val="21"/>
                <w:szCs w:val="22"/>
                <w:lang w:val="en-US" w:eastAsia="zh-CN" w:bidi="ar-SA"/>
              </w:rPr>
              <w:t>(1)评标价的确定：评标价=投标函文字报价</w:t>
            </w:r>
          </w:p>
          <w:p>
            <w:pPr>
              <w:widowControl w:val="0"/>
              <w:jc w:val="left"/>
              <w:rPr>
                <w:rFonts w:ascii="宋体" w:hAnsi="宋体" w:eastAsia="宋体" w:cs="宋体"/>
                <w:color w:val="auto"/>
                <w:kern w:val="2"/>
                <w:sz w:val="21"/>
                <w:szCs w:val="22"/>
                <w:lang w:val="en-US" w:eastAsia="zh-CN" w:bidi="ar-SA"/>
              </w:rPr>
            </w:pPr>
            <w:r>
              <w:rPr>
                <w:rFonts w:ascii="宋体" w:hAnsi="宋体" w:eastAsia="宋体" w:cs="宋体"/>
                <w:color w:val="auto"/>
                <w:kern w:val="2"/>
                <w:sz w:val="21"/>
                <w:szCs w:val="22"/>
                <w:lang w:val="en-US" w:eastAsia="zh-CN" w:bidi="ar-SA"/>
              </w:rPr>
              <w:t>(2)评标价平均值的计算：</w:t>
            </w:r>
          </w:p>
          <w:p>
            <w:pPr>
              <w:widowControl w:val="0"/>
              <w:jc w:val="left"/>
              <w:rPr>
                <w:rFonts w:ascii="宋体" w:hAnsi="宋体" w:eastAsia="宋体" w:cs="宋体"/>
                <w:color w:val="auto"/>
                <w:kern w:val="2"/>
                <w:sz w:val="21"/>
                <w:szCs w:val="22"/>
                <w:lang w:val="en-US" w:eastAsia="zh-CN" w:bidi="ar-SA"/>
              </w:rPr>
            </w:pPr>
            <w:r>
              <w:rPr>
                <w:rFonts w:ascii="宋体" w:hAnsi="宋体" w:eastAsia="宋体" w:cs="宋体"/>
                <w:color w:val="auto"/>
                <w:kern w:val="2"/>
                <w:sz w:val="21"/>
                <w:szCs w:val="22"/>
                <w:lang w:val="en-US" w:eastAsia="zh-CN" w:bidi="ar-SA"/>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widowControl w:val="0"/>
              <w:jc w:val="left"/>
              <w:rPr>
                <w:rFonts w:ascii="宋体" w:hAnsi="宋体" w:eastAsia="宋体" w:cs="宋体"/>
                <w:color w:val="auto"/>
                <w:kern w:val="2"/>
                <w:sz w:val="21"/>
                <w:szCs w:val="22"/>
                <w:lang w:val="en-US" w:eastAsia="zh-CN" w:bidi="ar-SA"/>
              </w:rPr>
            </w:pPr>
            <w:r>
              <w:rPr>
                <w:rFonts w:ascii="宋体" w:hAnsi="宋体" w:eastAsia="宋体" w:cs="宋体"/>
                <w:color w:val="auto"/>
                <w:kern w:val="2"/>
                <w:sz w:val="21"/>
                <w:szCs w:val="22"/>
                <w:lang w:val="en-US" w:eastAsia="zh-CN" w:bidi="ar-SA"/>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bookmarkEnd w:id="62"/>
          <w:p>
            <w:pPr>
              <w:widowControl w:val="0"/>
              <w:spacing w:line="360" w:lineRule="atLeast"/>
              <w:jc w:val="left"/>
              <w:rPr>
                <w:rFonts w:ascii="Times New Roman" w:hAnsi="Times New Roman" w:eastAsia="黑体" w:cs="Times New Roman"/>
                <w:color w:val="auto"/>
                <w:kern w:val="2"/>
                <w:sz w:val="21"/>
                <w:szCs w:val="21"/>
                <w:lang w:val="en-US" w:eastAsia="zh-CN" w:bidi="ar-SA"/>
              </w:rPr>
            </w:pPr>
            <w:r>
              <w:rPr>
                <w:rFonts w:ascii="Times New Roman" w:hAnsi="Times New Roman" w:eastAsia="黑体" w:cs="Times New Roman"/>
                <w:color w:val="auto"/>
                <w:kern w:val="2"/>
                <w:sz w:val="21"/>
                <w:szCs w:val="21"/>
                <w:highlight w:val="white"/>
                <w:lang w:val="en-US" w:eastAsia="zh-CN" w:bidi="ar-SA"/>
              </w:rPr>
              <w:t>(3)评标基准价的确定:</w:t>
            </w:r>
          </w:p>
          <w:p>
            <w:pPr>
              <w:widowControl w:val="0"/>
              <w:spacing w:line="360" w:lineRule="atLeast"/>
              <w:jc w:val="left"/>
              <w:rPr>
                <w:rFonts w:hint="eastAsia" w:ascii="Times New Roman" w:hAnsi="Times New Roman" w:eastAsia="黑体" w:cs="Times New Roman"/>
                <w:color w:val="auto"/>
                <w:kern w:val="2"/>
                <w:sz w:val="21"/>
                <w:szCs w:val="21"/>
                <w:highlight w:val="red"/>
                <w:lang w:val="en-US" w:eastAsia="zh-CN" w:bidi="ar-SA"/>
              </w:rPr>
            </w:pPr>
            <w:bookmarkStart w:id="63" w:name="EBafb35252eca845389af89473b8ca1aef"/>
            <w:r>
              <w:rPr>
                <w:rFonts w:hint="eastAsia" w:ascii="Times New Roman" w:hAnsi="Times New Roman" w:eastAsia="黑体" w:cs="Times New Roman"/>
                <w:color w:val="auto"/>
                <w:kern w:val="2"/>
                <w:sz w:val="20"/>
                <w:szCs w:val="21"/>
                <w:highlight w:val="white"/>
                <w:lang w:val="en-US" w:eastAsia="zh-CN" w:bidi="ar-SA"/>
              </w:rPr>
              <w:t>评标基准价=（最高投标限价×0.6+评标价平均值×0.4） ×（1-下浮系数）</w:t>
            </w:r>
            <w:bookmarkEnd w:id="63"/>
          </w:p>
          <w:p>
            <w:pPr>
              <w:widowControl w:val="0"/>
              <w:spacing w:line="360" w:lineRule="atLeast"/>
              <w:jc w:val="left"/>
              <w:rPr>
                <w:rFonts w:ascii="Times New Roman" w:hAnsi="Times New Roman" w:eastAsia="黑体" w:cs="Times New Roman"/>
                <w:color w:val="auto"/>
                <w:kern w:val="2"/>
                <w:sz w:val="21"/>
                <w:szCs w:val="21"/>
                <w:lang w:val="en-US" w:eastAsia="zh-CN" w:bidi="ar-SA"/>
              </w:rPr>
            </w:pPr>
            <w:r>
              <w:rPr>
                <w:rFonts w:ascii="Times New Roman" w:hAnsi="Times New Roman" w:eastAsia="黑体" w:cs="Times New Roman"/>
                <w:color w:val="auto"/>
                <w:kern w:val="2"/>
                <w:sz w:val="21"/>
                <w:szCs w:val="21"/>
                <w:highlight w:val="white"/>
                <w:lang w:val="en-US" w:eastAsia="zh-CN" w:bidi="ar-SA"/>
              </w:rPr>
              <w:t>下浮系数将从1%~5%中选取5个数，步距不小于0.5%，设置等差数列，并在开标时随机抽取。</w:t>
            </w:r>
            <w:r>
              <w:rPr>
                <w:rFonts w:ascii="Times New Roman" w:hAnsi="Times New Roman" w:eastAsia="黑体" w:cs="Times New Roman"/>
                <w:color w:val="auto"/>
                <w:szCs w:val="21"/>
                <w:vertAlign w:val="superscript"/>
              </w:rPr>
              <w:footnoteReference w:id="2"/>
            </w:r>
          </w:p>
          <w:p>
            <w:pPr>
              <w:widowControl w:val="0"/>
              <w:spacing w:line="360" w:lineRule="atLeast"/>
              <w:jc w:val="left"/>
              <w:rPr>
                <w:rFonts w:ascii="Times New Roman" w:hAnsi="Times New Roman" w:eastAsia="黑体" w:cs="Times New Roman"/>
                <w:color w:val="auto"/>
                <w:kern w:val="2"/>
                <w:sz w:val="21"/>
                <w:szCs w:val="21"/>
                <w:lang w:val="en-US" w:eastAsia="zh-CN" w:bidi="ar-SA"/>
              </w:rPr>
            </w:pPr>
            <w:r>
              <w:rPr>
                <w:rFonts w:ascii="Times New Roman" w:hAnsi="Times New Roman" w:eastAsia="黑体" w:cs="Times New Roman"/>
                <w:color w:val="auto"/>
                <w:kern w:val="2"/>
                <w:sz w:val="21"/>
                <w:szCs w:val="21"/>
                <w:highlight w:val="white"/>
                <w:lang w:val="en-US" w:eastAsia="zh-CN" w:bidi="ar-SA"/>
              </w:rPr>
              <w:t>如果投标人认为某一标段的评标基准价计算有误， 有权在开标现场提出，经当场核实确认之后，可重新宣布评标基准价。</w:t>
            </w:r>
          </w:p>
          <w:p>
            <w:pPr>
              <w:widowControl w:val="0"/>
              <w:spacing w:line="340" w:lineRule="atLeast"/>
              <w:jc w:val="left"/>
              <w:rPr>
                <w:rFonts w:ascii="Times New Roman" w:hAnsi="Times New Roman" w:eastAsia="黑体" w:cs="Times New Roman"/>
                <w:color w:val="auto"/>
                <w:kern w:val="2"/>
                <w:sz w:val="21"/>
                <w:szCs w:val="21"/>
                <w:lang w:val="en-US" w:eastAsia="zh-CN" w:bidi="ar-SA"/>
              </w:rPr>
            </w:pPr>
            <w:r>
              <w:rPr>
                <w:rFonts w:ascii="Times New Roman" w:hAnsi="Times New Roman" w:eastAsia="黑体" w:cs="Times New Roman"/>
                <w:color w:val="auto"/>
                <w:kern w:val="2"/>
                <w:sz w:val="21"/>
                <w:szCs w:val="21"/>
                <w:highlight w:val="white"/>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3" w:type="dxa"/>
            <w:tcBorders>
              <w:top w:val="single" w:color="auto" w:sz="4" w:space="0"/>
              <w:right w:val="single" w:color="auto" w:sz="4" w:space="0"/>
            </w:tcBorders>
            <w:noWrap w:val="0"/>
            <w:vAlign w:val="center"/>
          </w:tcPr>
          <w:p>
            <w:pPr>
              <w:widowControl w:val="0"/>
              <w:spacing w:line="34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2.2.3</w:t>
            </w:r>
          </w:p>
        </w:tc>
        <w:tc>
          <w:tcPr>
            <w:tcW w:w="1177" w:type="dxa"/>
            <w:tcBorders>
              <w:top w:val="single" w:color="auto" w:sz="4" w:space="0"/>
              <w:right w:val="single" w:color="auto" w:sz="4" w:space="0"/>
            </w:tcBorders>
            <w:noWrap w:val="0"/>
            <w:vAlign w:val="center"/>
          </w:tcPr>
          <w:p>
            <w:pPr>
              <w:widowControl w:val="0"/>
              <w:spacing w:line="360" w:lineRule="exac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highlight w:val="white"/>
                <w:lang w:val="en-US" w:eastAsia="zh-CN" w:bidi="ar-SA"/>
              </w:rPr>
              <w:t>评标价的偏差率计算公式</w:t>
            </w:r>
          </w:p>
        </w:tc>
        <w:tc>
          <w:tcPr>
            <w:tcW w:w="7193" w:type="dxa"/>
            <w:tcBorders>
              <w:top w:val="single" w:color="auto" w:sz="4" w:space="0"/>
              <w:left w:val="single" w:color="auto" w:sz="4" w:space="0"/>
              <w:right w:val="single" w:color="auto" w:sz="4" w:space="0"/>
            </w:tcBorders>
            <w:noWrap w:val="0"/>
            <w:vAlign w:val="center"/>
          </w:tcPr>
          <w:p>
            <w:pPr>
              <w:widowControl w:val="0"/>
              <w:spacing w:line="340" w:lineRule="atLeast"/>
              <w:ind w:firstLine="420" w:firstLineChars="200"/>
              <w:jc w:val="left"/>
              <w:rPr>
                <w:rFonts w:ascii="Times New Roman" w:hAnsi="Times New Roman" w:eastAsia="黑体" w:cs="Times New Roman"/>
                <w:b/>
                <w:color w:val="auto"/>
                <w:kern w:val="2"/>
                <w:sz w:val="21"/>
                <w:szCs w:val="21"/>
                <w:lang w:val="en-US" w:eastAsia="zh-CN" w:bidi="ar-SA"/>
              </w:rPr>
            </w:pPr>
            <w:r>
              <w:rPr>
                <w:rFonts w:ascii="Times New Roman" w:hAnsi="Times New Roman" w:eastAsia="黑体" w:cs="Times New Roman"/>
                <w:color w:val="auto"/>
                <w:kern w:val="2"/>
                <w:sz w:val="21"/>
                <w:szCs w:val="21"/>
                <w:highlight w:val="white"/>
                <w:lang w:val="en-US" w:eastAsia="zh-CN" w:bidi="ar-SA"/>
              </w:rPr>
              <w:t>偏差率=100% ×（投标人评标价－评标基准价）/评标基准价</w:t>
            </w:r>
          </w:p>
        </w:tc>
      </w:tr>
    </w:tbl>
    <w:p>
      <w:pPr>
        <w:ind w:right="1526"/>
        <w:rPr>
          <w:rFonts w:ascii="Times New Roman" w:hAnsi="Times New Roman" w:eastAsia="宋体" w:cs="Times New Roman"/>
          <w:color w:val="auto"/>
          <w:szCs w:val="24"/>
          <w:highlight w:val="red"/>
        </w:rPr>
      </w:pPr>
      <w:bookmarkStart w:id="64" w:name="EBf10eba42b5014ed2b1d69ec9ca4bdb7c"/>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34"/>
        <w:gridCol w:w="534"/>
        <w:gridCol w:w="708"/>
        <w:gridCol w:w="1614"/>
        <w:gridCol w:w="481"/>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条款号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评审因素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评分因素</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45.0分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对招标项目的理解和总体设计思路</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7分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满足工程基本要求，得5.6分；切实可行且合理科学的，酌情加分，本项最高得7分。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招标项目勘察设计的特点、关键技术问题的认识及其对策措施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满足工程基本要求，得8分；切实可行且合理科学的，酌情加分，本项最高得10分。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对前一阶段工作技术结论及技术方案的不同看法及建议</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满足工程基本要求，得8分；切实可行且合理科学的，酌情加分，本项最高得10分。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勘察设计工作量及计划安排</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满足工程基本要求，得4分；切实可行且合理科学的，酌情加分，本项最高得5分。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勘察设计的质量保证措施、进度保证措施、安全保证措施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满足工程基本要求，得4分；切实可行且合理科学的，酌情加分，本项最高得5分。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后续服务的安排及保证措施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3分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合理化建议</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满足工程基本要求，得4分；切实可行且合理科学的，酌情加分，本项最高得5分。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2.2.4（2）</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主要人员</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项目负责人任职资格与业绩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spacing w:val="0"/>
                <w:kern w:val="2"/>
                <w:sz w:val="21"/>
                <w:szCs w:val="22"/>
                <w:lang w:val="en-US" w:eastAsia="zh-CN" w:bidi="ar-SA"/>
              </w:rPr>
            </w:pPr>
          </w:p>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 xml:space="preserve">1、满足附录 4 资格审查条 件(项目负责人最低要求)，得 16 分； </w:t>
            </w:r>
            <w:r>
              <w:rPr>
                <w:rFonts w:ascii="宋体" w:hAnsi="宋体" w:eastAsia="宋体" w:cs="宋体"/>
                <w:b w:val="0"/>
                <w:color w:val="auto"/>
                <w:spacing w:val="1"/>
                <w:w w:val="64"/>
                <w:kern w:val="2"/>
                <w:sz w:val="21"/>
                <w:szCs w:val="22"/>
                <w:lang w:val="en-US" w:eastAsia="zh-CN" w:bidi="ar-SA"/>
              </w:rPr>
              <w:t xml:space="preserve">      </w:t>
            </w:r>
            <w:r>
              <w:rPr>
                <w:rFonts w:ascii="宋体" w:hAnsi="宋体" w:eastAsia="宋体" w:cs="宋体"/>
                <w:b w:val="0"/>
                <w:color w:val="auto"/>
                <w:spacing w:val="0"/>
                <w:w w:val="64"/>
                <w:kern w:val="2"/>
                <w:sz w:val="21"/>
                <w:szCs w:val="22"/>
                <w:lang w:val="en-US" w:eastAsia="zh-CN" w:bidi="ar-SA"/>
              </w:rPr>
              <w:t xml:space="preserve"> </w:t>
            </w:r>
          </w:p>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2、在此基础上，最近 5 年 (递交投标文件截止之日前 一日回溯 5 年)，每增加一 个作为项目负责人主持过 1 个里程 23.19 公里及以上的 高速公路土建工程(同时包含路基、路面、桥涵</w:t>
            </w:r>
            <w:r>
              <w:rPr>
                <w:rFonts w:hint="eastAsia" w:ascii="宋体" w:hAnsi="宋体" w:eastAsia="宋体" w:cs="宋体"/>
                <w:b w:val="0"/>
                <w:color w:val="auto"/>
                <w:spacing w:val="0"/>
                <w:kern w:val="2"/>
                <w:sz w:val="21"/>
                <w:szCs w:val="22"/>
                <w:lang w:val="en-US" w:eastAsia="zh-CN" w:bidi="ar-SA"/>
              </w:rPr>
              <w:t>、隧道</w:t>
            </w:r>
            <w:r>
              <w:rPr>
                <w:rFonts w:ascii="宋体" w:hAnsi="宋体" w:eastAsia="宋体" w:cs="宋体"/>
                <w:b w:val="0"/>
                <w:color w:val="auto"/>
                <w:spacing w:val="0"/>
                <w:kern w:val="2"/>
                <w:sz w:val="21"/>
                <w:szCs w:val="22"/>
                <w:lang w:val="en-US" w:eastAsia="zh-CN" w:bidi="ar-SA"/>
              </w:rPr>
              <w:t>)施工图勘察设计业绩，加 2 分，加满 4分止。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2.2.4（3）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评标价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10.0分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评标价得分计算公式示例：</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（1）如果投标人的评标价大于评标基准价，则评标价得分＝F－偏差率×100× E1；</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（2）如果投标人的评标价小于等于评标基准价，则评标价得分＝F＋偏差率× 100× E2。</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其中：F是评标价所占的权重分值，E1是评标价每高于评标基准价一个百分点的扣分值、E2是评标价每低于评标基准价一个百分点的扣分值，其中E1=0.2、E2=0.1。</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（3）下浮系数将在第二信封开标前从1%、1.5%、2%、2.5%、3%五值中随机抽取。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2.2.4（4）</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其他因素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技术能力</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投标人近 8 年获得与本次招标项目主体工程专业领域相对 应的工程咨询有关的下列奖项；或具有与本次招标项目主体 工程专业领域相对应的工程咨询有关的下列资历，对应按如下类别计分：                   </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 1、获得国家级或省级科学技术进步奖的，获得国家级科学技术进步奖的，每项加 3 分，最多加3分 ；获得省级科学技术进步奖的每项加1.5 分，最多加 1.5 分；本项最多加 3 分。  </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 xml:space="preserve">2、主编或参编过国家标准、行业(指部级)或地方(指 省   级) 标准的， 主编或参编过国家标准、行业(指部级) 的，每项 加 1.5分， 最多加 1.5分；主编或参编过地方(指省级)标准的， 每项 0.75分，最多加 0.75分；本项最多加 1.5分。 </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3、获得与工程咨询管理(包括勘察设计、监理等工程咨询 工作)有关的专利(发明专利或实用新型专利)的，每项加 0.5分，最多加 0.5分。</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注： 1.本项累计加分最高 5 分， 同一工程项目不重复加分， 仅按较高分计 1 次加分。</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2.各项加分权重比例为：国家级或省级科学技术奖项为技术能力总分（下同）的 60%（省级科学技术奖项加分比例不得超过技术能力总分的 30%）；主编或参编过国家、行业（指部级）或地方（指省级）标准为30%；与工程咨询管理（包括勘察设计、监理等工程咨询工作）有关的专利（发明专利或实用新型专利）为 10%。</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3.加分项设置不得高于两档。</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4.本次招标工程项目类别为：公路工程的土建工程（路基、桥隧）、路面工程、房建工程。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12分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42"/>
                <w:kern w:val="2"/>
                <w:sz w:val="21"/>
                <w:szCs w:val="22"/>
                <w:lang w:val="en-US" w:eastAsia="zh-CN" w:bidi="ar-SA"/>
              </w:rPr>
              <w:t>1、满足资格审查条件(业绩最低要求) 得 9.6 分</w:t>
            </w:r>
            <w:r>
              <w:rPr>
                <w:rFonts w:ascii="宋体" w:hAnsi="宋体" w:eastAsia="宋体" w:cs="宋体"/>
                <w:b w:val="0"/>
                <w:color w:val="auto"/>
                <w:spacing w:val="0"/>
                <w:kern w:val="2"/>
                <w:sz w:val="21"/>
                <w:szCs w:val="22"/>
                <w:lang w:val="en-US" w:eastAsia="zh-CN" w:bidi="ar-SA"/>
              </w:rPr>
              <w:t>；</w:t>
            </w:r>
          </w:p>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2、在此基础上， 每增加第1项最近 5 年(递交投标文件截止之日前一日 回溯 5 年)完成1个里程在 23.19 公里及以上的新建高速公路土建工程(同时包含路基、路面、桥涵</w:t>
            </w:r>
            <w:r>
              <w:rPr>
                <w:rFonts w:hint="eastAsia" w:ascii="宋体" w:hAnsi="宋体" w:eastAsia="宋体" w:cs="宋体"/>
                <w:b w:val="0"/>
                <w:color w:val="auto"/>
                <w:spacing w:val="0"/>
                <w:kern w:val="2"/>
                <w:sz w:val="21"/>
                <w:szCs w:val="22"/>
                <w:lang w:val="en-US" w:eastAsia="zh-CN" w:bidi="ar-SA"/>
              </w:rPr>
              <w:t>、隧道</w:t>
            </w:r>
            <w:r>
              <w:rPr>
                <w:rFonts w:ascii="宋体" w:hAnsi="宋体" w:eastAsia="宋体" w:cs="宋体"/>
                <w:b w:val="0"/>
                <w:color w:val="auto"/>
                <w:spacing w:val="0"/>
                <w:kern w:val="2"/>
                <w:sz w:val="21"/>
                <w:szCs w:val="22"/>
                <w:lang w:val="en-US" w:eastAsia="zh-CN" w:bidi="ar-SA"/>
              </w:rPr>
              <w:t>) 和 1 个总长大于 1000 米的新建高速公路特大桥工程施工图勘察设计业绩加 1.2 分；</w:t>
            </w:r>
          </w:p>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每增加第2项最近 5 年(递交投标文件截止之日前一日 回溯 5 年)完成1个里程在 23.19 公里及以上的新建高速公路土建工程(同时包含路基、路面、桥涵</w:t>
            </w:r>
            <w:r>
              <w:rPr>
                <w:rFonts w:hint="eastAsia" w:ascii="宋体" w:hAnsi="宋体" w:eastAsia="宋体" w:cs="宋体"/>
                <w:b w:val="0"/>
                <w:color w:val="auto"/>
                <w:spacing w:val="0"/>
                <w:kern w:val="2"/>
                <w:sz w:val="21"/>
                <w:szCs w:val="22"/>
                <w:lang w:val="en-US" w:eastAsia="zh-CN" w:bidi="ar-SA"/>
              </w:rPr>
              <w:t>、隧道</w:t>
            </w:r>
            <w:r>
              <w:rPr>
                <w:rFonts w:ascii="宋体" w:hAnsi="宋体" w:eastAsia="宋体" w:cs="宋体"/>
                <w:b w:val="0"/>
                <w:color w:val="auto"/>
                <w:spacing w:val="0"/>
                <w:kern w:val="2"/>
                <w:sz w:val="21"/>
                <w:szCs w:val="22"/>
                <w:lang w:val="en-US" w:eastAsia="zh-CN" w:bidi="ar-SA"/>
              </w:rPr>
              <w:t>) 和 1 个总长大于 1000 米的新建高速公路特大桥工程施工图勘察设计业绩加 1.2 分，最多加2.4分 。</w:t>
            </w:r>
          </w:p>
          <w:p>
            <w:pPr>
              <w:widowControl w:val="0"/>
              <w:jc w:val="center"/>
              <w:rPr>
                <w:rFonts w:ascii="宋体" w:hAnsi="宋体" w:eastAsia="宋体" w:cs="宋体"/>
                <w:b w:val="0"/>
                <w:color w:val="auto"/>
                <w:spacing w:val="0"/>
                <w:kern w:val="2"/>
                <w:sz w:val="21"/>
                <w:szCs w:val="22"/>
                <w:lang w:val="en-US" w:eastAsia="zh-CN" w:bidi="ar-SA"/>
              </w:rPr>
            </w:pPr>
            <w:r>
              <w:rPr>
                <w:rFonts w:ascii="宋体" w:hAnsi="宋体" w:eastAsia="宋体" w:cs="宋体"/>
                <w:b w:val="0"/>
                <w:color w:val="auto"/>
                <w:spacing w:val="0"/>
                <w:kern w:val="2"/>
                <w:sz w:val="21"/>
                <w:szCs w:val="22"/>
                <w:lang w:val="en-US" w:eastAsia="zh-CN" w:bidi="ar-SA"/>
              </w:rPr>
              <w:t>（以上计分业绩是指同一合同段的业绩。）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履约信誉</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8分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（1）信用评价（8）</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年度信用等级最近第一年/分最近第二年/分最近第三年/分</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AA  4.0   2.4   1.6</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A    2.8  1.68  1.12</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B    0    0     0</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C    0    0     0</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注：</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1. 信用评价分取值为 a。</w:t>
            </w:r>
          </w:p>
          <w:p>
            <w:pPr>
              <w:widowControl w:val="0"/>
              <w:jc w:val="center"/>
              <w:rPr>
                <w:rFonts w:ascii="宋体" w:hAnsi="宋体" w:eastAsia="宋体" w:cs="宋体"/>
                <w:b w:val="0"/>
                <w:color w:val="auto"/>
                <w:kern w:val="2"/>
                <w:sz w:val="21"/>
                <w:szCs w:val="22"/>
                <w:lang w:val="en-US" w:eastAsia="zh-CN" w:bidi="ar-SA"/>
              </w:rPr>
            </w:pPr>
            <w:r>
              <w:rPr>
                <w:rFonts w:ascii="宋体" w:hAnsi="宋体" w:eastAsia="宋体" w:cs="宋体"/>
                <w:b w:val="0"/>
                <w:color w:val="auto"/>
                <w:kern w:val="2"/>
                <w:sz w:val="21"/>
                <w:szCs w:val="22"/>
                <w:lang w:val="en-US" w:eastAsia="zh-CN" w:bidi="ar-SA"/>
              </w:rPr>
              <w:t>2. 信用等级以湖南省交通运输厅发布的公路工程设计企业 信用评价结果为准，企业信用加分分值按湖南省交通运输厅 近三年发布的企业信用评价结果进行权值分配，企业近三年 均无湖南省交通运输厅发布企业信用等级的，按交通运输部 近三年发布的信用等级结果进行权值分配(其中交通运输部 发布的信用评价结果为 AA 级的企业，按照 A 级计算当年信 用评价得分)，当年在湖南省发布的公路工程设计企业信用 评价结果中无信用评价等级的，其当年的信用评价得分按上 一年度发布的公路工程设计企业信用评价结果的信用等级 结果进行评分(其中上一年度发布的信用评价结果为 AA 级 的企业，按照 A 级计算当年信用评价得分)；上一年度发布 的公路工程设计企业信用评价结果也没有信用等级结果的，其当年的信用评价得分按 0 分计。</w:t>
            </w:r>
          </w:p>
        </w:tc>
      </w:tr>
      <w:bookmarkEnd w:id="64"/>
    </w:tbl>
    <w:p>
      <w:pPr>
        <w:rPr>
          <w:rFonts w:ascii="Calibri" w:hAnsi="Calibri" w:eastAsia="宋体" w:cs="Times New Roman"/>
          <w:color w:val="auto"/>
          <w:szCs w:val="2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ascii="宋体" w:hAnsi="宋体" w:eastAsia="宋体" w:cs="宋体"/>
          <w:b/>
          <w:bCs/>
          <w:snapToGrid w:val="0"/>
          <w:color w:val="auto"/>
          <w:kern w:val="0"/>
          <w:sz w:val="27"/>
          <w:szCs w:val="27"/>
        </w:rPr>
      </w:pPr>
      <w:r>
        <w:rPr>
          <w:rStyle w:val="7"/>
          <w:rFonts w:ascii="宋体" w:hAnsi="宋体" w:eastAsia="宋体" w:cs="宋体"/>
          <w:b/>
          <w:bCs/>
          <w:snapToGrid w:val="0"/>
          <w:color w:val="auto"/>
          <w:spacing w:val="-4"/>
          <w:kern w:val="0"/>
          <w:sz w:val="27"/>
          <w:szCs w:val="27"/>
        </w:rPr>
        <w:t>附件 3</w:t>
      </w:r>
      <w:r>
        <w:rPr>
          <w:rStyle w:val="7"/>
          <w:rFonts w:ascii="宋体" w:hAnsi="宋体" w:eastAsia="宋体" w:cs="宋体"/>
          <w:b/>
          <w:bCs/>
          <w:snapToGrid w:val="0"/>
          <w:color w:val="auto"/>
          <w:spacing w:val="-2"/>
          <w:kern w:val="0"/>
          <w:sz w:val="27"/>
          <w:szCs w:val="27"/>
        </w:rPr>
        <w:t xml:space="preserve">  项目概况</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8" w:firstLineChars="200"/>
        <w:jc w:val="left"/>
        <w:textAlignment w:val="baseline"/>
        <w:rPr>
          <w:rStyle w:val="7"/>
          <w:rFonts w:ascii="宋体" w:hAnsi="宋体" w:eastAsia="宋体" w:cs="宋体"/>
          <w:snapToGrid w:val="0"/>
          <w:color w:val="auto"/>
          <w:kern w:val="0"/>
          <w:sz w:val="24"/>
          <w:szCs w:val="24"/>
        </w:rPr>
      </w:pPr>
      <w:r>
        <w:rPr>
          <w:rStyle w:val="7"/>
          <w:rFonts w:hint="eastAsia" w:ascii="宋体" w:hAnsi="宋体" w:eastAsia="宋体" w:cs="宋体"/>
          <w:snapToGrid w:val="0"/>
          <w:color w:val="auto"/>
          <w:spacing w:val="12"/>
          <w:kern w:val="0"/>
          <w:sz w:val="28"/>
          <w:szCs w:val="28"/>
          <w:lang w:val="en-US" w:eastAsia="zh-CN"/>
        </w:rPr>
        <w:t>1、项目名称：</w:t>
      </w:r>
      <w:r>
        <w:rPr>
          <w:rStyle w:val="7"/>
          <w:rFonts w:ascii="宋体" w:hAnsi="宋体" w:eastAsia="宋体" w:cs="宋体"/>
          <w:snapToGrid w:val="0"/>
          <w:color w:val="auto"/>
          <w:spacing w:val="2"/>
          <w:kern w:val="0"/>
          <w:sz w:val="24"/>
          <w:szCs w:val="24"/>
        </w:rPr>
        <w:t>许广高速茶亭互通至长沙绕城高速公路项目(以下简称茶</w:t>
      </w:r>
      <w:r>
        <w:rPr>
          <w:rStyle w:val="7"/>
          <w:rFonts w:ascii="宋体" w:hAnsi="宋体" w:eastAsia="宋体" w:cs="宋体"/>
          <w:snapToGrid w:val="0"/>
          <w:color w:val="auto"/>
          <w:spacing w:val="-8"/>
          <w:kern w:val="0"/>
          <w:sz w:val="24"/>
          <w:szCs w:val="24"/>
        </w:rPr>
        <w:t>长</w:t>
      </w:r>
      <w:r>
        <w:rPr>
          <w:rStyle w:val="7"/>
          <w:rFonts w:ascii="宋体" w:hAnsi="宋体" w:eastAsia="宋体" w:cs="宋体"/>
          <w:snapToGrid w:val="0"/>
          <w:color w:val="auto"/>
          <w:spacing w:val="-5"/>
          <w:kern w:val="0"/>
          <w:sz w:val="24"/>
          <w:szCs w:val="24"/>
        </w:rPr>
        <w:t>高速)</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8" w:firstLineChars="200"/>
        <w:jc w:val="left"/>
        <w:textAlignment w:val="baseline"/>
        <w:rPr>
          <w:rStyle w:val="7"/>
          <w:rFonts w:hint="eastAsia" w:ascii="宋体" w:hAnsi="宋体" w:eastAsia="宋体" w:cs="宋体"/>
          <w:snapToGrid w:val="0"/>
          <w:color w:val="auto"/>
          <w:spacing w:val="12"/>
          <w:kern w:val="0"/>
          <w:sz w:val="28"/>
          <w:szCs w:val="28"/>
          <w:lang w:val="en-US" w:eastAsia="zh-CN"/>
        </w:rPr>
      </w:pPr>
      <w:r>
        <w:rPr>
          <w:rStyle w:val="7"/>
          <w:rFonts w:hint="eastAsia" w:ascii="宋体" w:hAnsi="宋体" w:eastAsia="宋体" w:cs="宋体"/>
          <w:snapToGrid w:val="0"/>
          <w:color w:val="auto"/>
          <w:spacing w:val="12"/>
          <w:kern w:val="0"/>
          <w:sz w:val="28"/>
          <w:szCs w:val="28"/>
          <w:lang w:val="en-US" w:eastAsia="zh-CN"/>
        </w:rPr>
        <w:t>2、建设规模及技术标准</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许广高速茶亭互通至长沙绕城高速公路项目是长沙市往西北方向的一条放射线，沿线途径开福区、望城区等县区，是长沙市与岳阳市之间的一条高速公路，路线全长约 23.19km。路线起于许广高速公路茶亭互通，往东南经望城区、开福区，止于长沙绕城高速捞刀河互通，全线按双向六车道高速公路标准建设，设计速度为 120km/h，路基宽度为 34m。</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主要控制点：茶亭镇、桥驿镇、青竹湖互通、捞刀河枢纽互通。</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本项目主线路线全长约 23.19</w:t>
      </w:r>
      <w:r>
        <w:rPr>
          <w:rStyle w:val="7"/>
          <w:rFonts w:hint="eastAsia" w:ascii="宋体" w:hAnsi="宋体" w:eastAsia="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km</w:t>
      </w:r>
      <w:r>
        <w:rPr>
          <w:rStyle w:val="7"/>
          <w:rFonts w:hint="eastAsia" w:ascii="宋体" w:hAnsi="宋体" w:eastAsia="宋体" w:cs="宋体"/>
          <w:snapToGrid w:val="0"/>
          <w:color w:val="auto"/>
          <w:spacing w:val="0"/>
          <w:kern w:val="0"/>
          <w:position w:val="0"/>
          <w:sz w:val="24"/>
          <w:szCs w:val="24"/>
          <w:lang w:eastAsia="zh-CN"/>
        </w:rPr>
        <w:t>，</w:t>
      </w:r>
      <w:r>
        <w:rPr>
          <w:rStyle w:val="7"/>
          <w:rFonts w:ascii="宋体" w:hAnsi="宋体" w:eastAsia="宋体" w:cs="宋体"/>
          <w:snapToGrid w:val="0"/>
          <w:color w:val="auto"/>
          <w:spacing w:val="0"/>
          <w:kern w:val="0"/>
          <w:position w:val="0"/>
          <w:sz w:val="24"/>
          <w:szCs w:val="24"/>
        </w:rPr>
        <w:t>主线段有土石方约 550 万</w:t>
      </w:r>
      <w:r>
        <w:rPr>
          <w:rStyle w:val="7"/>
          <w:rFonts w:hint="eastAsia" w:ascii="宋体" w:hAnsi="宋体" w:eastAsia="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m³，防护排水约 9 万 m³，铺筑路面约 22 万</w:t>
      </w:r>
      <w:r>
        <w:rPr>
          <w:rStyle w:val="7"/>
          <w:rFonts w:hint="eastAsia" w:ascii="宋体" w:hAnsi="宋体" w:eastAsia="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㎡，设有特大桥、大桥约 7800m/13 座，涵洞约 17 座， 隧道约 2105m/3 座，通道约 15 道。设置了互通 4 处 (其中枢纽互通 2 处)，不设服务区， 停车区 1 处，管理分中心 1 处，管养工区 1 处，路产基地 1 处，桥隧监控通信站 1 处。征用土地约 246hm²，其中基本农田约 5hm²，原有建设用地约 58hm²，中青路改造约 5.64 公里。</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本项目设置一处桥驿连接线，连接线与桥驿互通 A 匝道相交后，往南与垃圾专用道相连，往北下穿本项目主线后，设置一座上跨京广铁路、沙河的桥梁，利用规划 S324 走廊带，与现状黄桥大道相交。全长</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2.24</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km，采用二级公路技术标准，设计速度60km/h，路基段宽度为12m，双向两车道，为预留远期连接线拓宽空间，桥梁段宽度采用17m。</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Style w:val="7"/>
          <w:rFonts w:ascii="宋体" w:hAnsi="宋体" w:eastAsia="宋体" w:cs="宋体"/>
          <w:snapToGrid w:val="0"/>
          <w:color w:val="auto"/>
          <w:spacing w:val="0"/>
          <w:kern w:val="0"/>
          <w:position w:val="0"/>
          <w:sz w:val="24"/>
          <w:szCs w:val="24"/>
        </w:rPr>
      </w:pPr>
      <w:r>
        <w:rPr>
          <w:rStyle w:val="7"/>
          <w:rFonts w:ascii="宋体" w:hAnsi="宋体" w:eastAsia="宋体" w:cs="宋体"/>
          <w:snapToGrid w:val="0"/>
          <w:color w:val="auto"/>
          <w:spacing w:val="0"/>
          <w:kern w:val="0"/>
          <w:position w:val="0"/>
          <w:sz w:val="24"/>
          <w:szCs w:val="24"/>
        </w:rPr>
        <w:t>连接线全长</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2.24</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km，土石方约 20</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万</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m³，防护排水约 27</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千</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m³，铺筑路面约 25 千m²，设有大桥 392m/1座(桥梁宽度</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17</w:t>
      </w:r>
      <w:r>
        <w:rPr>
          <w:rStyle w:val="7"/>
          <w:rFonts w:hint="eastAsia" w:ascii="宋体" w:hAnsi="宋体" w:cs="宋体"/>
          <w:snapToGrid w:val="0"/>
          <w:color w:val="auto"/>
          <w:spacing w:val="0"/>
          <w:kern w:val="0"/>
          <w:position w:val="0"/>
          <w:sz w:val="24"/>
          <w:szCs w:val="24"/>
          <w:lang w:val="en-US" w:eastAsia="zh-CN"/>
        </w:rPr>
        <w:t xml:space="preserve"> </w:t>
      </w:r>
      <w:r>
        <w:rPr>
          <w:rStyle w:val="7"/>
          <w:rFonts w:ascii="宋体" w:hAnsi="宋体" w:eastAsia="宋体" w:cs="宋体"/>
          <w:snapToGrid w:val="0"/>
          <w:color w:val="auto"/>
          <w:spacing w:val="0"/>
          <w:kern w:val="0"/>
          <w:position w:val="0"/>
          <w:sz w:val="24"/>
          <w:szCs w:val="24"/>
        </w:rPr>
        <w:t>m，跨京广铁路、沙河)，涵洞 4 道，征用土地约 7.6hm²。</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Style w:val="7"/>
          <w:rFonts w:ascii="宋体" w:hAnsi="宋体" w:eastAsia="宋体" w:cs="宋体"/>
          <w:snapToGrid w:val="0"/>
          <w:color w:val="auto"/>
          <w:spacing w:val="0"/>
          <w:kern w:val="0"/>
          <w:position w:val="0"/>
          <w:sz w:val="24"/>
          <w:szCs w:val="24"/>
          <w:highlight w:val="none"/>
        </w:rPr>
      </w:pPr>
      <w:r>
        <w:rPr>
          <w:rStyle w:val="7"/>
          <w:rFonts w:ascii="宋体" w:hAnsi="宋体" w:eastAsia="宋体" w:cs="宋体"/>
          <w:snapToGrid w:val="0"/>
          <w:color w:val="auto"/>
          <w:spacing w:val="0"/>
          <w:kern w:val="0"/>
          <w:position w:val="0"/>
          <w:sz w:val="24"/>
          <w:szCs w:val="24"/>
          <w:highlight w:val="none"/>
        </w:rPr>
        <w:t>项目总投资约 7</w:t>
      </w:r>
      <w:r>
        <w:rPr>
          <w:rStyle w:val="7"/>
          <w:rFonts w:hint="eastAsia" w:ascii="宋体" w:hAnsi="宋体" w:eastAsia="宋体" w:cs="宋体"/>
          <w:snapToGrid w:val="0"/>
          <w:color w:val="auto"/>
          <w:spacing w:val="0"/>
          <w:kern w:val="0"/>
          <w:position w:val="0"/>
          <w:sz w:val="24"/>
          <w:szCs w:val="24"/>
          <w:highlight w:val="none"/>
          <w:lang w:val="en-US" w:eastAsia="zh-CN"/>
        </w:rPr>
        <w:t>2.5</w:t>
      </w:r>
      <w:r>
        <w:rPr>
          <w:rStyle w:val="7"/>
          <w:rFonts w:ascii="宋体" w:hAnsi="宋体" w:eastAsia="宋体" w:cs="宋体"/>
          <w:snapToGrid w:val="0"/>
          <w:color w:val="auto"/>
          <w:spacing w:val="0"/>
          <w:kern w:val="0"/>
          <w:position w:val="0"/>
          <w:sz w:val="24"/>
          <w:szCs w:val="24"/>
          <w:highlight w:val="none"/>
        </w:rPr>
        <w:t xml:space="preserve"> 亿元。</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08" w:firstLineChars="200"/>
        <w:jc w:val="left"/>
        <w:textAlignment w:val="baseline"/>
        <w:rPr>
          <w:rStyle w:val="7"/>
          <w:rFonts w:ascii="宋体" w:hAnsi="宋体" w:eastAsia="宋体" w:cs="宋体"/>
          <w:snapToGrid w:val="0"/>
          <w:color w:val="auto"/>
          <w:spacing w:val="12"/>
          <w:kern w:val="0"/>
          <w:sz w:val="28"/>
          <w:szCs w:val="28"/>
        </w:rPr>
      </w:pPr>
      <w:r>
        <w:rPr>
          <w:rStyle w:val="7"/>
          <w:rFonts w:hint="eastAsia" w:ascii="宋体" w:hAnsi="宋体" w:eastAsia="宋体" w:cs="宋体"/>
          <w:snapToGrid w:val="0"/>
          <w:color w:val="auto"/>
          <w:spacing w:val="12"/>
          <w:kern w:val="0"/>
          <w:sz w:val="28"/>
          <w:szCs w:val="28"/>
          <w:lang w:val="en-US" w:eastAsia="zh-CN"/>
        </w:rPr>
        <w:t>3、</w:t>
      </w:r>
      <w:r>
        <w:rPr>
          <w:rStyle w:val="7"/>
          <w:rFonts w:ascii="宋体" w:hAnsi="宋体" w:eastAsia="宋体" w:cs="宋体"/>
          <w:snapToGrid w:val="0"/>
          <w:color w:val="auto"/>
          <w:spacing w:val="12"/>
          <w:kern w:val="0"/>
          <w:sz w:val="28"/>
          <w:szCs w:val="28"/>
        </w:rPr>
        <w:t>招标范围</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72"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2"/>
          <w:kern w:val="0"/>
          <w:sz w:val="24"/>
          <w:szCs w:val="24"/>
        </w:rPr>
        <w:t>本次招</w:t>
      </w:r>
      <w:r>
        <w:rPr>
          <w:rStyle w:val="7"/>
          <w:rFonts w:ascii="宋体" w:hAnsi="宋体" w:eastAsia="宋体" w:cs="宋体"/>
          <w:snapToGrid w:val="0"/>
          <w:color w:val="auto"/>
          <w:spacing w:val="-1"/>
          <w:kern w:val="0"/>
          <w:sz w:val="24"/>
          <w:szCs w:val="24"/>
        </w:rPr>
        <w:t>标工程勘察设计共分为 1 个标段，其勘察设计内容详见下表。</w:t>
      </w:r>
    </w:p>
    <w:tbl>
      <w:tblPr>
        <w:tblStyle w:val="16"/>
        <w:tblW w:w="92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939"/>
        <w:gridCol w:w="1085"/>
        <w:gridCol w:w="5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012"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ascii="宋体" w:hAnsi="宋体" w:eastAsia="宋体" w:cs="宋体"/>
                <w:snapToGrid w:val="0"/>
                <w:color w:val="auto"/>
                <w:kern w:val="0"/>
                <w:sz w:val="21"/>
                <w:szCs w:val="21"/>
              </w:rPr>
            </w:pPr>
            <w:r>
              <w:rPr>
                <w:rStyle w:val="7"/>
                <w:rFonts w:ascii="宋体" w:hAnsi="宋体" w:eastAsia="宋体" w:cs="宋体"/>
                <w:snapToGrid w:val="0"/>
                <w:color w:val="auto"/>
                <w:spacing w:val="-2"/>
                <w:kern w:val="0"/>
                <w:sz w:val="21"/>
                <w:szCs w:val="21"/>
              </w:rPr>
              <w:t>标段</w:t>
            </w:r>
          </w:p>
        </w:tc>
        <w:tc>
          <w:tcPr>
            <w:tcW w:w="1939"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ascii="宋体" w:hAnsi="宋体" w:eastAsia="宋体" w:cs="宋体"/>
                <w:snapToGrid w:val="0"/>
                <w:color w:val="auto"/>
                <w:kern w:val="0"/>
                <w:sz w:val="21"/>
                <w:szCs w:val="21"/>
              </w:rPr>
            </w:pPr>
            <w:r>
              <w:rPr>
                <w:rStyle w:val="7"/>
                <w:rFonts w:ascii="宋体" w:hAnsi="宋体" w:eastAsia="宋体" w:cs="宋体"/>
                <w:snapToGrid w:val="0"/>
                <w:color w:val="auto"/>
                <w:spacing w:val="13"/>
                <w:kern w:val="0"/>
                <w:sz w:val="21"/>
                <w:szCs w:val="21"/>
              </w:rPr>
              <w:t>路线(桩号)</w:t>
            </w:r>
          </w:p>
        </w:tc>
        <w:tc>
          <w:tcPr>
            <w:tcW w:w="1085"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ascii="宋体" w:hAnsi="宋体" w:eastAsia="宋体" w:cs="宋体"/>
                <w:snapToGrid w:val="0"/>
                <w:color w:val="auto"/>
                <w:kern w:val="0"/>
                <w:sz w:val="21"/>
                <w:szCs w:val="21"/>
              </w:rPr>
            </w:pPr>
            <w:r>
              <w:rPr>
                <w:rStyle w:val="7"/>
                <w:rFonts w:ascii="宋体" w:hAnsi="宋体" w:eastAsia="宋体" w:cs="宋体"/>
                <w:snapToGrid w:val="0"/>
                <w:color w:val="auto"/>
                <w:spacing w:val="-2"/>
                <w:kern w:val="0"/>
                <w:position w:val="7"/>
                <w:sz w:val="21"/>
                <w:szCs w:val="21"/>
              </w:rPr>
              <w:t>长度</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ascii="宋体" w:hAnsi="宋体" w:eastAsia="宋体" w:cs="宋体"/>
                <w:snapToGrid w:val="0"/>
                <w:color w:val="auto"/>
                <w:kern w:val="0"/>
                <w:sz w:val="21"/>
                <w:szCs w:val="21"/>
              </w:rPr>
            </w:pPr>
            <w:r>
              <w:rPr>
                <w:rStyle w:val="7"/>
                <w:rFonts w:ascii="宋体" w:hAnsi="宋体" w:eastAsia="宋体" w:cs="宋体"/>
                <w:snapToGrid w:val="0"/>
                <w:color w:val="auto"/>
                <w:spacing w:val="46"/>
                <w:kern w:val="0"/>
                <w:sz w:val="21"/>
                <w:szCs w:val="21"/>
              </w:rPr>
              <w:t>(</w:t>
            </w:r>
            <w:r>
              <w:rPr>
                <w:rStyle w:val="7"/>
                <w:rFonts w:ascii="宋体" w:hAnsi="宋体" w:eastAsia="宋体" w:cs="宋体"/>
                <w:snapToGrid w:val="0"/>
                <w:color w:val="auto"/>
                <w:kern w:val="0"/>
                <w:sz w:val="21"/>
                <w:szCs w:val="21"/>
              </w:rPr>
              <w:t>km</w:t>
            </w:r>
            <w:r>
              <w:rPr>
                <w:rStyle w:val="7"/>
                <w:rFonts w:ascii="宋体" w:hAnsi="宋体" w:eastAsia="宋体" w:cs="宋体"/>
                <w:snapToGrid w:val="0"/>
                <w:color w:val="auto"/>
                <w:spacing w:val="46"/>
                <w:kern w:val="0"/>
                <w:sz w:val="21"/>
                <w:szCs w:val="21"/>
              </w:rPr>
              <w:t>)</w:t>
            </w:r>
          </w:p>
        </w:tc>
        <w:tc>
          <w:tcPr>
            <w:tcW w:w="5235"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ascii="宋体" w:hAnsi="宋体" w:eastAsia="宋体" w:cs="宋体"/>
                <w:snapToGrid w:val="0"/>
                <w:color w:val="auto"/>
                <w:kern w:val="0"/>
                <w:sz w:val="21"/>
                <w:szCs w:val="21"/>
              </w:rPr>
            </w:pPr>
            <w:r>
              <w:rPr>
                <w:rStyle w:val="7"/>
                <w:rFonts w:ascii="宋体" w:hAnsi="宋体" w:eastAsia="宋体" w:cs="宋体"/>
                <w:snapToGrid w:val="0"/>
                <w:color w:val="auto"/>
                <w:spacing w:val="-2"/>
                <w:kern w:val="0"/>
                <w:sz w:val="21"/>
                <w:szCs w:val="21"/>
              </w:rPr>
              <w:t>工</w:t>
            </w:r>
            <w:r>
              <w:rPr>
                <w:rStyle w:val="7"/>
                <w:rFonts w:ascii="宋体" w:hAnsi="宋体" w:eastAsia="宋体" w:cs="宋体"/>
                <w:snapToGrid w:val="0"/>
                <w:color w:val="auto"/>
                <w:spacing w:val="-1"/>
                <w:kern w:val="0"/>
                <w:sz w:val="21"/>
                <w:szCs w:val="21"/>
              </w:rPr>
              <w:t>作内容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012"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hint="eastAsia" w:ascii="宋体" w:hAnsi="宋体" w:eastAsia="宋体" w:cs="宋体"/>
                <w:snapToGrid w:val="0"/>
                <w:color w:val="auto"/>
                <w:kern w:val="0"/>
                <w:sz w:val="21"/>
                <w:szCs w:val="21"/>
              </w:rPr>
            </w:pP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1"/>
                <w:kern w:val="0"/>
                <w:sz w:val="21"/>
                <w:szCs w:val="21"/>
              </w:rPr>
              <w:t>CCSJ</w:t>
            </w:r>
            <w:r>
              <w:rPr>
                <w:rStyle w:val="7"/>
                <w:rFonts w:hint="eastAsia" w:ascii="宋体" w:hAnsi="宋体" w:eastAsia="宋体" w:cs="宋体"/>
                <w:snapToGrid w:val="0"/>
                <w:color w:val="auto"/>
                <w:spacing w:val="-2"/>
                <w:kern w:val="0"/>
                <w:sz w:val="21"/>
                <w:szCs w:val="21"/>
              </w:rPr>
              <w:t>0</w:t>
            </w:r>
            <w:r>
              <w:rPr>
                <w:rStyle w:val="7"/>
                <w:rFonts w:hint="eastAsia" w:ascii="宋体" w:hAnsi="宋体" w:eastAsia="宋体" w:cs="宋体"/>
                <w:snapToGrid w:val="0"/>
                <w:color w:val="auto"/>
                <w:spacing w:val="-1"/>
                <w:kern w:val="0"/>
                <w:sz w:val="21"/>
                <w:szCs w:val="21"/>
              </w:rPr>
              <w:t>1</w:t>
            </w:r>
          </w:p>
        </w:tc>
        <w:tc>
          <w:tcPr>
            <w:tcW w:w="1939"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hint="eastAsia" w:ascii="宋体" w:hAnsi="宋体" w:eastAsia="宋体" w:cs="宋体"/>
                <w:snapToGrid w:val="0"/>
                <w:color w:val="auto"/>
                <w:kern w:val="0"/>
                <w:sz w:val="21"/>
                <w:szCs w:val="21"/>
              </w:rPr>
            </w:pP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1"/>
                <w:kern w:val="0"/>
                <w:sz w:val="21"/>
                <w:szCs w:val="21"/>
              </w:rPr>
              <w:t>许广高速</w:t>
            </w:r>
            <w:r>
              <w:rPr>
                <w:rStyle w:val="7"/>
                <w:rFonts w:hint="eastAsia" w:ascii="宋体" w:hAnsi="宋体" w:eastAsia="宋体" w:cs="宋体"/>
                <w:snapToGrid w:val="0"/>
                <w:color w:val="auto"/>
                <w:kern w:val="0"/>
                <w:sz w:val="21"/>
                <w:szCs w:val="21"/>
              </w:rPr>
              <w:t>茶</w:t>
            </w:r>
            <w:r>
              <w:rPr>
                <w:rStyle w:val="7"/>
                <w:rFonts w:hint="eastAsia" w:ascii="宋体" w:hAnsi="宋体" w:eastAsia="宋体" w:cs="宋体"/>
                <w:snapToGrid w:val="0"/>
                <w:color w:val="auto"/>
                <w:spacing w:val="-1"/>
                <w:kern w:val="0"/>
                <w:sz w:val="21"/>
                <w:szCs w:val="21"/>
              </w:rPr>
              <w:t>亭互通至</w:t>
            </w:r>
            <w:r>
              <w:rPr>
                <w:rStyle w:val="7"/>
                <w:rFonts w:hint="eastAsia" w:ascii="宋体" w:hAnsi="宋体" w:eastAsia="宋体" w:cs="宋体"/>
                <w:snapToGrid w:val="0"/>
                <w:color w:val="auto"/>
                <w:kern w:val="0"/>
                <w:sz w:val="21"/>
                <w:szCs w:val="21"/>
              </w:rPr>
              <w:t>长</w:t>
            </w:r>
            <w:r>
              <w:rPr>
                <w:rStyle w:val="7"/>
                <w:rFonts w:hint="eastAsia" w:ascii="宋体" w:hAnsi="宋体" w:eastAsia="宋体" w:cs="宋体"/>
                <w:snapToGrid w:val="0"/>
                <w:color w:val="auto"/>
                <w:spacing w:val="-1"/>
                <w:kern w:val="0"/>
                <w:sz w:val="21"/>
                <w:szCs w:val="21"/>
              </w:rPr>
              <w:t>沙绕城高</w:t>
            </w:r>
            <w:r>
              <w:rPr>
                <w:rStyle w:val="7"/>
                <w:rFonts w:hint="eastAsia" w:ascii="宋体" w:hAnsi="宋体" w:eastAsia="宋体" w:cs="宋体"/>
                <w:snapToGrid w:val="0"/>
                <w:color w:val="auto"/>
                <w:kern w:val="0"/>
                <w:sz w:val="21"/>
                <w:szCs w:val="21"/>
              </w:rPr>
              <w:t>速</w:t>
            </w:r>
            <w:r>
              <w:rPr>
                <w:rStyle w:val="7"/>
                <w:rFonts w:hint="eastAsia" w:ascii="宋体" w:hAnsi="宋体" w:eastAsia="宋体" w:cs="宋体"/>
                <w:snapToGrid w:val="0"/>
                <w:color w:val="auto"/>
                <w:spacing w:val="-2"/>
                <w:kern w:val="0"/>
                <w:sz w:val="21"/>
                <w:szCs w:val="21"/>
              </w:rPr>
              <w:t>公路</w:t>
            </w:r>
          </w:p>
        </w:tc>
        <w:tc>
          <w:tcPr>
            <w:tcW w:w="1085"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hint="eastAsia" w:ascii="宋体" w:hAnsi="宋体" w:eastAsia="宋体" w:cs="宋体"/>
                <w:snapToGrid w:val="0"/>
                <w:color w:val="auto"/>
                <w:kern w:val="0"/>
                <w:sz w:val="21"/>
                <w:szCs w:val="21"/>
              </w:rPr>
            </w:pP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hint="eastAsia" w:ascii="宋体" w:hAnsi="宋体" w:eastAsia="宋体" w:cs="宋体"/>
                <w:snapToGrid w:val="0"/>
                <w:color w:val="auto"/>
                <w:spacing w:val="-8"/>
                <w:kern w:val="0"/>
                <w:sz w:val="21"/>
                <w:szCs w:val="21"/>
              </w:rPr>
            </w:pPr>
            <w:r>
              <w:rPr>
                <w:rStyle w:val="7"/>
                <w:rFonts w:hint="eastAsia" w:ascii="宋体" w:hAnsi="宋体" w:eastAsia="宋体" w:cs="宋体"/>
                <w:snapToGrid w:val="0"/>
                <w:color w:val="auto"/>
                <w:spacing w:val="-8"/>
                <w:kern w:val="0"/>
                <w:sz w:val="21"/>
                <w:szCs w:val="21"/>
              </w:rPr>
              <w:t>23.19km</w:t>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spacing w:val="-8"/>
                <w:kern w:val="0"/>
                <w:sz w:val="21"/>
                <w:szCs w:val="21"/>
              </w:rPr>
              <w:t>高</w:t>
            </w:r>
            <w:r>
              <w:rPr>
                <w:rStyle w:val="7"/>
                <w:rFonts w:hint="eastAsia" w:ascii="宋体" w:hAnsi="宋体" w:eastAsia="宋体" w:cs="宋体"/>
                <w:snapToGrid w:val="0"/>
                <w:color w:val="auto"/>
                <w:spacing w:val="-1"/>
                <w:kern w:val="0"/>
                <w:sz w:val="21"/>
                <w:szCs w:val="21"/>
              </w:rPr>
              <w:t>速公路</w:t>
            </w:r>
          </w:p>
        </w:tc>
        <w:tc>
          <w:tcPr>
            <w:tcW w:w="5235" w:type="dxa"/>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Style w:val="7"/>
                <w:rFonts w:hint="eastAsia" w:ascii="宋体" w:hAnsi="宋体" w:eastAsia="宋体" w:cs="宋体"/>
                <w:snapToGrid w:val="0"/>
                <w:color w:val="auto"/>
                <w:kern w:val="0"/>
                <w:sz w:val="21"/>
                <w:szCs w:val="21"/>
              </w:rPr>
            </w:pPr>
            <w:r>
              <w:rPr>
                <w:rStyle w:val="7"/>
                <w:rFonts w:hint="eastAsia" w:ascii="宋体" w:hAnsi="宋体" w:eastAsia="宋体" w:cs="宋体"/>
                <w:snapToGrid w:val="0"/>
                <w:color w:val="auto"/>
                <w:kern w:val="0"/>
                <w:sz w:val="21"/>
                <w:szCs w:val="21"/>
              </w:rPr>
              <w:t>本标段(含连接线)内的路线、路基、路面、桥涵、隧道、路线交叉、交通安全设施、房屋建筑工程、绿化、交通工程(通信、收费、监控)、其他工程等施工图勘察设计及中青路物探专项勘察、红线放样。按施工合同段提交编制施工招标文件所需的图纸、工程量清单与清单预算，以及施工图总预算。招标与施工配合及后续服务、参加交(竣)工验收、提供相关技术交底和工程相关技术咨询服务以及发包人要求的相关工作等。</w:t>
            </w:r>
          </w:p>
        </w:tc>
      </w:tr>
    </w:tbl>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rStyle w:val="7"/>
          <w:rFonts w:ascii="宋体" w:hAnsi="宋体" w:eastAsia="宋体" w:cs="宋体"/>
          <w:snapToGrid w:val="0"/>
          <w:color w:val="auto"/>
          <w:kern w:val="0"/>
          <w:sz w:val="24"/>
          <w:szCs w:val="24"/>
        </w:rPr>
      </w:pPr>
      <w:r>
        <w:rPr>
          <w:rStyle w:val="7"/>
          <w:rFonts w:ascii="宋体" w:hAnsi="宋体" w:eastAsia="宋体" w:cs="宋体"/>
          <w:snapToGrid w:val="0"/>
          <w:color w:val="auto"/>
          <w:spacing w:val="-2"/>
          <w:kern w:val="0"/>
          <w:sz w:val="24"/>
          <w:szCs w:val="24"/>
        </w:rPr>
        <w:t>勘察设计周期：</w:t>
      </w:r>
      <w:r>
        <w:rPr>
          <w:rStyle w:val="7"/>
          <w:rFonts w:ascii="宋体" w:hAnsi="宋体" w:eastAsia="宋体" w:cs="宋体"/>
          <w:snapToGrid w:val="0"/>
          <w:color w:val="auto"/>
          <w:spacing w:val="-2"/>
          <w:kern w:val="0"/>
          <w:sz w:val="24"/>
          <w:szCs w:val="24"/>
          <w:u w:val="single" w:color="auto"/>
        </w:rPr>
        <w:t>发包人发</w:t>
      </w:r>
      <w:r>
        <w:rPr>
          <w:rStyle w:val="7"/>
          <w:rFonts w:ascii="宋体" w:hAnsi="宋体" w:eastAsia="宋体" w:cs="宋体"/>
          <w:snapToGrid w:val="0"/>
          <w:color w:val="auto"/>
          <w:spacing w:val="-1"/>
          <w:kern w:val="0"/>
          <w:sz w:val="24"/>
          <w:szCs w:val="24"/>
          <w:u w:val="single" w:color="auto"/>
        </w:rPr>
        <w:t>出开始设计任务通知后 120 日内提交全线施工</w:t>
      </w:r>
      <w:r>
        <w:rPr>
          <w:rStyle w:val="7"/>
          <w:rFonts w:hint="eastAsia" w:ascii="宋体" w:hAnsi="宋体" w:eastAsia="宋体" w:cs="宋体"/>
          <w:snapToGrid w:val="0"/>
          <w:color w:val="auto"/>
          <w:spacing w:val="-1"/>
          <w:kern w:val="0"/>
          <w:sz w:val="24"/>
          <w:szCs w:val="24"/>
          <w:u w:val="single" w:color="auto"/>
          <w:lang w:val="en-US" w:eastAsia="zh-CN"/>
        </w:rPr>
        <w:t>图</w:t>
      </w:r>
      <w:r>
        <w:rPr>
          <w:rStyle w:val="7"/>
          <w:rFonts w:ascii="宋体" w:hAnsi="宋体" w:eastAsia="宋体" w:cs="宋体"/>
          <w:snapToGrid w:val="0"/>
          <w:color w:val="auto"/>
          <w:spacing w:val="-17"/>
          <w:kern w:val="0"/>
          <w:sz w:val="24"/>
          <w:szCs w:val="24"/>
          <w:u w:val="single" w:color="auto"/>
        </w:rPr>
        <w:t>设</w:t>
      </w:r>
      <w:r>
        <w:rPr>
          <w:rStyle w:val="7"/>
          <w:rFonts w:ascii="宋体" w:hAnsi="宋体" w:eastAsia="宋体" w:cs="宋体"/>
          <w:snapToGrid w:val="0"/>
          <w:color w:val="auto"/>
          <w:spacing w:val="-13"/>
          <w:kern w:val="0"/>
          <w:sz w:val="24"/>
          <w:szCs w:val="24"/>
          <w:u w:val="single" w:color="auto"/>
        </w:rPr>
        <w:t xml:space="preserve">计文件， </w:t>
      </w:r>
      <w:r>
        <w:rPr>
          <w:rStyle w:val="7"/>
          <w:rFonts w:ascii="宋体" w:hAnsi="宋体" w:eastAsia="宋体" w:cs="宋体"/>
          <w:snapToGrid w:val="0"/>
          <w:color w:val="auto"/>
          <w:spacing w:val="-13"/>
          <w:kern w:val="0"/>
          <w:sz w:val="24"/>
          <w:szCs w:val="24"/>
        </w:rPr>
        <w:t>后续服务周期：</w:t>
      </w:r>
      <w:r>
        <w:rPr>
          <w:rStyle w:val="7"/>
          <w:rFonts w:ascii="宋体" w:hAnsi="宋体" w:eastAsia="宋体" w:cs="宋体"/>
          <w:snapToGrid w:val="0"/>
          <w:color w:val="auto"/>
          <w:spacing w:val="-13"/>
          <w:kern w:val="0"/>
          <w:sz w:val="24"/>
          <w:szCs w:val="24"/>
          <w:u w:val="single" w:color="auto"/>
        </w:rPr>
        <w:t>合同签订后至竣工验收全部工作完成。</w:t>
      </w:r>
    </w:p>
    <w:p>
      <w:pPr>
        <w:pStyle w:val="14"/>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0"/>
        <w:rPr>
          <w:rStyle w:val="7"/>
          <w:rFonts w:ascii="宋体" w:hAnsi="宋体" w:eastAsia="宋体" w:cs="宋体"/>
          <w:snapToGrid w:val="0"/>
          <w:color w:val="auto"/>
          <w:spacing w:val="12"/>
          <w:kern w:val="0"/>
          <w:sz w:val="27"/>
          <w:szCs w:val="27"/>
        </w:rPr>
      </w:pP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rPr>
          <w:rStyle w:val="7"/>
          <w:rFonts w:ascii="宋体" w:hAnsi="宋体" w:eastAsia="宋体" w:cs="宋体"/>
          <w:b w:val="0"/>
          <w:bCs w:val="0"/>
          <w:snapToGrid w:val="0"/>
          <w:color w:val="auto"/>
          <w:spacing w:val="-4"/>
          <w:kern w:val="0"/>
          <w:sz w:val="27"/>
          <w:szCs w:val="27"/>
        </w:rPr>
      </w:pPr>
      <w:r>
        <w:rPr>
          <w:rStyle w:val="7"/>
          <w:rFonts w:hint="eastAsia" w:ascii="宋体" w:hAnsi="宋体" w:eastAsia="宋体" w:cs="宋体"/>
          <w:b w:val="0"/>
          <w:bCs w:val="0"/>
          <w:snapToGrid w:val="0"/>
          <w:color w:val="auto"/>
          <w:spacing w:val="-4"/>
          <w:kern w:val="0"/>
          <w:sz w:val="27"/>
          <w:szCs w:val="27"/>
          <w:lang w:val="en-US" w:eastAsia="zh-CN"/>
        </w:rPr>
        <w:t>4</w:t>
      </w:r>
      <w:r>
        <w:rPr>
          <w:rStyle w:val="7"/>
          <w:rFonts w:ascii="宋体" w:hAnsi="宋体" w:eastAsia="宋体" w:cs="宋体"/>
          <w:b w:val="0"/>
          <w:bCs w:val="0"/>
          <w:snapToGrid w:val="0"/>
          <w:color w:val="auto"/>
          <w:spacing w:val="-4"/>
          <w:kern w:val="0"/>
          <w:sz w:val="27"/>
          <w:szCs w:val="27"/>
        </w:rPr>
        <w:t>、招标项目位置示意图</w:t>
      </w:r>
    </w:p>
    <w:p>
      <w:pPr>
        <w:pStyle w:val="14"/>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Style w:val="7"/>
          <w:rFonts w:ascii="Arial" w:hAnsi="Arial" w:eastAsia="Arial" w:cs="Arial"/>
          <w:snapToGrid w:val="0"/>
          <w:color w:val="auto"/>
          <w:kern w:val="0"/>
          <w:sz w:val="21"/>
          <w:szCs w:val="21"/>
        </w:rPr>
      </w:pPr>
      <w:r>
        <w:rPr>
          <w:rStyle w:val="7"/>
          <w:rFonts w:ascii="Arial" w:hAnsi="Arial" w:eastAsia="Arial" w:cs="Arial"/>
          <w:snapToGrid w:val="0"/>
          <w:color w:val="auto"/>
          <w:kern w:val="0"/>
          <w:sz w:val="21"/>
          <w:szCs w:val="21"/>
        </w:rPr>
        <w:br w:type="page"/>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Style w:val="7"/>
          <w:rFonts w:ascii="宋体" w:hAnsi="宋体" w:eastAsia="宋体" w:cs="宋体"/>
          <w:snapToGrid w:val="0"/>
          <w:color w:val="auto"/>
          <w:kern w:val="0"/>
          <w:sz w:val="24"/>
          <w:szCs w:val="24"/>
        </w:rPr>
      </w:pPr>
      <w:bookmarkStart w:id="65" w:name="_Toc256000004"/>
      <w:r>
        <w:rPr>
          <w:rStyle w:val="7"/>
          <w:rFonts w:ascii="宋体" w:hAnsi="宋体" w:eastAsia="宋体" w:cs="宋体"/>
          <w:snapToGrid w:val="0"/>
          <w:color w:val="auto"/>
          <w:spacing w:val="1"/>
          <w:kern w:val="0"/>
          <w:sz w:val="24"/>
          <w:szCs w:val="24"/>
        </w:rPr>
        <w:t>许广高</w:t>
      </w:r>
      <w:r>
        <w:rPr>
          <w:rStyle w:val="7"/>
          <w:rFonts w:ascii="宋体" w:hAnsi="宋体" w:eastAsia="宋体" w:cs="宋体"/>
          <w:snapToGrid w:val="0"/>
          <w:color w:val="auto"/>
          <w:kern w:val="0"/>
          <w:sz w:val="24"/>
          <w:szCs w:val="24"/>
        </w:rPr>
        <w:t>速茶亭互通至长沙绕城高速公路</w:t>
      </w:r>
      <w:bookmarkEnd w:id="65"/>
    </w:p>
    <w:p>
      <w:pPr>
        <w:jc w:val="center"/>
        <w:rPr>
          <w:color w:val="auto"/>
        </w:rPr>
      </w:pPr>
      <w:r>
        <w:rPr>
          <w:rFonts w:ascii="Arial" w:hAnsi="Arial" w:eastAsia="Arial" w:cs="Arial"/>
          <w:snapToGrid w:val="0"/>
          <w:color w:val="auto"/>
          <w:kern w:val="0"/>
          <w:szCs w:val="21"/>
        </w:rPr>
        <w:drawing>
          <wp:inline distT="0" distB="0" distL="114300" distR="114300">
            <wp:extent cx="5708650" cy="6380480"/>
            <wp:effectExtent l="0" t="0" r="6350" b="127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5708650" cy="6380480"/>
                    </a:xfrm>
                    <a:prstGeom prst="rect">
                      <a:avLst/>
                    </a:prstGeom>
                    <a:noFill/>
                    <a:ln>
                      <a:noFill/>
                    </a:ln>
                  </pic:spPr>
                </pic:pic>
              </a:graphicData>
            </a:graphic>
          </wp:inline>
        </w:drawing>
      </w:r>
    </w:p>
    <w:p>
      <w:pPr>
        <w:jc w:val="left"/>
        <w:rPr>
          <w:color w:val="auto"/>
        </w:rPr>
      </w:pPr>
    </w:p>
    <w:sectPr>
      <w:headerReference r:id="rId6" w:type="default"/>
      <w:footerReference r:id="rId7" w:type="default"/>
      <w:pgSz w:w="11906" w:h="16838"/>
      <w:pgMar w:top="1191" w:right="1417"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kinsoku w:val="0"/>
      <w:autoSpaceDE w:val="0"/>
      <w:autoSpaceDN w:val="0"/>
      <w:adjustRightInd w:val="0"/>
      <w:snapToGrid w:val="0"/>
      <w:spacing w:line="187" w:lineRule="auto"/>
      <w:ind w:left="4142"/>
      <w:jc w:val="left"/>
      <w:textAlignment w:val="baseline"/>
      <w:rPr>
        <w:rStyle w:val="7"/>
        <w:rFonts w:ascii="Times New Roman" w:hAnsi="Times New Roman" w:eastAsia="Times New Roman" w:cs="Times New Roman"/>
        <w:snapToGrid w:val="0"/>
        <w:color w:val="000000"/>
        <w:kern w:val="0"/>
        <w:sz w:val="18"/>
        <w:szCs w:val="18"/>
      </w:rPr>
    </w:pPr>
    <w:r>
      <w:rPr>
        <w:rFonts w:ascii="Calibri" w:hAnsi="Calibri"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widowControl w:val="0"/>
                            <w:snapToGrid w:val="0"/>
                            <w:jc w:val="left"/>
                            <w:rPr>
                              <w:rStyle w:val="7"/>
                              <w:rFonts w:ascii="Times New Roman" w:hAnsi="Times New Roman" w:eastAsia="宋体" w:cs="Times New Roman"/>
                              <w:kern w:val="2"/>
                              <w:sz w:val="18"/>
                              <w:szCs w:val="18"/>
                              <w:lang w:val="en-US" w:eastAsia="zh-CN" w:bidi="ar-SA"/>
                            </w:rPr>
                          </w:pPr>
                          <w:r>
                            <w:rPr>
                              <w:rStyle w:val="7"/>
                              <w:rFonts w:ascii="Times New Roman" w:hAnsi="Times New Roman" w:eastAsia="宋体" w:cs="Times New Roman"/>
                              <w:kern w:val="2"/>
                              <w:sz w:val="18"/>
                              <w:szCs w:val="18"/>
                              <w:lang w:val="en-US" w:eastAsia="zh-CN" w:bidi="ar-SA"/>
                            </w:rPr>
                            <w:fldChar w:fldCharType="begin"/>
                          </w:r>
                          <w:r>
                            <w:rPr>
                              <w:rStyle w:val="7"/>
                              <w:rFonts w:ascii="Times New Roman" w:hAnsi="Times New Roman" w:eastAsia="宋体" w:cs="Times New Roman"/>
                              <w:kern w:val="2"/>
                              <w:sz w:val="18"/>
                              <w:szCs w:val="18"/>
                              <w:lang w:val="en-US" w:eastAsia="zh-CN" w:bidi="ar-SA"/>
                            </w:rPr>
                            <w:instrText xml:space="preserve"> PAGE  \* MERGEFORMAT </w:instrText>
                          </w:r>
                          <w:r>
                            <w:rPr>
                              <w:rStyle w:val="7"/>
                              <w:rFonts w:ascii="Times New Roman" w:hAnsi="Times New Roman" w:eastAsia="宋体" w:cs="Times New Roman"/>
                              <w:kern w:val="2"/>
                              <w:sz w:val="18"/>
                              <w:szCs w:val="18"/>
                              <w:lang w:val="en-US" w:eastAsia="zh-CN" w:bidi="ar-SA"/>
                            </w:rPr>
                            <w:fldChar w:fldCharType="separate"/>
                          </w:r>
                          <w:r>
                            <w:rPr>
                              <w:rStyle w:val="7"/>
                              <w:rFonts w:ascii="Times New Roman" w:hAnsi="Times New Roman" w:eastAsia="宋体" w:cs="Times New Roman"/>
                              <w:kern w:val="2"/>
                              <w:sz w:val="18"/>
                              <w:szCs w:val="18"/>
                              <w:lang w:val="en-US" w:eastAsia="zh-CN" w:bidi="ar-SA"/>
                            </w:rPr>
                            <w:t>6</w:t>
                          </w:r>
                          <w:r>
                            <w:rPr>
                              <w:rStyle w:val="7"/>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9"/>
                      <w:widowControl w:val="0"/>
                      <w:snapToGrid w:val="0"/>
                      <w:jc w:val="left"/>
                      <w:rPr>
                        <w:rStyle w:val="7"/>
                        <w:rFonts w:ascii="Times New Roman" w:hAnsi="Times New Roman" w:eastAsia="宋体" w:cs="Times New Roman"/>
                        <w:kern w:val="2"/>
                        <w:sz w:val="18"/>
                        <w:szCs w:val="18"/>
                        <w:lang w:val="en-US" w:eastAsia="zh-CN" w:bidi="ar-SA"/>
                      </w:rPr>
                    </w:pPr>
                    <w:r>
                      <w:rPr>
                        <w:rStyle w:val="7"/>
                        <w:rFonts w:ascii="Times New Roman" w:hAnsi="Times New Roman" w:eastAsia="宋体" w:cs="Times New Roman"/>
                        <w:kern w:val="2"/>
                        <w:sz w:val="18"/>
                        <w:szCs w:val="18"/>
                        <w:lang w:val="en-US" w:eastAsia="zh-CN" w:bidi="ar-SA"/>
                      </w:rPr>
                      <w:fldChar w:fldCharType="begin"/>
                    </w:r>
                    <w:r>
                      <w:rPr>
                        <w:rStyle w:val="7"/>
                        <w:rFonts w:ascii="Times New Roman" w:hAnsi="Times New Roman" w:eastAsia="宋体" w:cs="Times New Roman"/>
                        <w:kern w:val="2"/>
                        <w:sz w:val="18"/>
                        <w:szCs w:val="18"/>
                        <w:lang w:val="en-US" w:eastAsia="zh-CN" w:bidi="ar-SA"/>
                      </w:rPr>
                      <w:instrText xml:space="preserve"> PAGE  \* MERGEFORMAT </w:instrText>
                    </w:r>
                    <w:r>
                      <w:rPr>
                        <w:rStyle w:val="7"/>
                        <w:rFonts w:ascii="Times New Roman" w:hAnsi="Times New Roman" w:eastAsia="宋体" w:cs="Times New Roman"/>
                        <w:kern w:val="2"/>
                        <w:sz w:val="18"/>
                        <w:szCs w:val="18"/>
                        <w:lang w:val="en-US" w:eastAsia="zh-CN" w:bidi="ar-SA"/>
                      </w:rPr>
                      <w:fldChar w:fldCharType="separate"/>
                    </w:r>
                    <w:r>
                      <w:rPr>
                        <w:rStyle w:val="7"/>
                        <w:rFonts w:ascii="Times New Roman" w:hAnsi="Times New Roman" w:eastAsia="宋体" w:cs="Times New Roman"/>
                        <w:kern w:val="2"/>
                        <w:sz w:val="18"/>
                        <w:szCs w:val="18"/>
                        <w:lang w:val="en-US" w:eastAsia="zh-CN" w:bidi="ar-SA"/>
                      </w:rPr>
                      <w:t>6</w:t>
                    </w:r>
                    <w:r>
                      <w:rPr>
                        <w:rStyle w:val="7"/>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kinsoku w:val="0"/>
      <w:autoSpaceDE w:val="0"/>
      <w:autoSpaceDN w:val="0"/>
      <w:adjustRightInd w:val="0"/>
      <w:snapToGrid w:val="0"/>
      <w:spacing w:line="188" w:lineRule="auto"/>
      <w:ind w:left="4142"/>
      <w:jc w:val="left"/>
      <w:textAlignment w:val="baseline"/>
      <w:rPr>
        <w:rStyle w:val="7"/>
        <w:rFonts w:ascii="Times New Roman" w:hAnsi="Times New Roman" w:eastAsia="Times New Roman" w:cs="Times New Roman"/>
        <w:snapToGrid w:val="0"/>
        <w:color w:val="000000"/>
        <w:kern w:val="0"/>
        <w:sz w:val="18"/>
        <w:szCs w:val="18"/>
      </w:rPr>
    </w:pPr>
    <w:r>
      <w:rPr>
        <w:rFonts w:ascii="Calibri" w:hAnsi="Calibri" w:eastAsia="宋体" w:cs="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widowControl w:val="0"/>
                            <w:snapToGrid w:val="0"/>
                            <w:jc w:val="left"/>
                            <w:rPr>
                              <w:rStyle w:val="7"/>
                              <w:rFonts w:ascii="Times New Roman" w:hAnsi="Times New Roman" w:eastAsia="宋体" w:cs="Times New Roman"/>
                              <w:kern w:val="2"/>
                              <w:sz w:val="18"/>
                              <w:szCs w:val="18"/>
                              <w:lang w:val="en-US" w:eastAsia="zh-CN" w:bidi="ar-SA"/>
                            </w:rPr>
                          </w:pPr>
                          <w:r>
                            <w:rPr>
                              <w:rStyle w:val="7"/>
                              <w:rFonts w:ascii="Times New Roman" w:hAnsi="Times New Roman" w:eastAsia="宋体" w:cs="Times New Roman"/>
                              <w:kern w:val="2"/>
                              <w:sz w:val="18"/>
                              <w:szCs w:val="18"/>
                              <w:lang w:val="en-US" w:eastAsia="zh-CN" w:bidi="ar-SA"/>
                            </w:rPr>
                            <w:fldChar w:fldCharType="begin"/>
                          </w:r>
                          <w:r>
                            <w:rPr>
                              <w:rStyle w:val="7"/>
                              <w:rFonts w:ascii="Times New Roman" w:hAnsi="Times New Roman" w:eastAsia="宋体" w:cs="Times New Roman"/>
                              <w:kern w:val="2"/>
                              <w:sz w:val="18"/>
                              <w:szCs w:val="18"/>
                              <w:lang w:val="en-US" w:eastAsia="zh-CN" w:bidi="ar-SA"/>
                            </w:rPr>
                            <w:instrText xml:space="preserve"> PAGE  \* MERGEFORMAT </w:instrText>
                          </w:r>
                          <w:r>
                            <w:rPr>
                              <w:rStyle w:val="7"/>
                              <w:rFonts w:ascii="Times New Roman" w:hAnsi="Times New Roman" w:eastAsia="宋体" w:cs="Times New Roman"/>
                              <w:kern w:val="2"/>
                              <w:sz w:val="18"/>
                              <w:szCs w:val="18"/>
                              <w:lang w:val="en-US" w:eastAsia="zh-CN" w:bidi="ar-SA"/>
                            </w:rPr>
                            <w:fldChar w:fldCharType="separate"/>
                          </w:r>
                          <w:r>
                            <w:rPr>
                              <w:rStyle w:val="7"/>
                              <w:rFonts w:ascii="Times New Roman" w:hAnsi="Times New Roman" w:eastAsia="宋体" w:cs="Times New Roman"/>
                              <w:kern w:val="2"/>
                              <w:sz w:val="18"/>
                              <w:szCs w:val="18"/>
                              <w:lang w:val="en-US" w:eastAsia="zh-CN" w:bidi="ar-SA"/>
                            </w:rPr>
                            <w:t>7</w:t>
                          </w:r>
                          <w:r>
                            <w:rPr>
                              <w:rStyle w:val="7"/>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2"/>
                      <w:widowControl w:val="0"/>
                      <w:snapToGrid w:val="0"/>
                      <w:jc w:val="left"/>
                      <w:rPr>
                        <w:rStyle w:val="7"/>
                        <w:rFonts w:ascii="Times New Roman" w:hAnsi="Times New Roman" w:eastAsia="宋体" w:cs="Times New Roman"/>
                        <w:kern w:val="2"/>
                        <w:sz w:val="18"/>
                        <w:szCs w:val="18"/>
                        <w:lang w:val="en-US" w:eastAsia="zh-CN" w:bidi="ar-SA"/>
                      </w:rPr>
                    </w:pPr>
                    <w:r>
                      <w:rPr>
                        <w:rStyle w:val="7"/>
                        <w:rFonts w:ascii="Times New Roman" w:hAnsi="Times New Roman" w:eastAsia="宋体" w:cs="Times New Roman"/>
                        <w:kern w:val="2"/>
                        <w:sz w:val="18"/>
                        <w:szCs w:val="18"/>
                        <w:lang w:val="en-US" w:eastAsia="zh-CN" w:bidi="ar-SA"/>
                      </w:rPr>
                      <w:fldChar w:fldCharType="begin"/>
                    </w:r>
                    <w:r>
                      <w:rPr>
                        <w:rStyle w:val="7"/>
                        <w:rFonts w:ascii="Times New Roman" w:hAnsi="Times New Roman" w:eastAsia="宋体" w:cs="Times New Roman"/>
                        <w:kern w:val="2"/>
                        <w:sz w:val="18"/>
                        <w:szCs w:val="18"/>
                        <w:lang w:val="en-US" w:eastAsia="zh-CN" w:bidi="ar-SA"/>
                      </w:rPr>
                      <w:instrText xml:space="preserve"> PAGE  \* MERGEFORMAT </w:instrText>
                    </w:r>
                    <w:r>
                      <w:rPr>
                        <w:rStyle w:val="7"/>
                        <w:rFonts w:ascii="Times New Roman" w:hAnsi="Times New Roman" w:eastAsia="宋体" w:cs="Times New Roman"/>
                        <w:kern w:val="2"/>
                        <w:sz w:val="18"/>
                        <w:szCs w:val="18"/>
                        <w:lang w:val="en-US" w:eastAsia="zh-CN" w:bidi="ar-SA"/>
                      </w:rPr>
                      <w:fldChar w:fldCharType="separate"/>
                    </w:r>
                    <w:r>
                      <w:rPr>
                        <w:rStyle w:val="7"/>
                        <w:rFonts w:ascii="Times New Roman" w:hAnsi="Times New Roman" w:eastAsia="宋体" w:cs="Times New Roman"/>
                        <w:kern w:val="2"/>
                        <w:sz w:val="18"/>
                        <w:szCs w:val="18"/>
                        <w:lang w:val="en-US" w:eastAsia="zh-CN" w:bidi="ar-SA"/>
                      </w:rPr>
                      <w:t>7</w:t>
                    </w:r>
                    <w:r>
                      <w:rPr>
                        <w:rStyle w:val="7"/>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rPr>
          <w:rFonts w:hint="eastAsia" w:ascii="宋体" w:hAnsi="宋体" w:eastAsia="宋体" w:cs="宋体"/>
          <w:kern w:val="0"/>
          <w:sz w:val="24"/>
          <w:szCs w:val="24"/>
        </w:rPr>
      </w:pPr>
      <w:r>
        <w:rPr>
          <w:rStyle w:val="8"/>
          <w:rFonts w:ascii="Calibri" w:hAnsi="Calibri" w:eastAsia="宋体" w:cs="Times New Roman"/>
          <w:szCs w:val="22"/>
        </w:rPr>
        <w:footnoteRef/>
      </w:r>
      <w:r>
        <w:rPr>
          <w:rFonts w:ascii="Calibri" w:hAnsi="Calibri" w:eastAsia="宋体" w:cs="Times New Roman"/>
          <w:szCs w:val="22"/>
          <w:highlight w:val="white"/>
        </w:rPr>
        <w:t xml:space="preserve"> </w:t>
      </w:r>
      <w:r>
        <w:rPr>
          <w:rFonts w:ascii="黑体" w:hAnsi="黑体" w:eastAsia="黑体" w:cs="Times New Roman"/>
          <w:kern w:val="0"/>
          <w:sz w:val="18"/>
          <w:szCs w:val="20"/>
          <w:highlight w:val="white"/>
        </w:rPr>
        <w:t>所有否决投标的条款标明*号。未标明*号的条款不得作为否决投标的条款。</w:t>
      </w:r>
    </w:p>
  </w:footnote>
  <w:footnote w:id="1">
    <w:p>
      <w:pPr>
        <w:pStyle w:val="4"/>
        <w:spacing w:line="300" w:lineRule="atLeast"/>
        <w:ind w:left="180" w:hanging="210" w:hangingChars="100"/>
        <w:rPr>
          <w:szCs w:val="18"/>
        </w:rPr>
      </w:pPr>
      <w:r>
        <w:rPr>
          <w:rStyle w:val="8"/>
          <w:rFonts w:ascii="Calibri" w:hAnsi="Calibri"/>
          <w:kern w:val="2"/>
          <w:sz w:val="21"/>
          <w:szCs w:val="18"/>
        </w:rPr>
        <w:footnoteRef/>
      </w:r>
      <w:r>
        <w:rPr>
          <w:szCs w:val="18"/>
          <w:highlight w:val="white"/>
        </w:rPr>
        <w:t xml:space="preserve"> </w:t>
      </w:r>
      <w:r>
        <w:rPr>
          <w:rFonts w:ascii="黑体" w:hAnsi="黑体" w:eastAsia="黑体"/>
          <w:highlight w:val="white"/>
        </w:rPr>
        <w:t>“</w:t>
      </w:r>
      <w:r>
        <w:rPr>
          <w:rFonts w:hint="eastAsia" w:ascii="黑体" w:hAnsi="黑体" w:eastAsia="黑体"/>
          <w:highlight w:val="white"/>
        </w:rPr>
        <w:t>评标办法前附表</w:t>
      </w:r>
      <w:r>
        <w:rPr>
          <w:rFonts w:ascii="黑体" w:hAnsi="黑体" w:eastAsia="黑体"/>
          <w:highlight w:val="white"/>
        </w:rPr>
        <w:t>”</w:t>
      </w:r>
      <w:r>
        <w:rPr>
          <w:rFonts w:hint="eastAsia" w:ascii="黑体" w:hAnsi="黑体" w:eastAsia="黑体"/>
          <w:highlight w:val="white"/>
        </w:rPr>
        <w:t>用于明确评标的方法、因素、标准和程序。招标人应根据招标项目具体特点和实际需要，详细列明全部评审因素、标准，没有列明的因素和标准不得作为评标的依据。</w:t>
      </w:r>
    </w:p>
  </w:footnote>
  <w:footnote w:id="2">
    <w:p>
      <w:pPr>
        <w:pStyle w:val="4"/>
        <w:spacing w:line="280" w:lineRule="atLeast"/>
        <w:ind w:left="180" w:hanging="210" w:hangingChars="100"/>
        <w:rPr>
          <w:rFonts w:ascii="黑体" w:hAnsi="黑体" w:eastAsia="黑体"/>
          <w:szCs w:val="18"/>
        </w:rPr>
      </w:pPr>
      <w:r>
        <w:rPr>
          <w:rStyle w:val="8"/>
          <w:rFonts w:ascii="黑体" w:hAnsi="黑体" w:eastAsia="黑体"/>
          <w:kern w:val="2"/>
          <w:sz w:val="21"/>
          <w:szCs w:val="18"/>
        </w:rPr>
        <w:footnoteRef/>
      </w:r>
      <w:r>
        <w:rPr>
          <w:rFonts w:ascii="黑体" w:hAnsi="黑体" w:eastAsia="黑体"/>
          <w:szCs w:val="18"/>
          <w:highlight w:val="white"/>
        </w:rPr>
        <w:t xml:space="preserve"> </w:t>
      </w:r>
      <w:r>
        <w:rPr>
          <w:rFonts w:hint="eastAsia" w:ascii="黑体" w:hAnsi="黑体" w:eastAsia="黑体"/>
          <w:highlight w:val="white"/>
        </w:rPr>
        <w:t>具体数值由招标人依据项目特点和实际需要予以明确。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kinsoku w:val="0"/>
      <w:autoSpaceDE w:val="0"/>
      <w:autoSpaceDN w:val="0"/>
      <w:adjustRightInd w:val="0"/>
      <w:snapToGrid w:val="0"/>
      <w:spacing w:line="219" w:lineRule="auto"/>
      <w:ind w:right="252"/>
      <w:jc w:val="right"/>
      <w:textAlignment w:val="baseline"/>
      <w:rPr>
        <w:rStyle w:val="7"/>
        <w:rFonts w:ascii="黑体" w:hAnsi="黑体" w:eastAsia="黑体" w:cs="黑体"/>
        <w:snapToGrid w:val="0"/>
        <w:color w:val="000000"/>
        <w:kern w:val="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kinsoku w:val="0"/>
      <w:autoSpaceDE w:val="0"/>
      <w:autoSpaceDN w:val="0"/>
      <w:adjustRightInd w:val="0"/>
      <w:snapToGrid w:val="0"/>
      <w:spacing w:line="219" w:lineRule="auto"/>
      <w:ind w:right="55"/>
      <w:jc w:val="right"/>
      <w:textAlignment w:val="baseline"/>
      <w:rPr>
        <w:rStyle w:val="7"/>
        <w:rFonts w:ascii="黑体" w:hAnsi="黑体" w:eastAsia="黑体" w:cs="黑体"/>
        <w:snapToGrid w:val="0"/>
        <w:color w:val="000000"/>
        <w:kern w:val="0"/>
        <w:sz w:val="21"/>
        <w:szCs w:val="21"/>
      </w:rPr>
    </w:pPr>
    <w:r>
      <w:rPr>
        <w:rFonts w:ascii="Arial" w:hAnsi="Arial" w:eastAsia="Arial" w:cs="Arial"/>
        <w:snapToGrid w:val="0"/>
        <w:color w:val="000000"/>
        <w:kern w:val="0"/>
        <w:szCs w:val="21"/>
      </w:rPr>
      <mc:AlternateContent>
        <mc:Choice Requires="wps">
          <w:drawing>
            <wp:anchor distT="0" distB="0" distL="114300" distR="114300" simplePos="0" relativeHeight="251659264" behindDoc="0" locked="0" layoutInCell="0" allowOverlap="1">
              <wp:simplePos x="0" y="0"/>
              <wp:positionH relativeFrom="page">
                <wp:posOffset>1124585</wp:posOffset>
              </wp:positionH>
              <wp:positionV relativeFrom="page">
                <wp:posOffset>725170</wp:posOffset>
              </wp:positionV>
              <wp:extent cx="5311775"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5311775" cy="6350"/>
                      </a:xfrm>
                      <a:custGeom>
                        <a:avLst/>
                        <a:gdLst/>
                        <a:ahLst/>
                        <a:cxnLst/>
                        <a:pathLst>
                          <a:path w="8365" h="10">
                            <a:moveTo>
                              <a:pt x="0" y="9"/>
                            </a:moveTo>
                            <a:lnTo>
                              <a:pt x="8365" y="9"/>
                            </a:lnTo>
                            <a:lnTo>
                              <a:pt x="8365"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5pt;margin-top:57.1pt;height:0.5pt;width:418.25pt;mso-position-horizontal-relative:page;mso-position-vertical-relative:page;z-index:251659264;mso-width-relative:page;mso-height-relative:page;" fillcolor="#000000" filled="t" stroked="f" coordsize="8365,10" o:allowincell="f" o:gfxdata="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lfIW2gAAAAwBAAAP&#10;AAAAAAAAAAEAIAAAACIAAABkcnMvZG93bnJldi54bWxQSwECFAAUAAAACACHTuJAKdbSrBYCAAB5&#10;BAAADgAAAAAAAAABACAAAAApAQAAZHJzL2Uyb0RvYy54bWxQSwUGAAAAAAYABgBZAQAAsQUAAAAA&#10;" path="m0,9l8365,9,8365,0,0,0,0,9xe">
              <v:fill on="t" focussize="0,0"/>
              <v:stroke on="f"/>
              <v:imagedata o:title=""/>
              <o:lock v:ext="edit" aspectratio="f"/>
            </v:shape>
          </w:pict>
        </mc:Fallback>
      </mc:AlternateContent>
    </w:r>
    <w:r>
      <w:rPr>
        <w:rStyle w:val="7"/>
        <w:rFonts w:ascii="黑体" w:hAnsi="黑体" w:eastAsia="黑体" w:cs="黑体"/>
        <w:snapToGrid w:val="0"/>
        <w:color w:val="000000"/>
        <w:spacing w:val="2"/>
        <w:kern w:val="0"/>
        <w:sz w:val="21"/>
        <w:szCs w:val="21"/>
      </w:rPr>
      <w:t>湖南省公路工程标准勘察</w:t>
    </w:r>
    <w:r>
      <w:rPr>
        <w:rStyle w:val="7"/>
        <w:rFonts w:ascii="黑体" w:hAnsi="黑体" w:eastAsia="黑体" w:cs="黑体"/>
        <w:snapToGrid w:val="0"/>
        <w:color w:val="000000"/>
        <w:spacing w:val="1"/>
        <w:kern w:val="0"/>
        <w:sz w:val="21"/>
        <w:szCs w:val="21"/>
      </w:rPr>
      <w:t>设计招标文件(2019 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D47FA"/>
    <w:multiLevelType w:val="singleLevel"/>
    <w:tmpl w:val="7BBD47F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NTM1YWRhMzA2MjhhZWUzNWY4NGU0OWY5ZDllZjIifQ=="/>
  </w:docVars>
  <w:rsids>
    <w:rsidRoot w:val="00000000"/>
    <w:rsid w:val="03C77121"/>
    <w:rsid w:val="06345843"/>
    <w:rsid w:val="09A116A7"/>
    <w:rsid w:val="15B2186D"/>
    <w:rsid w:val="18855F57"/>
    <w:rsid w:val="23815AA6"/>
    <w:rsid w:val="2B0F281A"/>
    <w:rsid w:val="33351FCF"/>
    <w:rsid w:val="370357BE"/>
    <w:rsid w:val="3BCA346E"/>
    <w:rsid w:val="4AE76C77"/>
    <w:rsid w:val="4D0E1068"/>
    <w:rsid w:val="683F43D4"/>
    <w:rsid w:val="7345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3"/>
    <w:autoRedefine/>
    <w:qFormat/>
    <w:uiPriority w:val="0"/>
    <w:pPr>
      <w:widowControl w:val="0"/>
      <w:spacing w:before="260" w:after="260"/>
      <w:jc w:val="both"/>
      <w:outlineLvl w:val="1"/>
    </w:pPr>
    <w:rPr>
      <w:rFonts w:ascii="宋体" w:hAnsi="宋体" w:eastAsia="黑体" w:cs="Times New Roman"/>
      <w:bCs/>
      <w:iCs/>
      <w:kern w:val="2"/>
      <w:sz w:val="28"/>
      <w:szCs w:val="20"/>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footnote text"/>
    <w:autoRedefine/>
    <w:qFormat/>
    <w:uiPriority w:val="0"/>
    <w:pPr>
      <w:widowControl w:val="0"/>
      <w:adjustRightInd w:val="0"/>
      <w:snapToGrid w:val="0"/>
      <w:spacing w:line="420" w:lineRule="atLeast"/>
      <w:ind w:firstLine="454"/>
      <w:jc w:val="left"/>
      <w:textAlignment w:val="baseline"/>
    </w:pPr>
    <w:rPr>
      <w:rFonts w:ascii="Times New Roman" w:hAnsi="Times New Roman" w:eastAsia="宋体" w:cs="Times New Roman"/>
      <w:kern w:val="0"/>
      <w:sz w:val="18"/>
      <w:szCs w:val="20"/>
      <w:lang w:val="en-US" w:eastAsia="zh-CN" w:bidi="ar-SA"/>
    </w:rPr>
  </w:style>
  <w:style w:type="paragraph" w:styleId="5">
    <w:name w:val="Title"/>
    <w:autoRedefine/>
    <w:qFormat/>
    <w:uiPriority w:val="0"/>
    <w:pPr>
      <w:widowControl w:val="0"/>
      <w:adjustRightInd w:val="0"/>
      <w:spacing w:before="240" w:after="60" w:line="420" w:lineRule="atLeast"/>
      <w:jc w:val="center"/>
      <w:textAlignment w:val="baseline"/>
      <w:outlineLvl w:val="0"/>
    </w:pPr>
    <w:rPr>
      <w:rFonts w:ascii="Arial" w:hAnsi="Arial" w:eastAsia="宋体" w:cs="Times New Roman"/>
      <w:b/>
      <w:kern w:val="0"/>
      <w:sz w:val="32"/>
      <w:szCs w:val="20"/>
      <w:lang w:val="en-US" w:eastAsia="zh-CN" w:bidi="ar-SA"/>
    </w:rPr>
  </w:style>
  <w:style w:type="character" w:styleId="8">
    <w:name w:val="footnote reference"/>
    <w:autoRedefine/>
    <w:qFormat/>
    <w:uiPriority w:val="0"/>
    <w:rPr>
      <w:vertAlign w:val="superscript"/>
    </w:rPr>
  </w:style>
  <w:style w:type="paragraph" w:customStyle="1" w:styleId="9">
    <w:name w:val="正文_0"/>
    <w:next w:val="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标题 1_0"/>
    <w:next w:val="9"/>
    <w:autoRedefine/>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table" w:customStyle="1" w:styleId="11">
    <w:name w:val="Table Normal"/>
    <w:autoRedefine/>
    <w:unhideWhenUsed/>
    <w:qFormat/>
    <w:uiPriority w:val="0"/>
    <w:tblPr>
      <w:tblCellMar>
        <w:top w:w="0" w:type="dxa"/>
        <w:left w:w="0" w:type="dxa"/>
        <w:bottom w:w="0" w:type="dxa"/>
        <w:right w:w="0" w:type="dxa"/>
      </w:tblCellMar>
    </w:tblPr>
  </w:style>
  <w:style w:type="paragraph" w:customStyle="1" w:styleId="12">
    <w:name w:val="正文_1"/>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1_1"/>
    <w:next w:val="12"/>
    <w:autoRedefine/>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customStyle="1" w:styleId="14">
    <w:name w:val="正文_2"/>
    <w:next w:val="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1_2"/>
    <w:next w:val="14"/>
    <w:autoRedefine/>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table" w:customStyle="1" w:styleId="16">
    <w:name w:val="Table Normal_0"/>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2024-01-22T23:08:00Z</dcterms:created>
  <dc:creator>Lenovo</dc:creator>
  <cp:lastModifiedBy>曹李璐</cp:lastModifiedBy>
  <dcterms:modified xsi:type="dcterms:W3CDTF">2024-04-08T10:13:26Z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2CE729BBA7744550ABFC1D7D19AB9DEE_13</vt:lpwstr>
  </property>
</Properties>
</file>