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440" w:lineRule="atLeast"/>
        <w:jc w:val="center"/>
        <w:rPr>
          <w:rFonts w:eastAsia="黑体"/>
          <w:sz w:val="28"/>
          <w:szCs w:val="28"/>
          <w:u w:val="single"/>
        </w:rPr>
      </w:pPr>
      <w:r>
        <w:rPr>
          <w:rFonts w:hint="eastAsia" w:eastAsia="黑体"/>
          <w:sz w:val="28"/>
          <w:szCs w:val="28"/>
          <w:u w:val="single"/>
        </w:rPr>
        <w:t>湖南省高速公路集团桥梁结构健康监测系统（平台）建设项目</w:t>
      </w:r>
    </w:p>
    <w:p>
      <w:pPr>
        <w:pStyle w:val="6"/>
        <w:spacing w:line="440" w:lineRule="atLeast"/>
        <w:jc w:val="center"/>
        <w:rPr>
          <w:rFonts w:eastAsia="黑体"/>
          <w:sz w:val="28"/>
          <w:szCs w:val="28"/>
        </w:rPr>
      </w:pPr>
      <w:r>
        <w:rPr>
          <w:rFonts w:eastAsia="黑体"/>
          <w:sz w:val="28"/>
          <w:szCs w:val="28"/>
        </w:rPr>
        <w:t>咨询服务招标公告</w:t>
      </w:r>
    </w:p>
    <w:p>
      <w:pPr>
        <w:pStyle w:val="10"/>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eastAsia="黑体"/>
          <w:sz w:val="20"/>
          <w:szCs w:val="20"/>
        </w:rPr>
      </w:pPr>
      <w:bookmarkStart w:id="0" w:name="_Toc503235714"/>
      <w:bookmarkStart w:id="1" w:name="_Toc510015649"/>
      <w:r>
        <w:rPr>
          <w:rFonts w:hint="eastAsia" w:eastAsia="黑体"/>
          <w:sz w:val="20"/>
          <w:szCs w:val="20"/>
        </w:rPr>
        <w:t>投标截止时间：2022年7月25日</w:t>
      </w:r>
      <w:r>
        <w:rPr>
          <w:rFonts w:eastAsia="黑体"/>
          <w:sz w:val="20"/>
          <w:szCs w:val="20"/>
        </w:rPr>
        <w:t>10</w:t>
      </w:r>
      <w:r>
        <w:rPr>
          <w:rFonts w:hint="eastAsia" w:eastAsia="黑体"/>
          <w:sz w:val="20"/>
          <w:szCs w:val="20"/>
        </w:rPr>
        <w:t>:</w:t>
      </w:r>
      <w:r>
        <w:rPr>
          <w:rFonts w:hint="eastAsia" w:eastAsia="黑体"/>
          <w:sz w:val="20"/>
          <w:szCs w:val="20"/>
          <w:lang w:val="en-US" w:eastAsia="zh-CN"/>
        </w:rPr>
        <w:t>0</w:t>
      </w:r>
      <w:r>
        <w:rPr>
          <w:rFonts w:hint="eastAsia" w:eastAsia="黑体"/>
          <w:sz w:val="20"/>
          <w:szCs w:val="20"/>
        </w:rPr>
        <w:t>0</w:t>
      </w:r>
    </w:p>
    <w:p>
      <w:pPr>
        <w:pStyle w:val="6"/>
        <w:keepNext w:val="0"/>
        <w:keepLines w:val="0"/>
        <w:pageBreakBefore w:val="0"/>
        <w:widowControl w:val="0"/>
        <w:kinsoku/>
        <w:wordWrap/>
        <w:overflowPunct/>
        <w:topLinePunct w:val="0"/>
        <w:autoSpaceDE/>
        <w:autoSpaceDN/>
        <w:bidi w:val="0"/>
        <w:adjustRightInd/>
        <w:snapToGrid/>
        <w:spacing w:line="440" w:lineRule="atLeast"/>
        <w:ind w:firstLine="0" w:firstLineChars="0"/>
        <w:jc w:val="center"/>
        <w:textAlignment w:val="auto"/>
        <w:rPr>
          <w:sz w:val="24"/>
          <w:szCs w:val="24"/>
        </w:rPr>
      </w:pPr>
      <w:r>
        <w:rPr>
          <w:rFonts w:hint="eastAsia" w:eastAsia="黑体"/>
          <w:sz w:val="20"/>
          <w:szCs w:val="20"/>
        </w:rPr>
        <w:t>开标时间：同投标截止时间</w:t>
      </w:r>
    </w:p>
    <w:p>
      <w:pPr>
        <w:pStyle w:val="6"/>
        <w:keepNext/>
        <w:keepLines/>
        <w:spacing w:before="240" w:after="240" w:line="440" w:lineRule="atLeast"/>
        <w:outlineLvl w:val="1"/>
        <w:rPr>
          <w:b/>
          <w:bCs/>
          <w:kern w:val="44"/>
          <w:sz w:val="28"/>
          <w:szCs w:val="28"/>
        </w:rPr>
      </w:pPr>
      <w:r>
        <w:rPr>
          <w:b/>
          <w:bCs/>
          <w:kern w:val="44"/>
          <w:sz w:val="28"/>
          <w:szCs w:val="28"/>
        </w:rPr>
        <w:t xml:space="preserve">1. </w:t>
      </w:r>
      <w:r>
        <w:rPr>
          <w:rFonts w:eastAsia="黑体"/>
          <w:b/>
          <w:bCs/>
          <w:kern w:val="44"/>
          <w:sz w:val="28"/>
          <w:szCs w:val="28"/>
        </w:rPr>
        <w:t>招标条件</w:t>
      </w:r>
      <w:bookmarkEnd w:id="0"/>
      <w:bookmarkEnd w:id="1"/>
    </w:p>
    <w:p>
      <w:pPr>
        <w:pStyle w:val="6"/>
        <w:spacing w:line="440" w:lineRule="atLeast"/>
        <w:ind w:firstLine="480" w:firstLineChars="200"/>
        <w:rPr>
          <w:sz w:val="24"/>
          <w:szCs w:val="24"/>
        </w:rPr>
      </w:pPr>
      <w:r>
        <w:rPr>
          <w:sz w:val="24"/>
          <w:szCs w:val="24"/>
        </w:rPr>
        <w:t>本招标项目</w:t>
      </w:r>
      <w:r>
        <w:rPr>
          <w:rFonts w:hint="eastAsia"/>
          <w:sz w:val="24"/>
          <w:szCs w:val="24"/>
          <w:u w:val="single"/>
        </w:rPr>
        <w:t>湖南省高速公路集团桥梁结构健康监测系统（平台）建设项目</w:t>
      </w:r>
      <w:r>
        <w:rPr>
          <w:sz w:val="24"/>
          <w:szCs w:val="24"/>
        </w:rPr>
        <w:t>（项目名称）已由</w:t>
      </w:r>
      <w:r>
        <w:rPr>
          <w:rFonts w:hint="eastAsia"/>
          <w:sz w:val="24"/>
          <w:szCs w:val="24"/>
          <w:u w:val="single"/>
        </w:rPr>
        <w:t>湖南省交通运输厅</w:t>
      </w:r>
      <w:r>
        <w:rPr>
          <w:sz w:val="24"/>
          <w:szCs w:val="24"/>
        </w:rPr>
        <w:t>（项目审批、核准或备案机关名称）以</w:t>
      </w:r>
      <w:permStart w:id="0" w:edGrp="everyone"/>
      <w:r>
        <w:rPr>
          <w:sz w:val="24"/>
          <w:szCs w:val="24"/>
          <w:u w:val="single"/>
        </w:rPr>
        <w:t>湘</w:t>
      </w:r>
      <w:r>
        <w:rPr>
          <w:rFonts w:hint="eastAsia"/>
          <w:sz w:val="24"/>
          <w:szCs w:val="24"/>
          <w:u w:val="single"/>
        </w:rPr>
        <w:t>交批〔2022〕22</w:t>
      </w:r>
      <w:permEnd w:id="0"/>
      <w:r>
        <w:rPr>
          <w:sz w:val="24"/>
          <w:szCs w:val="24"/>
        </w:rPr>
        <w:t>（批文名称及编号）批准建设，项目业主为</w:t>
      </w:r>
      <w:r>
        <w:rPr>
          <w:rFonts w:hint="eastAsia"/>
          <w:sz w:val="24"/>
          <w:szCs w:val="24"/>
          <w:u w:val="single"/>
        </w:rPr>
        <w:t>湖南省高速公路集团有限公司</w:t>
      </w:r>
      <w:r>
        <w:rPr>
          <w:sz w:val="24"/>
          <w:szCs w:val="24"/>
        </w:rPr>
        <w:t>，建设资金来自</w:t>
      </w:r>
      <w:r>
        <w:rPr>
          <w:rFonts w:hint="eastAsia"/>
          <w:sz w:val="24"/>
          <w:szCs w:val="24"/>
          <w:u w:val="single"/>
        </w:rPr>
        <w:t>项目单位自筹</w:t>
      </w:r>
      <w:r>
        <w:rPr>
          <w:sz w:val="24"/>
          <w:szCs w:val="24"/>
        </w:rPr>
        <w:t>（资金来源），出资比例为</w:t>
      </w:r>
      <w:r>
        <w:rPr>
          <w:rFonts w:hint="eastAsia"/>
          <w:sz w:val="24"/>
          <w:szCs w:val="24"/>
          <w:u w:val="single"/>
        </w:rPr>
        <w:t>100%</w:t>
      </w:r>
      <w:r>
        <w:rPr>
          <w:sz w:val="24"/>
          <w:szCs w:val="24"/>
          <w:u w:val="single"/>
        </w:rPr>
        <w:t xml:space="preserve"> </w:t>
      </w:r>
      <w:r>
        <w:rPr>
          <w:sz w:val="24"/>
          <w:szCs w:val="24"/>
        </w:rPr>
        <w:t>，招标人为</w:t>
      </w:r>
      <w:r>
        <w:rPr>
          <w:rFonts w:hint="eastAsia"/>
          <w:sz w:val="24"/>
          <w:szCs w:val="24"/>
          <w:u w:val="single"/>
        </w:rPr>
        <w:t>湖南省高速公路集团有限公司</w:t>
      </w:r>
      <w:r>
        <w:rPr>
          <w:sz w:val="24"/>
          <w:szCs w:val="24"/>
        </w:rPr>
        <w:t xml:space="preserve">。项目已具备招标条件，现对该项目的咨询服务进行公开招标。 </w:t>
      </w:r>
    </w:p>
    <w:p>
      <w:pPr>
        <w:pStyle w:val="6"/>
        <w:keepNext/>
        <w:keepLines/>
        <w:spacing w:before="240" w:after="240" w:line="440" w:lineRule="atLeast"/>
        <w:outlineLvl w:val="1"/>
        <w:rPr>
          <w:rFonts w:eastAsia="黑体"/>
          <w:b/>
          <w:bCs/>
          <w:kern w:val="44"/>
          <w:sz w:val="28"/>
          <w:szCs w:val="28"/>
        </w:rPr>
      </w:pPr>
      <w:bookmarkStart w:id="2" w:name="_Toc503235715"/>
      <w:bookmarkStart w:id="3" w:name="_Toc510015650"/>
      <w:r>
        <w:rPr>
          <w:rFonts w:eastAsia="黑体"/>
          <w:b/>
          <w:bCs/>
          <w:kern w:val="44"/>
          <w:sz w:val="28"/>
          <w:szCs w:val="28"/>
        </w:rPr>
        <w:t>2. 项目概况与招标范围</w:t>
      </w:r>
      <w:bookmarkEnd w:id="2"/>
      <w:bookmarkEnd w:id="3"/>
    </w:p>
    <w:p>
      <w:pPr>
        <w:pStyle w:val="7"/>
        <w:spacing w:line="440" w:lineRule="atLeast"/>
        <w:ind w:firstLine="540" w:firstLineChars="225"/>
        <w:rPr>
          <w:rFonts w:ascii="Times New Roman" w:hAnsi="Times New Roman" w:eastAsia="黑体"/>
          <w:sz w:val="24"/>
          <w:szCs w:val="24"/>
        </w:rPr>
      </w:pPr>
      <w:r>
        <w:rPr>
          <w:rFonts w:ascii="Times New Roman" w:hAnsi="Times New Roman" w:eastAsia="黑体"/>
          <w:sz w:val="24"/>
          <w:szCs w:val="24"/>
        </w:rPr>
        <w:t>2.1 建设地点：湖南省境内。</w:t>
      </w:r>
    </w:p>
    <w:p>
      <w:pPr>
        <w:pStyle w:val="7"/>
        <w:spacing w:line="440" w:lineRule="atLeast"/>
        <w:ind w:firstLine="540" w:firstLineChars="225"/>
        <w:rPr>
          <w:rFonts w:ascii="Times New Roman" w:hAnsi="Times New Roman" w:eastAsia="黑体"/>
          <w:sz w:val="24"/>
          <w:szCs w:val="24"/>
        </w:rPr>
      </w:pPr>
      <w:r>
        <w:rPr>
          <w:rFonts w:ascii="Times New Roman" w:hAnsi="Times New Roman" w:eastAsia="黑体"/>
          <w:sz w:val="24"/>
          <w:szCs w:val="24"/>
        </w:rPr>
        <w:t>2.2 项目建设规模及招标范围：</w:t>
      </w:r>
      <w:r>
        <w:rPr>
          <w:rFonts w:hint="eastAsia" w:ascii="Times New Roman" w:hAnsi="Times New Roman" w:eastAsia="黑体"/>
          <w:sz w:val="24"/>
          <w:szCs w:val="24"/>
        </w:rPr>
        <w:t>本次咨询服务包含对：赤石特大桥、矮寨特大桥、湘江特大桥、洞庭湖特大桥、洣水河特大桥等5座特大桥进行桥梁健康监测系统建设及湖南省高速公路集团桥梁结构健康监测系统（平台）建设</w:t>
      </w:r>
      <w:r>
        <w:rPr>
          <w:rFonts w:ascii="Times New Roman" w:hAnsi="Times New Roman" w:eastAsia="黑体"/>
          <w:sz w:val="24"/>
          <w:szCs w:val="24"/>
        </w:rPr>
        <w:t>。</w:t>
      </w:r>
    </w:p>
    <w:p>
      <w:pPr>
        <w:pStyle w:val="10"/>
        <w:spacing w:line="440" w:lineRule="atLeast"/>
        <w:ind w:firstLine="540" w:firstLineChars="225"/>
        <w:rPr>
          <w:rFonts w:eastAsia="黑体"/>
          <w:sz w:val="24"/>
          <w:szCs w:val="24"/>
        </w:rPr>
      </w:pPr>
      <w:r>
        <w:rPr>
          <w:rFonts w:eastAsia="黑体"/>
          <w:sz w:val="24"/>
          <w:szCs w:val="24"/>
        </w:rPr>
        <w:t>本次咨询服务招标工程共分为</w:t>
      </w:r>
      <w:r>
        <w:rPr>
          <w:rFonts w:hint="eastAsia" w:eastAsia="黑体"/>
          <w:sz w:val="24"/>
          <w:szCs w:val="24"/>
        </w:rPr>
        <w:t>2</w:t>
      </w:r>
      <w:r>
        <w:rPr>
          <w:rFonts w:eastAsia="黑体"/>
          <w:sz w:val="24"/>
          <w:szCs w:val="24"/>
        </w:rPr>
        <w:t>个标段。其标段划分及工程内容等见下表。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1100"/>
        <w:gridCol w:w="6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blHeader/>
        </w:trPr>
        <w:tc>
          <w:tcPr>
            <w:tcW w:w="1025" w:type="dxa"/>
            <w:vAlign w:val="center"/>
          </w:tcPr>
          <w:p>
            <w:pPr>
              <w:pStyle w:val="7"/>
              <w:spacing w:line="440" w:lineRule="atLeast"/>
              <w:jc w:val="center"/>
              <w:rPr>
                <w:rFonts w:ascii="Times New Roman" w:hAnsi="Times New Roman" w:eastAsia="黑体"/>
                <w:sz w:val="24"/>
                <w:szCs w:val="24"/>
              </w:rPr>
            </w:pPr>
            <w:r>
              <w:rPr>
                <w:rFonts w:ascii="Times New Roman" w:hAnsi="Times New Roman" w:eastAsia="黑体"/>
                <w:sz w:val="24"/>
                <w:szCs w:val="24"/>
              </w:rPr>
              <w:t>标段号</w:t>
            </w:r>
          </w:p>
        </w:tc>
        <w:tc>
          <w:tcPr>
            <w:tcW w:w="1100" w:type="dxa"/>
            <w:vAlign w:val="center"/>
          </w:tcPr>
          <w:p>
            <w:pPr>
              <w:pStyle w:val="7"/>
              <w:spacing w:line="440" w:lineRule="atLeast"/>
              <w:jc w:val="center"/>
              <w:rPr>
                <w:rFonts w:ascii="Times New Roman" w:hAnsi="Times New Roman" w:eastAsia="黑体"/>
                <w:sz w:val="24"/>
                <w:szCs w:val="24"/>
              </w:rPr>
            </w:pPr>
            <w:r>
              <w:rPr>
                <w:rFonts w:hint="eastAsia" w:ascii="Times New Roman" w:hAnsi="Times New Roman" w:eastAsia="黑体"/>
                <w:sz w:val="24"/>
                <w:szCs w:val="24"/>
              </w:rPr>
              <w:t>桥梁</w:t>
            </w:r>
          </w:p>
          <w:p>
            <w:pPr>
              <w:pStyle w:val="7"/>
              <w:spacing w:line="440" w:lineRule="atLeast"/>
              <w:jc w:val="center"/>
              <w:rPr>
                <w:rFonts w:ascii="Times New Roman" w:hAnsi="Times New Roman" w:eastAsia="黑体"/>
                <w:sz w:val="24"/>
                <w:szCs w:val="24"/>
              </w:rPr>
            </w:pPr>
            <w:r>
              <w:rPr>
                <w:rFonts w:hint="eastAsia" w:ascii="Times New Roman" w:hAnsi="Times New Roman" w:eastAsia="黑体"/>
                <w:sz w:val="24"/>
                <w:szCs w:val="24"/>
              </w:rPr>
              <w:t>名称</w:t>
            </w:r>
          </w:p>
        </w:tc>
        <w:tc>
          <w:tcPr>
            <w:tcW w:w="6397" w:type="dxa"/>
            <w:vAlign w:val="center"/>
          </w:tcPr>
          <w:p>
            <w:pPr>
              <w:pStyle w:val="7"/>
              <w:spacing w:line="440" w:lineRule="atLeast"/>
              <w:jc w:val="center"/>
              <w:rPr>
                <w:rFonts w:ascii="Times New Roman" w:hAnsi="Times New Roman" w:eastAsia="黑体"/>
                <w:sz w:val="24"/>
                <w:szCs w:val="24"/>
              </w:rPr>
            </w:pPr>
            <w:r>
              <w:rPr>
                <w:rFonts w:ascii="Times New Roman" w:hAnsi="Times New Roman" w:eastAsia="黑体"/>
                <w:sz w:val="24"/>
                <w:szCs w:val="24"/>
              </w:rPr>
              <w:t>招标范围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0" w:hRule="atLeast"/>
        </w:trPr>
        <w:tc>
          <w:tcPr>
            <w:tcW w:w="1025" w:type="dxa"/>
            <w:vMerge w:val="restart"/>
            <w:vAlign w:val="center"/>
          </w:tcPr>
          <w:p>
            <w:pPr>
              <w:pStyle w:val="7"/>
              <w:adjustRightInd w:val="0"/>
              <w:snapToGrid w:val="0"/>
              <w:spacing w:line="440" w:lineRule="atLeast"/>
              <w:jc w:val="center"/>
              <w:rPr>
                <w:rFonts w:ascii="Times New Roman" w:hAnsi="Times New Roman" w:eastAsia="黑体"/>
                <w:sz w:val="24"/>
                <w:szCs w:val="24"/>
              </w:rPr>
            </w:pPr>
            <w:r>
              <w:rPr>
                <w:rFonts w:hint="eastAsia" w:ascii="Times New Roman" w:hAnsi="Times New Roman" w:eastAsia="黑体"/>
                <w:sz w:val="24"/>
                <w:szCs w:val="24"/>
              </w:rPr>
              <w:t>第C1合同段</w:t>
            </w:r>
          </w:p>
        </w:tc>
        <w:tc>
          <w:tcPr>
            <w:tcW w:w="1100" w:type="dxa"/>
            <w:vAlign w:val="center"/>
          </w:tcPr>
          <w:p>
            <w:pPr>
              <w:pStyle w:val="8"/>
              <w:ind w:firstLine="0" w:firstLineChars="0"/>
              <w:jc w:val="center"/>
              <w:rPr>
                <w:rFonts w:ascii="宋体" w:hAnsi="宋体" w:cs="宋体"/>
                <w:sz w:val="24"/>
              </w:rPr>
            </w:pPr>
            <w:r>
              <w:rPr>
                <w:rFonts w:hint="eastAsia" w:ascii="宋体" w:hAnsi="宋体" w:cs="宋体"/>
                <w:sz w:val="24"/>
              </w:rPr>
              <w:t>赤石</w:t>
            </w:r>
          </w:p>
          <w:p>
            <w:pPr>
              <w:pStyle w:val="8"/>
              <w:ind w:firstLine="0" w:firstLineChars="0"/>
              <w:jc w:val="center"/>
              <w:rPr>
                <w:rFonts w:eastAsia="黑体"/>
                <w:sz w:val="24"/>
              </w:rPr>
            </w:pPr>
            <w:r>
              <w:rPr>
                <w:rFonts w:hint="eastAsia" w:ascii="宋体" w:hAnsi="宋体" w:cs="宋体"/>
                <w:sz w:val="24"/>
              </w:rPr>
              <w:t>大桥</w:t>
            </w:r>
          </w:p>
        </w:tc>
        <w:tc>
          <w:tcPr>
            <w:tcW w:w="6397" w:type="dxa"/>
            <w:vMerge w:val="restart"/>
            <w:vAlign w:val="center"/>
          </w:tcPr>
          <w:p>
            <w:pPr>
              <w:pStyle w:val="8"/>
              <w:ind w:firstLine="0" w:firstLineChars="0"/>
              <w:jc w:val="left"/>
              <w:rPr>
                <w:rFonts w:ascii="宋体" w:hAnsi="宋体" w:cs="宋体"/>
                <w:sz w:val="24"/>
              </w:rPr>
            </w:pPr>
            <w:r>
              <w:rPr>
                <w:rFonts w:hint="eastAsia" w:ascii="宋体" w:hAnsi="宋体" w:cs="宋体"/>
                <w:sz w:val="24"/>
              </w:rPr>
              <w:t>工程范围包括但不限于赤石大桥、矮寨大桥主桥健康监测系统的实施。结合项目特点及后续营运维护需要，工作内容包括但不限于：</w:t>
            </w:r>
          </w:p>
          <w:p>
            <w:pPr>
              <w:pStyle w:val="8"/>
              <w:ind w:firstLine="0" w:firstLineChars="0"/>
              <w:jc w:val="left"/>
              <w:rPr>
                <w:rFonts w:ascii="宋体" w:hAnsi="宋体" w:cs="宋体"/>
                <w:sz w:val="24"/>
              </w:rPr>
            </w:pPr>
            <w:r>
              <w:rPr>
                <w:rFonts w:hint="eastAsia" w:ascii="宋体" w:hAnsi="宋体" w:cs="宋体"/>
                <w:sz w:val="24"/>
              </w:rPr>
              <w:t>①、赤石大桥和矮寨大桥两座桥梁健康监测单桥子系统的硬件系统设备采购、安装、调试。</w:t>
            </w:r>
          </w:p>
          <w:p>
            <w:pPr>
              <w:pStyle w:val="8"/>
              <w:ind w:firstLine="0" w:firstLineChars="0"/>
              <w:jc w:val="left"/>
              <w:rPr>
                <w:rFonts w:ascii="宋体" w:hAnsi="宋体" w:cs="宋体"/>
                <w:sz w:val="24"/>
              </w:rPr>
            </w:pPr>
            <w:r>
              <w:rPr>
                <w:rFonts w:hint="eastAsia" w:ascii="宋体" w:hAnsi="宋体" w:cs="宋体"/>
                <w:sz w:val="24"/>
              </w:rPr>
              <w:t>②、赤石大桥和矮寨大桥两座桥梁健康监测单桥子系统现场采集软件开发、调试。采集软件应具备采集子系统所有数据、进行预处理并根据平台要求将数据上传至湖南省高速公路集团桥梁结构健康监测系统（平台）的功能。且软件接口开发必须保留与集团、部省级平台数据对接的接口。</w:t>
            </w:r>
          </w:p>
          <w:p>
            <w:pPr>
              <w:pStyle w:val="8"/>
              <w:ind w:firstLine="0" w:firstLineChars="0"/>
              <w:jc w:val="left"/>
              <w:rPr>
                <w:rFonts w:ascii="宋体" w:hAnsi="宋体" w:cs="宋体"/>
                <w:sz w:val="24"/>
              </w:rPr>
            </w:pPr>
            <w:r>
              <w:rPr>
                <w:rFonts w:hint="eastAsia" w:ascii="宋体" w:hAnsi="宋体" w:cs="宋体"/>
                <w:sz w:val="24"/>
              </w:rPr>
              <w:t>③、维护期内对赤石大桥和矮寨大桥两座桥梁子系统硬件设备进行维护。保证子系统硬件、采集软件的正常运行，数据正确及持续上传。</w:t>
            </w:r>
          </w:p>
          <w:p>
            <w:pPr>
              <w:pStyle w:val="8"/>
              <w:ind w:firstLine="0" w:firstLineChars="0"/>
              <w:jc w:val="left"/>
              <w:rPr>
                <w:rFonts w:eastAsia="黑体"/>
                <w:sz w:val="24"/>
              </w:rPr>
            </w:pPr>
            <w:r>
              <w:rPr>
                <w:rFonts w:hint="eastAsia" w:ascii="宋体" w:hAnsi="宋体" w:cs="宋体"/>
                <w:sz w:val="24"/>
              </w:rPr>
              <w:t>④、做好监测系统工程移交、系统使用手册编制、人员培训等服务工作。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025" w:type="dxa"/>
            <w:vMerge w:val="continue"/>
            <w:vAlign w:val="center"/>
          </w:tcPr>
          <w:p>
            <w:pPr>
              <w:pStyle w:val="7"/>
              <w:spacing w:line="440" w:lineRule="atLeast"/>
              <w:jc w:val="center"/>
              <w:rPr>
                <w:rFonts w:ascii="Times New Roman" w:hAnsi="Times New Roman" w:eastAsia="黑体"/>
                <w:sz w:val="24"/>
                <w:szCs w:val="24"/>
              </w:rPr>
            </w:pPr>
          </w:p>
        </w:tc>
        <w:tc>
          <w:tcPr>
            <w:tcW w:w="1100" w:type="dxa"/>
            <w:vAlign w:val="center"/>
          </w:tcPr>
          <w:p>
            <w:pPr>
              <w:pStyle w:val="8"/>
              <w:ind w:firstLine="0" w:firstLineChars="0"/>
              <w:jc w:val="center"/>
              <w:rPr>
                <w:rFonts w:ascii="宋体" w:hAnsi="宋体" w:cs="宋体"/>
                <w:sz w:val="24"/>
              </w:rPr>
            </w:pPr>
            <w:r>
              <w:rPr>
                <w:rFonts w:hint="eastAsia" w:ascii="宋体" w:hAnsi="宋体" w:cs="宋体"/>
                <w:sz w:val="24"/>
              </w:rPr>
              <w:t>矮寨</w:t>
            </w:r>
          </w:p>
          <w:p>
            <w:pPr>
              <w:pStyle w:val="8"/>
              <w:ind w:firstLine="0" w:firstLineChars="0"/>
              <w:jc w:val="center"/>
              <w:rPr>
                <w:rFonts w:eastAsia="黑体"/>
                <w:sz w:val="24"/>
              </w:rPr>
            </w:pPr>
            <w:r>
              <w:rPr>
                <w:rFonts w:hint="eastAsia" w:ascii="宋体" w:hAnsi="宋体" w:cs="宋体"/>
                <w:sz w:val="24"/>
              </w:rPr>
              <w:t>大桥</w:t>
            </w:r>
          </w:p>
        </w:tc>
        <w:tc>
          <w:tcPr>
            <w:tcW w:w="6397" w:type="dxa"/>
            <w:vMerge w:val="continue"/>
            <w:vAlign w:val="center"/>
          </w:tcPr>
          <w:p>
            <w:pPr>
              <w:pStyle w:val="7"/>
              <w:spacing w:line="440" w:lineRule="atLeast"/>
              <w:jc w:val="left"/>
              <w:rPr>
                <w:rFonts w:ascii="Times New Roman" w:hAnsi="Times New Roman" w:eastAsia="黑体"/>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3" w:hRule="atLeast"/>
        </w:trPr>
        <w:tc>
          <w:tcPr>
            <w:tcW w:w="1025" w:type="dxa"/>
            <w:vMerge w:val="restart"/>
            <w:vAlign w:val="center"/>
          </w:tcPr>
          <w:p>
            <w:pPr>
              <w:pStyle w:val="7"/>
              <w:spacing w:line="440" w:lineRule="atLeast"/>
              <w:jc w:val="center"/>
              <w:rPr>
                <w:rFonts w:ascii="Times New Roman" w:hAnsi="Times New Roman" w:eastAsia="黑体"/>
                <w:sz w:val="24"/>
                <w:szCs w:val="24"/>
              </w:rPr>
            </w:pPr>
            <w:r>
              <w:rPr>
                <w:rFonts w:hint="eastAsia" w:ascii="Times New Roman" w:hAnsi="Times New Roman" w:eastAsia="黑体"/>
                <w:sz w:val="24"/>
                <w:szCs w:val="24"/>
              </w:rPr>
              <w:t>第C2合同段</w:t>
            </w:r>
          </w:p>
        </w:tc>
        <w:tc>
          <w:tcPr>
            <w:tcW w:w="1100" w:type="dxa"/>
            <w:vAlign w:val="center"/>
          </w:tcPr>
          <w:p>
            <w:pPr>
              <w:pStyle w:val="8"/>
              <w:ind w:firstLine="0" w:firstLineChars="0"/>
              <w:jc w:val="center"/>
              <w:rPr>
                <w:rFonts w:ascii="宋体" w:hAnsi="宋体" w:cs="宋体"/>
                <w:sz w:val="24"/>
              </w:rPr>
            </w:pPr>
            <w:r>
              <w:rPr>
                <w:rFonts w:hint="eastAsia" w:ascii="宋体" w:hAnsi="宋体" w:cs="宋体"/>
                <w:sz w:val="24"/>
              </w:rPr>
              <w:t>湘江</w:t>
            </w:r>
          </w:p>
          <w:p>
            <w:pPr>
              <w:pStyle w:val="8"/>
              <w:ind w:firstLine="0" w:firstLineChars="0"/>
              <w:jc w:val="center"/>
              <w:rPr>
                <w:rFonts w:eastAsia="黑体"/>
                <w:sz w:val="24"/>
              </w:rPr>
            </w:pPr>
            <w:r>
              <w:rPr>
                <w:rFonts w:hint="eastAsia" w:ascii="宋体" w:hAnsi="宋体" w:cs="宋体"/>
                <w:sz w:val="24"/>
              </w:rPr>
              <w:t>特大桥</w:t>
            </w:r>
          </w:p>
        </w:tc>
        <w:tc>
          <w:tcPr>
            <w:tcW w:w="6397" w:type="dxa"/>
            <w:vMerge w:val="restart"/>
            <w:vAlign w:val="center"/>
          </w:tcPr>
          <w:p>
            <w:pPr>
              <w:pStyle w:val="8"/>
              <w:ind w:firstLine="0" w:firstLineChars="0"/>
              <w:jc w:val="left"/>
              <w:rPr>
                <w:rFonts w:ascii="宋体" w:hAnsi="宋体" w:cs="宋体"/>
                <w:sz w:val="24"/>
              </w:rPr>
            </w:pPr>
            <w:r>
              <w:rPr>
                <w:rFonts w:hint="eastAsia" w:ascii="宋体" w:hAnsi="宋体" w:cs="宋体"/>
                <w:sz w:val="24"/>
              </w:rPr>
              <w:t>工程范围包括但不限于湘江特大桥、洞庭湖特大桥、洣水河特大桥主桥健康监测系统的实施。结合项目特点及后续营运维护需要，工作内容包括但不限于：</w:t>
            </w:r>
          </w:p>
          <w:p>
            <w:pPr>
              <w:pStyle w:val="8"/>
              <w:ind w:firstLine="0" w:firstLineChars="0"/>
              <w:jc w:val="left"/>
              <w:rPr>
                <w:rFonts w:ascii="宋体" w:hAnsi="宋体" w:cs="宋体"/>
                <w:sz w:val="24"/>
              </w:rPr>
            </w:pPr>
            <w:r>
              <w:rPr>
                <w:rFonts w:hint="eastAsia" w:ascii="宋体" w:hAnsi="宋体" w:cs="宋体"/>
                <w:sz w:val="24"/>
              </w:rPr>
              <w:t>①、湘江特大桥、洞庭湖特大桥(洞庭湖特大桥是在原有单桥监测系统上进行升级改造）和洣水河特大桥三座桥梁健康监测单桥子系统的硬件系统设备采购、安装、调试。</w:t>
            </w:r>
          </w:p>
          <w:p>
            <w:pPr>
              <w:pStyle w:val="8"/>
              <w:ind w:firstLine="0" w:firstLineChars="0"/>
              <w:jc w:val="left"/>
              <w:rPr>
                <w:rFonts w:ascii="宋体" w:hAnsi="宋体" w:cs="宋体"/>
                <w:sz w:val="24"/>
              </w:rPr>
            </w:pPr>
            <w:r>
              <w:rPr>
                <w:rFonts w:hint="eastAsia" w:ascii="宋体" w:hAnsi="宋体" w:cs="宋体"/>
                <w:sz w:val="24"/>
              </w:rPr>
              <w:t>②、湘江特大桥、洞庭湖特大桥和洣水河特大桥三座桥梁健康监测单桥子系统现场采集软件开发、调试。采集软件应具备采集子系统所有数据、进行预处理并根据平台要求将数据上传至湖南省高速公路集团桥梁结构健康监测系统（平台）的功能。且软件接口开发必须保留与集团、部省级平台数据对接的接口。</w:t>
            </w:r>
          </w:p>
          <w:p>
            <w:pPr>
              <w:pStyle w:val="8"/>
              <w:ind w:firstLine="0" w:firstLineChars="0"/>
              <w:jc w:val="left"/>
              <w:rPr>
                <w:rFonts w:ascii="宋体" w:hAnsi="宋体" w:cs="宋体"/>
                <w:sz w:val="24"/>
              </w:rPr>
            </w:pPr>
            <w:r>
              <w:rPr>
                <w:rFonts w:hint="eastAsia" w:ascii="宋体" w:hAnsi="宋体" w:cs="宋体"/>
                <w:sz w:val="24"/>
              </w:rPr>
              <w:t>③、湖南省高速公路集团桥梁结构健康监测系统（平台）软件开发、调试、部署；并预留与部省级系统数据对接接口。</w:t>
            </w:r>
          </w:p>
          <w:p>
            <w:pPr>
              <w:pStyle w:val="8"/>
              <w:ind w:firstLine="0" w:firstLineChars="0"/>
              <w:jc w:val="left"/>
              <w:rPr>
                <w:rFonts w:ascii="宋体" w:hAnsi="宋体" w:cs="宋体"/>
                <w:sz w:val="24"/>
              </w:rPr>
            </w:pPr>
            <w:r>
              <w:rPr>
                <w:rFonts w:hint="eastAsia" w:ascii="宋体" w:hAnsi="宋体" w:cs="宋体"/>
                <w:sz w:val="24"/>
              </w:rPr>
              <w:t>④、对赤石大桥、矮寨大桥、湘江特大桥、洞庭湖特大桥和洣水河特大桥5座桥梁结构进行分析，确定各测点的预警值并设置进入平台软件。</w:t>
            </w:r>
          </w:p>
          <w:p>
            <w:pPr>
              <w:pStyle w:val="8"/>
              <w:ind w:firstLine="0" w:firstLineChars="0"/>
              <w:jc w:val="left"/>
              <w:rPr>
                <w:rFonts w:ascii="宋体" w:hAnsi="宋体" w:cs="宋体"/>
                <w:sz w:val="24"/>
              </w:rPr>
            </w:pPr>
            <w:r>
              <w:rPr>
                <w:rFonts w:hint="eastAsia" w:ascii="宋体" w:hAnsi="宋体" w:cs="宋体"/>
                <w:sz w:val="24"/>
              </w:rPr>
              <w:t>⑤、维护期内对湘江特大桥、洞庭湖特大桥和洣水河特大桥子系统硬件设备进行维护。保证子系统硬件、采集软件的正常运行，数据正确及持续上传。</w:t>
            </w:r>
          </w:p>
          <w:p>
            <w:pPr>
              <w:pStyle w:val="8"/>
              <w:ind w:firstLine="0" w:firstLineChars="0"/>
              <w:jc w:val="left"/>
              <w:rPr>
                <w:rFonts w:ascii="宋体" w:hAnsi="宋体" w:cs="宋体"/>
                <w:sz w:val="24"/>
              </w:rPr>
            </w:pPr>
            <w:r>
              <w:rPr>
                <w:rFonts w:hint="eastAsia" w:ascii="宋体" w:hAnsi="宋体" w:cs="宋体"/>
                <w:sz w:val="24"/>
              </w:rPr>
              <w:t>⑥、维护期内对湖南省高速公路集团桥梁结构健康监测系统（平台）软件进行维护及数据值守望。保证平台软件正常运行、正常接收各子系统数据并上传至上级平台。当数据出现异常时，分析异常原因并处理。当系统出现报警时，分析报警原因及当前结构状态，给出维护建议。</w:t>
            </w:r>
          </w:p>
          <w:p>
            <w:pPr>
              <w:pStyle w:val="8"/>
              <w:ind w:firstLine="0" w:firstLineChars="0"/>
              <w:jc w:val="left"/>
              <w:rPr>
                <w:rFonts w:ascii="宋体" w:hAnsi="宋体" w:cs="宋体"/>
                <w:sz w:val="24"/>
              </w:rPr>
            </w:pPr>
            <w:r>
              <w:rPr>
                <w:rFonts w:hint="eastAsia" w:ascii="宋体" w:hAnsi="宋体" w:cs="宋体"/>
                <w:sz w:val="24"/>
              </w:rPr>
              <w:t>⑦、对赤石大桥、矮寨大桥、湘江特大桥、洞庭湖特大桥和洣水河特大桥5座桥梁原始数据进行人工分析，按照要求出具分析报告（含维护报告、数据分析报告和年度评估报告等）。</w:t>
            </w:r>
          </w:p>
          <w:p>
            <w:pPr>
              <w:pStyle w:val="8"/>
              <w:ind w:firstLine="0" w:firstLineChars="0"/>
              <w:jc w:val="left"/>
              <w:rPr>
                <w:rFonts w:eastAsia="黑体"/>
                <w:iCs/>
                <w:sz w:val="24"/>
              </w:rPr>
            </w:pPr>
            <w:r>
              <w:rPr>
                <w:rFonts w:hint="eastAsia" w:ascii="宋体" w:hAnsi="宋体" w:cs="宋体"/>
                <w:sz w:val="24"/>
              </w:rPr>
              <w:t>⑧、做好监测系统工程移交、系统使用手册编制、人员培训等服务工作。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7" w:hRule="atLeast"/>
        </w:trPr>
        <w:tc>
          <w:tcPr>
            <w:tcW w:w="1025" w:type="dxa"/>
            <w:vMerge w:val="continue"/>
            <w:vAlign w:val="center"/>
          </w:tcPr>
          <w:p>
            <w:pPr>
              <w:pStyle w:val="7"/>
              <w:spacing w:line="440" w:lineRule="atLeast"/>
              <w:jc w:val="center"/>
              <w:rPr>
                <w:rFonts w:ascii="Times New Roman" w:hAnsi="Times New Roman" w:eastAsia="黑体"/>
                <w:b/>
                <w:sz w:val="24"/>
                <w:szCs w:val="24"/>
              </w:rPr>
            </w:pPr>
          </w:p>
        </w:tc>
        <w:tc>
          <w:tcPr>
            <w:tcW w:w="1100" w:type="dxa"/>
            <w:vAlign w:val="center"/>
          </w:tcPr>
          <w:p>
            <w:pPr>
              <w:pStyle w:val="8"/>
              <w:ind w:firstLine="0" w:firstLineChars="0"/>
              <w:jc w:val="center"/>
              <w:rPr>
                <w:rFonts w:eastAsia="黑体"/>
                <w:b/>
                <w:sz w:val="24"/>
              </w:rPr>
            </w:pPr>
            <w:r>
              <w:rPr>
                <w:rFonts w:hint="eastAsia" w:ascii="宋体" w:hAnsi="宋体" w:cs="宋体"/>
                <w:sz w:val="24"/>
              </w:rPr>
              <w:t>洞庭湖大桥</w:t>
            </w:r>
          </w:p>
        </w:tc>
        <w:tc>
          <w:tcPr>
            <w:tcW w:w="6397" w:type="dxa"/>
            <w:vMerge w:val="continue"/>
            <w:vAlign w:val="center"/>
          </w:tcPr>
          <w:p>
            <w:pPr>
              <w:pStyle w:val="7"/>
              <w:spacing w:line="440" w:lineRule="atLeast"/>
              <w:jc w:val="center"/>
              <w:rPr>
                <w:rFonts w:ascii="Times New Roman" w:hAnsi="Times New Roman" w:eastAsia="黑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025" w:type="dxa"/>
            <w:vMerge w:val="continue"/>
            <w:vAlign w:val="center"/>
          </w:tcPr>
          <w:p>
            <w:pPr>
              <w:pStyle w:val="7"/>
              <w:spacing w:line="440" w:lineRule="atLeast"/>
              <w:jc w:val="center"/>
              <w:rPr>
                <w:rFonts w:ascii="Times New Roman" w:hAnsi="Times New Roman" w:eastAsia="黑体"/>
                <w:b/>
                <w:sz w:val="24"/>
                <w:szCs w:val="24"/>
              </w:rPr>
            </w:pPr>
          </w:p>
        </w:tc>
        <w:tc>
          <w:tcPr>
            <w:tcW w:w="1100" w:type="dxa"/>
            <w:vAlign w:val="center"/>
          </w:tcPr>
          <w:p>
            <w:pPr>
              <w:pStyle w:val="8"/>
              <w:ind w:firstLine="0" w:firstLineChars="0"/>
              <w:jc w:val="center"/>
              <w:rPr>
                <w:rFonts w:eastAsia="黑体"/>
                <w:b/>
                <w:sz w:val="24"/>
              </w:rPr>
            </w:pPr>
            <w:r>
              <w:rPr>
                <w:rFonts w:hint="eastAsia" w:ascii="宋体" w:hAnsi="宋体" w:cs="宋体"/>
                <w:sz w:val="24"/>
              </w:rPr>
              <w:t>洣水河特大桥</w:t>
            </w:r>
          </w:p>
        </w:tc>
        <w:tc>
          <w:tcPr>
            <w:tcW w:w="6397" w:type="dxa"/>
            <w:vMerge w:val="continue"/>
            <w:vAlign w:val="center"/>
          </w:tcPr>
          <w:p>
            <w:pPr>
              <w:pStyle w:val="7"/>
              <w:spacing w:line="440" w:lineRule="atLeast"/>
              <w:jc w:val="center"/>
              <w:rPr>
                <w:rFonts w:ascii="Times New Roman" w:hAnsi="Times New Roman" w:eastAsia="黑体"/>
                <w:b/>
                <w:sz w:val="24"/>
                <w:szCs w:val="24"/>
              </w:rPr>
            </w:pPr>
          </w:p>
        </w:tc>
      </w:tr>
    </w:tbl>
    <w:p>
      <w:pPr>
        <w:pStyle w:val="9"/>
        <w:spacing w:line="440" w:lineRule="atLeast"/>
        <w:rPr>
          <w:rFonts w:ascii="Times New Roman" w:hAnsi="Times New Roman" w:eastAsia="黑体"/>
          <w:sz w:val="24"/>
          <w:szCs w:val="24"/>
        </w:rPr>
      </w:pPr>
      <w:r>
        <w:rPr>
          <w:rFonts w:hint="eastAsia" w:eastAsia="黑体"/>
          <w:i/>
          <w:iCs/>
          <w:sz w:val="24"/>
          <w:szCs w:val="24"/>
          <w:u w:val="single"/>
        </w:rPr>
        <w:t>注：具体桥梁结构及详细数据见附件：工程概况。</w:t>
      </w:r>
    </w:p>
    <w:p>
      <w:pPr>
        <w:pStyle w:val="11"/>
        <w:spacing w:line="440" w:lineRule="exact"/>
        <w:rPr>
          <w:rFonts w:eastAsia="黑体"/>
          <w:sz w:val="24"/>
          <w:szCs w:val="24"/>
        </w:rPr>
      </w:pPr>
      <w:r>
        <w:rPr>
          <w:rFonts w:eastAsia="黑体"/>
          <w:sz w:val="24"/>
          <w:szCs w:val="24"/>
        </w:rPr>
        <w:t>本次招标咨询服务期限为：</w:t>
      </w:r>
    </w:p>
    <w:p>
      <w:pPr>
        <w:pStyle w:val="11"/>
        <w:spacing w:line="440" w:lineRule="exact"/>
        <w:rPr>
          <w:rFonts w:ascii="黑体" w:hAnsi="黑体" w:eastAsia="黑体" w:cs="黑体"/>
          <w:sz w:val="24"/>
          <w:u w:val="single"/>
        </w:rPr>
      </w:pPr>
      <w:r>
        <w:rPr>
          <w:rFonts w:hint="eastAsia" w:ascii="黑体" w:hAnsi="黑体" w:eastAsia="黑体" w:cs="黑体"/>
          <w:sz w:val="24"/>
        </w:rPr>
        <w:t>C1标段：</w:t>
      </w:r>
      <w:r>
        <w:rPr>
          <w:rFonts w:hint="eastAsia" w:ascii="黑体" w:hAnsi="黑体" w:eastAsia="黑体" w:cs="黑体"/>
          <w:sz w:val="24"/>
          <w:u w:val="single"/>
        </w:rPr>
        <w:t>桥梁健康监测系统建设期暂定为2022年7月至2022年12月31日，系统缺陷责任期为24个月。</w:t>
      </w:r>
    </w:p>
    <w:p>
      <w:pPr>
        <w:pStyle w:val="7"/>
        <w:spacing w:line="440" w:lineRule="atLeast"/>
        <w:rPr>
          <w:rFonts w:ascii="Times New Roman" w:hAnsi="Times New Roman" w:eastAsia="黑体"/>
          <w:b/>
          <w:bCs/>
          <w:kern w:val="44"/>
          <w:sz w:val="28"/>
          <w:szCs w:val="28"/>
        </w:rPr>
      </w:pPr>
      <w:r>
        <w:rPr>
          <w:rFonts w:hint="eastAsia" w:ascii="黑体" w:hAnsi="黑体" w:eastAsia="黑体" w:cs="黑体"/>
          <w:sz w:val="24"/>
        </w:rPr>
        <w:t>C2标段：</w:t>
      </w:r>
      <w:r>
        <w:rPr>
          <w:rFonts w:hint="eastAsia" w:ascii="黑体" w:hAnsi="黑体" w:eastAsia="黑体" w:cs="黑体"/>
          <w:sz w:val="24"/>
          <w:u w:val="single"/>
        </w:rPr>
        <w:t>桥梁健康监测系统建设期暂定为2022年7月至2022年12月31日，系统缺陷责任期为24个月；另包含湖南省高速公路集团桥梁结构健康监测系统（平台）运行维护期暂定为5年</w:t>
      </w:r>
      <w:r>
        <w:rPr>
          <w:rFonts w:ascii="Times New Roman" w:hAnsi="Times New Roman" w:eastAsia="黑体"/>
          <w:bCs/>
          <w:kern w:val="44"/>
          <w:sz w:val="24"/>
          <w:szCs w:val="24"/>
          <w:u w:val="single"/>
        </w:rPr>
        <w:t>。</w:t>
      </w:r>
    </w:p>
    <w:p>
      <w:pPr>
        <w:pStyle w:val="6"/>
        <w:keepNext/>
        <w:keepLines/>
        <w:spacing w:before="240" w:after="240" w:line="440" w:lineRule="atLeast"/>
        <w:outlineLvl w:val="1"/>
        <w:rPr>
          <w:rFonts w:eastAsia="黑体"/>
          <w:b/>
          <w:bCs/>
          <w:kern w:val="44"/>
          <w:sz w:val="28"/>
          <w:szCs w:val="28"/>
        </w:rPr>
      </w:pPr>
      <w:bookmarkStart w:id="4" w:name="_Toc510015651"/>
      <w:bookmarkStart w:id="5" w:name="_Toc503235716"/>
      <w:r>
        <w:rPr>
          <w:rFonts w:eastAsia="黑体"/>
          <w:b/>
          <w:bCs/>
          <w:kern w:val="44"/>
          <w:sz w:val="28"/>
          <w:szCs w:val="28"/>
        </w:rPr>
        <w:t>3. 投标人资格要求</w:t>
      </w:r>
      <w:bookmarkEnd w:id="4"/>
      <w:bookmarkEnd w:id="5"/>
    </w:p>
    <w:p>
      <w:pPr>
        <w:pStyle w:val="7"/>
        <w:spacing w:line="440" w:lineRule="atLeast"/>
        <w:ind w:firstLine="480" w:firstLineChars="200"/>
        <w:rPr>
          <w:rFonts w:ascii="Times New Roman" w:hAnsi="Times New Roman"/>
          <w:sz w:val="24"/>
          <w:szCs w:val="24"/>
        </w:rPr>
      </w:pPr>
      <w:r>
        <w:rPr>
          <w:rFonts w:ascii="Times New Roman" w:hAnsi="Times New Roman"/>
          <w:sz w:val="24"/>
          <w:szCs w:val="24"/>
        </w:rPr>
        <w:t>3.1本次招标要求投标人应具有以下资格要求：</w:t>
      </w:r>
    </w:p>
    <w:p>
      <w:pPr>
        <w:pStyle w:val="7"/>
        <w:spacing w:line="440" w:lineRule="atLeast"/>
        <w:ind w:firstLine="480" w:firstLineChars="200"/>
        <w:rPr>
          <w:rFonts w:ascii="Times New Roman" w:hAnsi="Times New Roman"/>
          <w:sz w:val="24"/>
          <w:szCs w:val="24"/>
        </w:rPr>
      </w:pPr>
      <w:r>
        <w:rPr>
          <w:rFonts w:ascii="Times New Roman" w:hAnsi="Times New Roman"/>
          <w:sz w:val="24"/>
          <w:szCs w:val="24"/>
        </w:rPr>
        <w:t>①</w:t>
      </w:r>
      <w:r>
        <w:rPr>
          <w:rFonts w:hint="eastAsia" w:ascii="Times New Roman" w:hAnsi="Times New Roman"/>
          <w:sz w:val="24"/>
          <w:szCs w:val="24"/>
        </w:rPr>
        <w:t>独立法人资格，持有有效的营业执照（或事业单位法人证书, 或社会团体法人登记证书） (投标人为企业的，还应具备组织机构代码证，按照“三证合一”或“五证合一”登记制度进行登记的，可仅提供营业执照副本；投标人为依法允许经营的事业单位的，应具有事业单位法人证书和组织机构代码证，下同)。</w:t>
      </w:r>
    </w:p>
    <w:p>
      <w:pPr>
        <w:pStyle w:val="7"/>
        <w:spacing w:line="440" w:lineRule="atLeast"/>
        <w:ind w:firstLine="480" w:firstLineChars="200"/>
        <w:rPr>
          <w:rFonts w:ascii="Times New Roman" w:hAnsi="Times New Roman"/>
          <w:sz w:val="24"/>
          <w:szCs w:val="24"/>
        </w:rPr>
      </w:pPr>
      <w:r>
        <w:rPr>
          <w:rFonts w:ascii="Times New Roman" w:hAnsi="Times New Roman"/>
          <w:sz w:val="24"/>
          <w:szCs w:val="24"/>
        </w:rPr>
        <w:t>②</w:t>
      </w:r>
      <w:r>
        <w:rPr>
          <w:rFonts w:hint="eastAsia" w:ascii="Times New Roman" w:hAnsi="Times New Roman"/>
          <w:sz w:val="24"/>
          <w:szCs w:val="24"/>
        </w:rPr>
        <w:t>具有交通运输部核发的在有效期内的公路工程试验检测综合甲级资质或桥梁隧道专项资质（独立法人单位下属的非独立法人检测机构具有相应资质的，视为该独立法人单位具有相应资质，如中标，应以该独立法人单位名义签订合同）。</w:t>
      </w:r>
    </w:p>
    <w:p>
      <w:pPr>
        <w:pStyle w:val="7"/>
        <w:spacing w:line="440" w:lineRule="atLeast"/>
        <w:ind w:firstLine="480" w:firstLineChars="200"/>
        <w:rPr>
          <w:rFonts w:ascii="Times New Roman" w:hAnsi="Times New Roman"/>
          <w:sz w:val="24"/>
          <w:szCs w:val="24"/>
        </w:rPr>
      </w:pPr>
      <w:r>
        <w:rPr>
          <w:rFonts w:ascii="Times New Roman" w:hAnsi="Times New Roman"/>
          <w:sz w:val="24"/>
          <w:szCs w:val="24"/>
        </w:rPr>
        <w:t>投标人还应在业绩、人员和</w:t>
      </w:r>
      <w:r>
        <w:rPr>
          <w:rFonts w:hint="eastAsia" w:ascii="Times New Roman" w:hAnsi="Times New Roman"/>
          <w:sz w:val="24"/>
          <w:szCs w:val="24"/>
        </w:rPr>
        <w:t>信誉</w:t>
      </w:r>
      <w:r>
        <w:rPr>
          <w:rFonts w:ascii="Times New Roman" w:hAnsi="Times New Roman"/>
          <w:sz w:val="24"/>
          <w:szCs w:val="24"/>
        </w:rPr>
        <w:t>等其它方面满足资格审查条件要求，详见附</w:t>
      </w:r>
      <w:r>
        <w:rPr>
          <w:rFonts w:hint="eastAsia" w:ascii="Times New Roman" w:hAnsi="Times New Roman"/>
          <w:sz w:val="24"/>
          <w:szCs w:val="24"/>
        </w:rPr>
        <w:t>录</w:t>
      </w:r>
      <w:r>
        <w:rPr>
          <w:rFonts w:ascii="Times New Roman" w:hAnsi="Times New Roman"/>
          <w:sz w:val="24"/>
          <w:szCs w:val="24"/>
        </w:rPr>
        <w:t>。</w:t>
      </w:r>
    </w:p>
    <w:p>
      <w:pPr>
        <w:pStyle w:val="7"/>
        <w:spacing w:line="440" w:lineRule="atLeast"/>
        <w:ind w:firstLine="480" w:firstLineChars="200"/>
        <w:rPr>
          <w:rFonts w:ascii="Times New Roman" w:hAnsi="Times New Roman"/>
          <w:sz w:val="24"/>
          <w:szCs w:val="24"/>
        </w:rPr>
      </w:pPr>
      <w:r>
        <w:rPr>
          <w:rFonts w:hint="eastAsia" w:ascii="Times New Roman" w:hAnsi="Times New Roman"/>
          <w:sz w:val="24"/>
          <w:szCs w:val="24"/>
        </w:rPr>
        <w:t>投标人应进入交通运输部“公路水运工程质量试验检测管理信息系统”，且投标人名称和资质与该系统中相应的企业名称和资质完全一致。</w:t>
      </w:r>
    </w:p>
    <w:p>
      <w:pPr>
        <w:pStyle w:val="6"/>
        <w:spacing w:line="440" w:lineRule="atLeast"/>
        <w:ind w:firstLine="480" w:firstLineChars="200"/>
        <w:rPr>
          <w:sz w:val="24"/>
          <w:szCs w:val="20"/>
        </w:rPr>
      </w:pPr>
      <w:r>
        <w:rPr>
          <w:sz w:val="24"/>
          <w:szCs w:val="24"/>
        </w:rPr>
        <w:t xml:space="preserve">3.2 </w:t>
      </w:r>
      <w:r>
        <w:rPr>
          <w:rFonts w:hint="eastAsia"/>
          <w:sz w:val="24"/>
          <w:szCs w:val="24"/>
        </w:rPr>
        <w:t>本次招标</w:t>
      </w:r>
      <w:r>
        <w:rPr>
          <w:rFonts w:hint="eastAsia"/>
          <w:sz w:val="24"/>
          <w:szCs w:val="24"/>
          <w:u w:val="single"/>
        </w:rPr>
        <w:t>C1标段不接受联合体投标，C2标段接受联合体投标</w:t>
      </w:r>
      <w:r>
        <w:rPr>
          <w:rFonts w:hint="eastAsia"/>
          <w:sz w:val="24"/>
          <w:szCs w:val="24"/>
        </w:rPr>
        <w:t>。联合体投标的，联合体所有成员数量不得超过2家，且应满足下列要求：1、联合体牵头人必须具备交通运输部核发的试验检测公路工程综合甲级或公路工程桥梁隧道工程专项资质；2、联合体各方不得再以自己名义单独或参加其他联合体在同一标段中投标；3、联合体协议应当明确各成员在合同工程中所承担的专业工程或工作内容及范围。联合体各方应当具备联合体协议书中承担相应专业工程的资质；不承担联合体协议中相关专业工程的成员，其相关的专业资质不作为该联合体该专业的资质进行资格审查；4、联合体的信用等级确定原则：联合体成员由具备交通运输部核发的公路工程试验检测资质的单位组成的，按联合体成员最低信用等级确定；否则，按联合体牵头人信用等级确定；5、联合体的业绩以联合体协议书中规定的联合体成员的分工为依据进行考核。</w:t>
      </w:r>
    </w:p>
    <w:p>
      <w:pPr>
        <w:pStyle w:val="6"/>
        <w:spacing w:line="420" w:lineRule="atLeast"/>
        <w:ind w:firstLine="480" w:firstLineChars="200"/>
        <w:rPr>
          <w:rFonts w:eastAsia="黑体"/>
          <w:sz w:val="24"/>
          <w:szCs w:val="24"/>
        </w:rPr>
      </w:pPr>
      <w:bookmarkStart w:id="6" w:name="_Hlk2767314"/>
      <w:r>
        <w:rPr>
          <w:rFonts w:eastAsia="黑体"/>
          <w:sz w:val="24"/>
          <w:szCs w:val="20"/>
        </w:rPr>
        <w:t>3.3</w:t>
      </w:r>
      <w:r>
        <w:rPr>
          <w:rFonts w:eastAsia="黑体"/>
          <w:sz w:val="24"/>
          <w:szCs w:val="24"/>
        </w:rPr>
        <w:t xml:space="preserve"> 每个投标人可在本次招标中对</w:t>
      </w:r>
      <w:r>
        <w:rPr>
          <w:rFonts w:hint="eastAsia" w:eastAsia="黑体"/>
          <w:sz w:val="24"/>
          <w:szCs w:val="24"/>
          <w:u w:val="single"/>
        </w:rPr>
        <w:t>1</w:t>
      </w:r>
      <w:r>
        <w:rPr>
          <w:rFonts w:eastAsia="黑体"/>
          <w:sz w:val="24"/>
          <w:szCs w:val="24"/>
        </w:rPr>
        <w:t>个标段投标，每个投标人允许中</w:t>
      </w:r>
      <w:r>
        <w:rPr>
          <w:rFonts w:hint="eastAsia" w:eastAsia="黑体"/>
          <w:sz w:val="24"/>
          <w:szCs w:val="24"/>
          <w:u w:val="single"/>
        </w:rPr>
        <w:t>1</w:t>
      </w:r>
      <w:r>
        <w:rPr>
          <w:rFonts w:eastAsia="黑体"/>
          <w:sz w:val="24"/>
          <w:szCs w:val="24"/>
        </w:rPr>
        <w:t xml:space="preserve">个标。 </w:t>
      </w:r>
    </w:p>
    <w:p>
      <w:pPr>
        <w:pStyle w:val="6"/>
        <w:autoSpaceDE w:val="0"/>
        <w:autoSpaceDN w:val="0"/>
        <w:adjustRightInd w:val="0"/>
        <w:spacing w:line="420" w:lineRule="atLeast"/>
        <w:ind w:firstLine="480" w:firstLineChars="200"/>
        <w:rPr>
          <w:rFonts w:eastAsia="黑体"/>
          <w:kern w:val="0"/>
          <w:sz w:val="24"/>
          <w:szCs w:val="24"/>
        </w:rPr>
      </w:pPr>
      <w:r>
        <w:rPr>
          <w:rFonts w:eastAsia="黑体"/>
          <w:sz w:val="24"/>
          <w:szCs w:val="20"/>
        </w:rPr>
        <w:t xml:space="preserve">3.4 </w:t>
      </w:r>
      <w:r>
        <w:rPr>
          <w:rFonts w:eastAsia="黑体"/>
          <w:sz w:val="24"/>
          <w:szCs w:val="24"/>
        </w:rPr>
        <w:t>与招标人存在利害关系且可能影响招标公正性的单位，不得参加投标。</w:t>
      </w:r>
      <w:r>
        <w:rPr>
          <w:rFonts w:eastAsia="黑体"/>
          <w:kern w:val="0"/>
          <w:sz w:val="24"/>
          <w:szCs w:val="24"/>
        </w:rPr>
        <w:t>单位负责人</w:t>
      </w:r>
      <w:r>
        <w:rPr>
          <w:rFonts w:eastAsia="黑体"/>
          <w:kern w:val="0"/>
          <w:sz w:val="24"/>
          <w:szCs w:val="24"/>
          <w:vertAlign w:val="superscript"/>
        </w:rPr>
        <w:footnoteReference w:id="0"/>
      </w:r>
      <w:r>
        <w:rPr>
          <w:rFonts w:eastAsia="黑体"/>
          <w:kern w:val="0"/>
          <w:sz w:val="24"/>
          <w:szCs w:val="24"/>
        </w:rPr>
        <w:t>为同一人或者存在控股</w:t>
      </w:r>
      <w:r>
        <w:rPr>
          <w:rFonts w:eastAsia="黑体"/>
          <w:kern w:val="0"/>
          <w:sz w:val="24"/>
          <w:szCs w:val="24"/>
          <w:vertAlign w:val="superscript"/>
        </w:rPr>
        <w:footnoteReference w:id="1"/>
      </w:r>
      <w:r>
        <w:rPr>
          <w:rFonts w:eastAsia="黑体"/>
          <w:kern w:val="0"/>
          <w:sz w:val="24"/>
          <w:szCs w:val="24"/>
        </w:rPr>
        <w:t>、管理</w:t>
      </w:r>
      <w:r>
        <w:rPr>
          <w:rFonts w:eastAsia="黑体"/>
          <w:kern w:val="0"/>
          <w:sz w:val="24"/>
          <w:szCs w:val="24"/>
          <w:vertAlign w:val="superscript"/>
        </w:rPr>
        <w:footnoteReference w:id="2"/>
      </w:r>
      <w:r>
        <w:rPr>
          <w:rFonts w:eastAsia="黑体"/>
          <w:kern w:val="0"/>
          <w:sz w:val="24"/>
          <w:szCs w:val="24"/>
        </w:rPr>
        <w:t>关系的不同单位（即利益相关人），不得参加同一标段投标，否则，相关投标均无效。</w:t>
      </w:r>
    </w:p>
    <w:p>
      <w:pPr>
        <w:pStyle w:val="6"/>
        <w:spacing w:line="420" w:lineRule="atLeast"/>
        <w:ind w:firstLine="480" w:firstLineChars="200"/>
        <w:rPr>
          <w:rFonts w:eastAsia="黑体"/>
          <w:sz w:val="24"/>
          <w:szCs w:val="24"/>
        </w:rPr>
      </w:pPr>
      <w:r>
        <w:rPr>
          <w:rFonts w:eastAsia="黑体"/>
          <w:sz w:val="24"/>
          <w:szCs w:val="24"/>
        </w:rPr>
        <w:t>3.</w:t>
      </w:r>
      <w:r>
        <w:rPr>
          <w:rFonts w:eastAsia="黑体"/>
          <w:kern w:val="44"/>
          <w:sz w:val="24"/>
          <w:szCs w:val="44"/>
        </w:rPr>
        <w:t>5</w:t>
      </w:r>
      <w:r>
        <w:rPr>
          <w:rFonts w:hint="eastAsia" w:eastAsia="黑体"/>
          <w:sz w:val="24"/>
          <w:szCs w:val="24"/>
        </w:rPr>
        <w:t>招标人不接受存在“投标人须知”第1.4.3项和第1.4.4项情形之一的投标人。</w:t>
      </w:r>
    </w:p>
    <w:p>
      <w:pPr>
        <w:pStyle w:val="6"/>
        <w:spacing w:line="420" w:lineRule="atLeast"/>
        <w:ind w:firstLine="480" w:firstLineChars="200"/>
        <w:rPr>
          <w:rFonts w:eastAsia="黑体"/>
          <w:sz w:val="24"/>
          <w:szCs w:val="24"/>
        </w:rPr>
      </w:pPr>
      <w:r>
        <w:rPr>
          <w:rFonts w:hint="eastAsia" w:eastAsia="黑体"/>
          <w:sz w:val="24"/>
          <w:szCs w:val="24"/>
        </w:rPr>
        <w:t>3.6</w:t>
      </w:r>
      <w:r>
        <w:rPr>
          <w:rFonts w:hint="eastAsia" w:eastAsia="黑体"/>
          <w:sz w:val="24"/>
          <w:szCs w:val="24"/>
          <w:lang w:val="zh-CN"/>
        </w:rPr>
        <w:t>在全国企业信用信息公示系统</w:t>
      </w:r>
      <w:r>
        <w:rPr>
          <w:rFonts w:hint="eastAsia" w:eastAsia="黑体"/>
          <w:sz w:val="24"/>
          <w:szCs w:val="24"/>
        </w:rPr>
        <w:t>（</w:t>
      </w:r>
      <w:r>
        <w:rPr>
          <w:rFonts w:eastAsia="黑体"/>
          <w:sz w:val="24"/>
          <w:szCs w:val="24"/>
        </w:rPr>
        <w:t>http://www.gsxt.gov.cn）</w:t>
      </w:r>
      <w:r>
        <w:rPr>
          <w:rFonts w:eastAsia="黑体"/>
          <w:sz w:val="24"/>
          <w:szCs w:val="24"/>
          <w:lang w:val="zh-CN"/>
        </w:rPr>
        <w:t>中被列入严重违法失信企业名单的或在</w:t>
      </w:r>
      <w:r>
        <w:rPr>
          <w:rFonts w:eastAsia="黑体"/>
          <w:sz w:val="24"/>
          <w:szCs w:val="24"/>
        </w:rPr>
        <w:t>“</w:t>
      </w:r>
      <w:r>
        <w:rPr>
          <w:rFonts w:eastAsia="黑体"/>
          <w:sz w:val="24"/>
          <w:szCs w:val="24"/>
          <w:lang w:val="zh-CN"/>
        </w:rPr>
        <w:t>信用中国</w:t>
      </w:r>
      <w:r>
        <w:rPr>
          <w:rFonts w:eastAsia="黑体"/>
          <w:sz w:val="24"/>
          <w:szCs w:val="24"/>
        </w:rPr>
        <w:t>”</w:t>
      </w:r>
      <w:r>
        <w:rPr>
          <w:rFonts w:eastAsia="黑体"/>
          <w:sz w:val="24"/>
          <w:szCs w:val="24"/>
          <w:lang w:val="zh-CN"/>
        </w:rPr>
        <w:t>网站</w:t>
      </w:r>
      <w:r>
        <w:rPr>
          <w:rFonts w:hint="eastAsia" w:eastAsia="黑体"/>
          <w:sz w:val="24"/>
          <w:szCs w:val="24"/>
        </w:rPr>
        <w:t>（www.creditchina.gov.cn）</w:t>
      </w:r>
      <w:r>
        <w:rPr>
          <w:rFonts w:hint="eastAsia" w:eastAsia="黑体"/>
          <w:sz w:val="24"/>
          <w:szCs w:val="24"/>
          <w:lang w:val="zh-CN"/>
        </w:rPr>
        <w:t>中被列入失信被执行人名单的投标人</w:t>
      </w:r>
      <w:r>
        <w:rPr>
          <w:rFonts w:hint="eastAsia" w:eastAsia="黑体"/>
          <w:sz w:val="24"/>
          <w:szCs w:val="24"/>
        </w:rPr>
        <w:t>，</w:t>
      </w:r>
      <w:r>
        <w:rPr>
          <w:rFonts w:hint="eastAsia" w:eastAsia="黑体"/>
          <w:sz w:val="24"/>
          <w:szCs w:val="24"/>
          <w:lang w:val="zh-CN"/>
        </w:rPr>
        <w:t>不得参加投标。</w:t>
      </w:r>
    </w:p>
    <w:bookmarkEnd w:id="6"/>
    <w:p>
      <w:pPr>
        <w:pStyle w:val="6"/>
        <w:keepNext/>
        <w:keepLines/>
        <w:spacing w:before="240" w:after="240" w:line="440" w:lineRule="atLeast"/>
        <w:outlineLvl w:val="1"/>
        <w:rPr>
          <w:rFonts w:eastAsia="黑体"/>
          <w:b/>
          <w:bCs/>
          <w:kern w:val="44"/>
          <w:sz w:val="28"/>
          <w:szCs w:val="28"/>
        </w:rPr>
      </w:pPr>
      <w:bookmarkStart w:id="7" w:name="_Toc503235718"/>
      <w:bookmarkStart w:id="8" w:name="_Toc510015652"/>
      <w:r>
        <w:rPr>
          <w:rFonts w:eastAsia="黑体"/>
          <w:b/>
          <w:bCs/>
          <w:kern w:val="44"/>
          <w:sz w:val="28"/>
          <w:szCs w:val="28"/>
        </w:rPr>
        <w:t>4. 招标文件的获取</w:t>
      </w:r>
      <w:bookmarkEnd w:id="7"/>
      <w:bookmarkEnd w:id="8"/>
      <w:r>
        <w:rPr>
          <w:rFonts w:eastAsia="黑体"/>
          <w:b/>
          <w:bCs/>
          <w:kern w:val="44"/>
          <w:sz w:val="28"/>
          <w:szCs w:val="28"/>
        </w:rPr>
        <w:tab/>
      </w:r>
    </w:p>
    <w:p>
      <w:pPr>
        <w:pStyle w:val="9"/>
        <w:widowControl/>
        <w:wordWrap w:val="0"/>
        <w:spacing w:line="400" w:lineRule="atLeast"/>
        <w:ind w:firstLine="480" w:firstLineChars="200"/>
        <w:jc w:val="left"/>
        <w:rPr>
          <w:rFonts w:ascii="宋体" w:hAnsi="宋体" w:cs="宋体"/>
          <w:sz w:val="24"/>
        </w:rPr>
      </w:pPr>
      <w:r>
        <w:rPr>
          <w:rFonts w:hint="eastAsia" w:ascii="宋体" w:hAnsi="宋体" w:cs="宋体"/>
          <w:sz w:val="24"/>
        </w:rPr>
        <w:t>4.1根据规定，本项目只接受网上报名。凡有意参加投标者，请在湖南省公共资源 交 易 中 心 办 理 CA 数 字 证 书 （ 具 体 流 程 参 见 网 址http://www.hunca.com.cn/xmzq/ggzy/ggzyfscg/）。</w:t>
      </w:r>
    </w:p>
    <w:p>
      <w:pPr>
        <w:pStyle w:val="9"/>
        <w:widowControl/>
        <w:wordWrap w:val="0"/>
        <w:spacing w:line="400" w:lineRule="atLeast"/>
        <w:ind w:firstLine="480" w:firstLineChars="200"/>
        <w:jc w:val="left"/>
        <w:rPr>
          <w:rFonts w:ascii="宋体" w:hAnsi="宋体" w:cs="宋体"/>
          <w:kern w:val="0"/>
          <w:sz w:val="24"/>
          <w:szCs w:val="24"/>
        </w:rPr>
      </w:pPr>
      <w:r>
        <w:rPr>
          <w:rFonts w:hint="eastAsia" w:ascii="宋体" w:hAnsi="宋体" w:cs="宋体"/>
          <w:sz w:val="24"/>
        </w:rPr>
        <w:t>4.2 办理完成CA数字认证后，请于招标公告发布之日至投标文件递交截止之日前一日（北京时间，下同），通过互联网使用CA数字证书登录湖南省公共资源交易中心进场交易系统（以下简称：“电子交易平台”，网址：</w:t>
      </w:r>
      <w:r>
        <w:fldChar w:fldCharType="begin"/>
      </w:r>
      <w:r>
        <w:instrText xml:space="preserve"> HYPERLINK "http://222.240.80.75/tpbidder），进行报名后下载招标文件、图纸等相关资料，完成报名。" </w:instrText>
      </w:r>
      <w:r>
        <w:fldChar w:fldCharType="separate"/>
      </w:r>
      <w:r>
        <w:rPr>
          <w:rFonts w:hint="eastAsia" w:ascii="宋体" w:hAnsi="宋体" w:cs="宋体"/>
          <w:sz w:val="24"/>
        </w:rPr>
        <w:t>http://222.240.80.75/tpbidder），进行报名后下载招标文件、图纸等相关资料，完成报名。</w:t>
      </w:r>
      <w:r>
        <w:rPr>
          <w:rFonts w:hint="eastAsia" w:ascii="宋体" w:hAnsi="宋体" w:cs="宋体"/>
          <w:sz w:val="24"/>
        </w:rPr>
        <w:fldChar w:fldCharType="end"/>
      </w:r>
    </w:p>
    <w:p>
      <w:pPr>
        <w:pStyle w:val="6"/>
        <w:widowControl/>
        <w:spacing w:line="400" w:lineRule="atLeast"/>
        <w:ind w:firstLine="480" w:firstLineChars="200"/>
        <w:rPr>
          <w:sz w:val="24"/>
          <w:szCs w:val="24"/>
        </w:rPr>
      </w:pPr>
      <w:r>
        <w:rPr>
          <w:rFonts w:hint="eastAsia" w:ascii="宋体" w:hAnsi="宋体" w:cs="宋体"/>
          <w:sz w:val="24"/>
        </w:rPr>
        <w:t>4.3投标人应及时关注网上相关招标信息，如有遗漏招标人概不负责，所造成的投标失败或损失由投标人自行负责。 投标人在办理 CA 数字证书时，自行填写利益相关企业，由电子招投标系统根据投标人填写的利益相关企业情况，在网上报名时自动提醒利益相关企业已报名（如利益相关企业报名数超过可投标段数的，自动禁止报名），如因企业未如实填写利益相关企业导致利益相关企业投同一标段的，按否决其投标处理。（提示：此段为新增内容，其目的为通过系统自动筛选利益相关体）未按规定从湖南省公共资源交易中心进场交易系统下载招标文件的，招标人将拒收其投标</w:t>
      </w:r>
      <w:r>
        <w:rPr>
          <w:rFonts w:hint="eastAsia" w:ascii="宋体" w:hAnsi="宋体" w:cs="宋体"/>
          <w:sz w:val="24"/>
          <w:szCs w:val="24"/>
        </w:rPr>
        <w:t>。</w:t>
      </w:r>
    </w:p>
    <w:p>
      <w:pPr>
        <w:pStyle w:val="6"/>
        <w:keepNext/>
        <w:keepLines/>
        <w:spacing w:before="240" w:after="240" w:line="440" w:lineRule="atLeast"/>
        <w:outlineLvl w:val="1"/>
        <w:rPr>
          <w:rFonts w:eastAsia="黑体"/>
          <w:b/>
          <w:bCs/>
          <w:kern w:val="44"/>
          <w:sz w:val="28"/>
          <w:szCs w:val="28"/>
        </w:rPr>
      </w:pPr>
      <w:bookmarkStart w:id="9" w:name="_Toc503235719"/>
      <w:bookmarkStart w:id="10" w:name="_Toc510015653"/>
      <w:r>
        <w:rPr>
          <w:rFonts w:eastAsia="黑体"/>
          <w:b/>
          <w:bCs/>
          <w:kern w:val="44"/>
          <w:sz w:val="28"/>
          <w:szCs w:val="28"/>
        </w:rPr>
        <w:t>5. 投标文件的递交及相关事宜</w:t>
      </w:r>
      <w:bookmarkEnd w:id="9"/>
      <w:bookmarkEnd w:id="10"/>
    </w:p>
    <w:p>
      <w:pPr>
        <w:pStyle w:val="6"/>
        <w:autoSpaceDE w:val="0"/>
        <w:autoSpaceDN w:val="0"/>
        <w:adjustRightInd w:val="0"/>
        <w:spacing w:line="440" w:lineRule="atLeast"/>
        <w:ind w:firstLine="480"/>
        <w:rPr>
          <w:sz w:val="24"/>
          <w:szCs w:val="24"/>
        </w:rPr>
      </w:pPr>
      <w:r>
        <w:rPr>
          <w:sz w:val="24"/>
          <w:szCs w:val="24"/>
        </w:rPr>
        <w:t xml:space="preserve">5.1 </w:t>
      </w:r>
      <w:r>
        <w:rPr>
          <w:rFonts w:hint="eastAsia"/>
          <w:sz w:val="24"/>
          <w:szCs w:val="24"/>
        </w:rPr>
        <w:t>招标人不组织工程现场踏勘及投标预备会。</w:t>
      </w:r>
    </w:p>
    <w:p>
      <w:pPr>
        <w:pStyle w:val="6"/>
        <w:autoSpaceDE w:val="0"/>
        <w:autoSpaceDN w:val="0"/>
        <w:adjustRightInd w:val="0"/>
        <w:spacing w:line="440" w:lineRule="atLeast"/>
        <w:ind w:firstLine="480"/>
        <w:rPr>
          <w:sz w:val="24"/>
          <w:szCs w:val="24"/>
        </w:rPr>
      </w:pPr>
      <w:r>
        <w:rPr>
          <w:sz w:val="24"/>
          <w:szCs w:val="24"/>
        </w:rPr>
        <w:t>5.2</w:t>
      </w:r>
      <w:r>
        <w:rPr>
          <w:rFonts w:hint="eastAsia"/>
          <w:sz w:val="24"/>
          <w:szCs w:val="24"/>
        </w:rPr>
        <w:t xml:space="preserve"> 投标文件递交截止时间（投标截止时间，下同）见外网招标公告。投标文件包括加密的投标文件和不加密的投标文件（U 盘或设置密码的压缩文件形式）。投标文件递交的截止时间(投标截止时间，下同)见湖南省公共资源交易中心工程建设项目招投标交易系统本招标公告正文上方，投标人应当在投标截止时间前，按下列两种方式同时递交投标文件：</w:t>
      </w:r>
    </w:p>
    <w:p>
      <w:pPr>
        <w:pStyle w:val="6"/>
        <w:autoSpaceDE w:val="0"/>
        <w:autoSpaceDN w:val="0"/>
        <w:adjustRightInd w:val="0"/>
        <w:spacing w:line="440" w:lineRule="atLeast"/>
        <w:ind w:firstLine="480"/>
        <w:rPr>
          <w:sz w:val="24"/>
          <w:szCs w:val="24"/>
        </w:rPr>
      </w:pPr>
      <w:r>
        <w:rPr>
          <w:rFonts w:hint="eastAsia"/>
          <w:sz w:val="24"/>
          <w:szCs w:val="24"/>
        </w:rPr>
        <w:t>（1） 网上递交：投标人应当在投标截止时间前，通过互联网使用 CA 数字证书登录“电子交易平台”，将加密的投标文件(投标文件第一信封（商务和技术文件）和投标文件第二信封（报价文件）)上传，并保存上传成功后系统自动生成的电子签收凭证，递交时间即为电子签收凭证时间。逾期未完成上传或未按规定加密的投标文件，招标人不予接收。</w:t>
      </w:r>
    </w:p>
    <w:p>
      <w:pPr>
        <w:pStyle w:val="6"/>
        <w:autoSpaceDE w:val="0"/>
        <w:autoSpaceDN w:val="0"/>
        <w:adjustRightInd w:val="0"/>
        <w:spacing w:line="440" w:lineRule="atLeast"/>
        <w:ind w:firstLine="480"/>
        <w:rPr>
          <w:sz w:val="24"/>
          <w:szCs w:val="24"/>
        </w:rPr>
      </w:pPr>
      <w:r>
        <w:rPr>
          <w:rFonts w:hint="eastAsia"/>
          <w:sz w:val="24"/>
          <w:szCs w:val="24"/>
        </w:rPr>
        <w:t>（2）原件等资料送达： 本次招标实行网上解密和开标。湖南省公共资源交易中心目前已全面启动电子化开评标，不见面开标项目无需现场参与，投标人可自行登录“不见面开标大厅”在线解密和收看开标现场。开标过程中因招标文件规定的原因导致解密失败时，招标人可在开标现场直接导入投标人在投标截止时间前递交的不加密的投标文件（U盘或设置密码的压缩文件形式）进行开标。招标人允许投标人将投标保函原件和银行查询授权书原件（如有）和银行信贷证明原件（如有）按照招标文件要求密封后（封套注明项目名称、招标编号、投标人名称），采用邮寄方式最晚于开标之日前一日下午17:00 前交招标人签收（以签收时间为准），邮寄地址：湖南省长沙市开福区三一大道500号金色比华利14栋一单元302车先生收（联系电话</w:t>
      </w:r>
      <w:r>
        <w:rPr>
          <w:rFonts w:hint="eastAsia"/>
          <w:sz w:val="24"/>
          <w:szCs w:val="24"/>
          <w:u w:val="single"/>
        </w:rPr>
        <w:t>18673131585</w:t>
      </w:r>
      <w:r>
        <w:rPr>
          <w:rFonts w:hint="eastAsia"/>
          <w:sz w:val="24"/>
          <w:szCs w:val="24"/>
        </w:rPr>
        <w:t>）。若投标人自愿到达开标现场参加开标活动的，应当在开标当日投标截止时间之前，将不加密的投标文件 ( 投标文件第一信封（商务和技术文件）和投标文件第二信封（报价文件）) )（U盘备份）及投标保函原件和银行查询授权书原件（如有）按照招标文件要求密封后，递交至湖南省长沙市雨花区万家丽南路二段29号湖南省公共资源交易中心开标室（具体开标室请见一楼电子显示屏）交招标人签收；投标人在原件等资料递交完成后，请在三楼休息区、一楼办事大厅休息，禁止进入不见面开标室或在门口、过道聚集。同时投标人须携带加密投标文件的CA数字证书、笔记本电脑并自备可靠的网络连接，全程做好防护，戴好口罩，并按湖南省公共资源交易中心的要求落实相关疫情防控措施。”逾期送达的、未送达指定地点的或不按照招标文件要求密封的投标文件，招标人将予以拒收。</w:t>
      </w:r>
    </w:p>
    <w:p>
      <w:pPr>
        <w:pStyle w:val="6"/>
        <w:autoSpaceDE w:val="0"/>
        <w:autoSpaceDN w:val="0"/>
        <w:adjustRightInd w:val="0"/>
        <w:spacing w:line="360" w:lineRule="auto"/>
        <w:ind w:firstLine="482"/>
        <w:rPr>
          <w:sz w:val="24"/>
          <w:szCs w:val="24"/>
        </w:rPr>
      </w:pPr>
      <w:r>
        <w:rPr>
          <w:sz w:val="24"/>
          <w:szCs w:val="24"/>
        </w:rPr>
        <w:t>5.4 投标保证金的递交：</w:t>
      </w:r>
    </w:p>
    <w:p>
      <w:pPr>
        <w:pStyle w:val="6"/>
        <w:autoSpaceDE w:val="0"/>
        <w:autoSpaceDN w:val="0"/>
        <w:adjustRightInd w:val="0"/>
        <w:spacing w:line="360" w:lineRule="auto"/>
        <w:ind w:firstLine="482"/>
        <w:rPr>
          <w:sz w:val="24"/>
          <w:szCs w:val="24"/>
        </w:rPr>
      </w:pPr>
      <w:r>
        <w:rPr>
          <w:sz w:val="24"/>
          <w:szCs w:val="24"/>
        </w:rPr>
        <w:t>投标保证金的金额：</w:t>
      </w:r>
    </w:p>
    <w:p>
      <w:pPr>
        <w:pStyle w:val="6"/>
        <w:autoSpaceDE w:val="0"/>
        <w:autoSpaceDN w:val="0"/>
        <w:adjustRightInd w:val="0"/>
        <w:spacing w:line="360" w:lineRule="auto"/>
        <w:ind w:firstLine="482"/>
        <w:rPr>
          <w:sz w:val="24"/>
          <w:szCs w:val="24"/>
        </w:rPr>
      </w:pPr>
      <w:r>
        <w:rPr>
          <w:sz w:val="24"/>
          <w:szCs w:val="24"/>
        </w:rPr>
        <w:t xml:space="preserve"> </w:t>
      </w:r>
      <w:r>
        <w:rPr>
          <w:rFonts w:hint="eastAsia"/>
          <w:sz w:val="24"/>
          <w:szCs w:val="24"/>
        </w:rPr>
        <w:t>第</w:t>
      </w:r>
      <w:r>
        <w:rPr>
          <w:rFonts w:hint="eastAsia"/>
          <w:sz w:val="24"/>
          <w:szCs w:val="24"/>
          <w:u w:val="single"/>
        </w:rPr>
        <w:t>C1</w:t>
      </w:r>
      <w:r>
        <w:rPr>
          <w:sz w:val="24"/>
          <w:szCs w:val="24"/>
          <w:u w:val="single"/>
        </w:rPr>
        <w:t xml:space="preserve"> </w:t>
      </w:r>
      <w:r>
        <w:rPr>
          <w:sz w:val="24"/>
          <w:szCs w:val="24"/>
        </w:rPr>
        <w:t>标段</w:t>
      </w:r>
      <w:r>
        <w:rPr>
          <w:sz w:val="24"/>
          <w:szCs w:val="24"/>
          <w:u w:val="single"/>
        </w:rPr>
        <w:t xml:space="preserve"> </w:t>
      </w:r>
      <w:r>
        <w:rPr>
          <w:rFonts w:hint="eastAsia"/>
          <w:sz w:val="24"/>
          <w:szCs w:val="24"/>
          <w:u w:val="single"/>
        </w:rPr>
        <w:t>30</w:t>
      </w:r>
      <w:r>
        <w:rPr>
          <w:sz w:val="24"/>
          <w:szCs w:val="24"/>
          <w:u w:val="single"/>
        </w:rPr>
        <w:t xml:space="preserve"> </w:t>
      </w:r>
      <w:r>
        <w:rPr>
          <w:sz w:val="24"/>
          <w:szCs w:val="24"/>
        </w:rPr>
        <w:t>万元</w:t>
      </w:r>
    </w:p>
    <w:p>
      <w:pPr>
        <w:pStyle w:val="6"/>
        <w:autoSpaceDE w:val="0"/>
        <w:autoSpaceDN w:val="0"/>
        <w:adjustRightInd w:val="0"/>
        <w:spacing w:line="360" w:lineRule="auto"/>
        <w:ind w:firstLine="482"/>
        <w:rPr>
          <w:sz w:val="24"/>
          <w:szCs w:val="24"/>
        </w:rPr>
      </w:pPr>
      <w:r>
        <w:rPr>
          <w:sz w:val="24"/>
          <w:szCs w:val="24"/>
        </w:rPr>
        <w:t xml:space="preserve"> </w:t>
      </w:r>
      <w:r>
        <w:rPr>
          <w:rFonts w:hint="eastAsia"/>
          <w:sz w:val="24"/>
          <w:szCs w:val="24"/>
        </w:rPr>
        <w:t>第</w:t>
      </w:r>
      <w:r>
        <w:rPr>
          <w:rFonts w:hint="eastAsia"/>
          <w:sz w:val="24"/>
          <w:szCs w:val="24"/>
          <w:u w:val="single"/>
        </w:rPr>
        <w:t>C2</w:t>
      </w:r>
      <w:r>
        <w:rPr>
          <w:sz w:val="24"/>
          <w:szCs w:val="24"/>
          <w:u w:val="single"/>
        </w:rPr>
        <w:t xml:space="preserve"> </w:t>
      </w:r>
      <w:r>
        <w:rPr>
          <w:sz w:val="24"/>
          <w:szCs w:val="24"/>
        </w:rPr>
        <w:t>标段</w:t>
      </w:r>
      <w:r>
        <w:rPr>
          <w:sz w:val="24"/>
          <w:szCs w:val="24"/>
          <w:u w:val="single"/>
        </w:rPr>
        <w:t xml:space="preserve"> </w:t>
      </w:r>
      <w:r>
        <w:rPr>
          <w:rFonts w:hint="eastAsia"/>
          <w:sz w:val="24"/>
          <w:szCs w:val="24"/>
          <w:u w:val="single"/>
        </w:rPr>
        <w:t>25</w:t>
      </w:r>
      <w:r>
        <w:rPr>
          <w:sz w:val="24"/>
          <w:szCs w:val="24"/>
          <w:u w:val="single"/>
        </w:rPr>
        <w:t xml:space="preserve"> </w:t>
      </w:r>
      <w:r>
        <w:rPr>
          <w:sz w:val="24"/>
          <w:szCs w:val="24"/>
        </w:rPr>
        <w:t>万元</w:t>
      </w:r>
    </w:p>
    <w:p>
      <w:pPr>
        <w:pStyle w:val="6"/>
        <w:autoSpaceDE w:val="0"/>
        <w:autoSpaceDN w:val="0"/>
        <w:adjustRightInd w:val="0"/>
        <w:spacing w:line="360" w:lineRule="auto"/>
        <w:ind w:firstLine="482"/>
        <w:rPr>
          <w:sz w:val="24"/>
          <w:szCs w:val="24"/>
        </w:rPr>
      </w:pPr>
      <w:r>
        <w:rPr>
          <w:sz w:val="24"/>
          <w:szCs w:val="24"/>
        </w:rPr>
        <w:t>（1）投标人采用现金或者支票形式提交的投标保证金应当从其基本账户转出，投标人应在投标截止时间前以转账、电汇、网银方式从投标人基本账户一次性划款到以下指定投标保证金专用账号上（以到账时间为准）。</w:t>
      </w:r>
    </w:p>
    <w:p>
      <w:pPr>
        <w:pStyle w:val="6"/>
        <w:autoSpaceDE w:val="0"/>
        <w:autoSpaceDN w:val="0"/>
        <w:adjustRightInd w:val="0"/>
        <w:spacing w:line="360" w:lineRule="auto"/>
        <w:ind w:firstLine="482"/>
        <w:rPr>
          <w:sz w:val="24"/>
          <w:szCs w:val="24"/>
        </w:rPr>
      </w:pPr>
      <w:r>
        <w:rPr>
          <w:rFonts w:hint="eastAsia"/>
          <w:sz w:val="24"/>
          <w:szCs w:val="24"/>
        </w:rPr>
        <w:t>招标标段：</w:t>
      </w:r>
      <w:r>
        <w:rPr>
          <w:rFonts w:hint="eastAsia"/>
          <w:sz w:val="24"/>
          <w:szCs w:val="24"/>
          <w:u w:val="single"/>
        </w:rPr>
        <w:t>第C1标段</w:t>
      </w:r>
    </w:p>
    <w:p>
      <w:pPr>
        <w:pStyle w:val="6"/>
        <w:autoSpaceDE w:val="0"/>
        <w:autoSpaceDN w:val="0"/>
        <w:adjustRightInd w:val="0"/>
        <w:spacing w:line="360" w:lineRule="auto"/>
        <w:ind w:firstLine="482"/>
        <w:rPr>
          <w:sz w:val="24"/>
          <w:szCs w:val="24"/>
        </w:rPr>
      </w:pPr>
      <w:r>
        <w:rPr>
          <w:rFonts w:hint="eastAsia"/>
          <w:sz w:val="24"/>
          <w:szCs w:val="24"/>
        </w:rPr>
        <w:t>户</w:t>
      </w:r>
      <w:r>
        <w:rPr>
          <w:sz w:val="24"/>
          <w:szCs w:val="24"/>
        </w:rPr>
        <w:t xml:space="preserve">    </w:t>
      </w:r>
      <w:r>
        <w:rPr>
          <w:rFonts w:hint="eastAsia"/>
          <w:sz w:val="24"/>
          <w:szCs w:val="24"/>
        </w:rPr>
        <w:t>名：</w:t>
      </w:r>
      <w:r>
        <w:rPr>
          <w:rFonts w:hint="eastAsia"/>
          <w:sz w:val="24"/>
          <w:szCs w:val="24"/>
          <w:u w:val="single"/>
        </w:rPr>
        <w:t>湖南省公共资源交易中心</w:t>
      </w:r>
    </w:p>
    <w:p>
      <w:pPr>
        <w:pStyle w:val="6"/>
        <w:autoSpaceDE w:val="0"/>
        <w:autoSpaceDN w:val="0"/>
        <w:adjustRightInd w:val="0"/>
        <w:spacing w:line="360" w:lineRule="auto"/>
        <w:ind w:firstLine="482"/>
        <w:rPr>
          <w:sz w:val="24"/>
          <w:szCs w:val="24"/>
        </w:rPr>
      </w:pPr>
      <w:r>
        <w:rPr>
          <w:rFonts w:hint="eastAsia"/>
          <w:sz w:val="24"/>
          <w:szCs w:val="24"/>
        </w:rPr>
        <w:t>开户银行：</w:t>
      </w:r>
      <w:r>
        <w:rPr>
          <w:rFonts w:hint="eastAsia"/>
          <w:sz w:val="24"/>
          <w:szCs w:val="24"/>
          <w:u w:val="single"/>
        </w:rPr>
        <w:t>长沙银行湘府路支行</w:t>
      </w:r>
    </w:p>
    <w:p>
      <w:pPr>
        <w:pStyle w:val="6"/>
        <w:autoSpaceDE w:val="0"/>
        <w:autoSpaceDN w:val="0"/>
        <w:adjustRightInd w:val="0"/>
        <w:spacing w:line="360" w:lineRule="auto"/>
        <w:ind w:firstLine="482"/>
        <w:rPr>
          <w:sz w:val="24"/>
          <w:szCs w:val="24"/>
          <w:u w:val="single"/>
        </w:rPr>
      </w:pPr>
      <w:r>
        <w:rPr>
          <w:rFonts w:hint="eastAsia"/>
          <w:sz w:val="24"/>
          <w:szCs w:val="24"/>
        </w:rPr>
        <w:t>账</w:t>
      </w:r>
      <w:r>
        <w:rPr>
          <w:sz w:val="24"/>
          <w:szCs w:val="24"/>
        </w:rPr>
        <w:t xml:space="preserve">    </w:t>
      </w:r>
      <w:r>
        <w:rPr>
          <w:rFonts w:hint="eastAsia"/>
          <w:sz w:val="24"/>
          <w:szCs w:val="24"/>
        </w:rPr>
        <w:t>号：</w:t>
      </w:r>
      <w:r>
        <w:rPr>
          <w:rFonts w:hint="eastAsia"/>
          <w:sz w:val="24"/>
          <w:szCs w:val="24"/>
          <w:u w:val="single"/>
        </w:rPr>
        <w:t>607053478</w:t>
      </w:r>
    </w:p>
    <w:p>
      <w:pPr>
        <w:pStyle w:val="6"/>
        <w:autoSpaceDE w:val="0"/>
        <w:autoSpaceDN w:val="0"/>
        <w:adjustRightInd w:val="0"/>
        <w:spacing w:line="360" w:lineRule="auto"/>
        <w:ind w:firstLine="482"/>
        <w:rPr>
          <w:sz w:val="24"/>
          <w:szCs w:val="24"/>
        </w:rPr>
      </w:pPr>
      <w:r>
        <w:rPr>
          <w:rFonts w:hint="eastAsia"/>
          <w:sz w:val="24"/>
          <w:szCs w:val="24"/>
        </w:rPr>
        <w:t>招标标段：</w:t>
      </w:r>
      <w:r>
        <w:rPr>
          <w:rFonts w:hint="eastAsia"/>
          <w:sz w:val="24"/>
          <w:szCs w:val="24"/>
          <w:u w:val="single"/>
        </w:rPr>
        <w:t>第C2标段</w:t>
      </w:r>
    </w:p>
    <w:p>
      <w:pPr>
        <w:pStyle w:val="6"/>
        <w:autoSpaceDE w:val="0"/>
        <w:autoSpaceDN w:val="0"/>
        <w:adjustRightInd w:val="0"/>
        <w:spacing w:line="360" w:lineRule="auto"/>
        <w:ind w:firstLine="482"/>
        <w:rPr>
          <w:sz w:val="24"/>
          <w:szCs w:val="24"/>
        </w:rPr>
      </w:pPr>
      <w:r>
        <w:rPr>
          <w:rFonts w:hint="eastAsia"/>
          <w:sz w:val="24"/>
          <w:szCs w:val="24"/>
        </w:rPr>
        <w:t>户</w:t>
      </w:r>
      <w:r>
        <w:rPr>
          <w:sz w:val="24"/>
          <w:szCs w:val="24"/>
        </w:rPr>
        <w:t xml:space="preserve">    </w:t>
      </w:r>
      <w:r>
        <w:rPr>
          <w:rFonts w:hint="eastAsia"/>
          <w:sz w:val="24"/>
          <w:szCs w:val="24"/>
        </w:rPr>
        <w:t>名：</w:t>
      </w:r>
      <w:r>
        <w:rPr>
          <w:rFonts w:hint="eastAsia"/>
          <w:sz w:val="24"/>
          <w:szCs w:val="24"/>
          <w:u w:val="single"/>
        </w:rPr>
        <w:t>湖南省公共资源交易中心</w:t>
      </w:r>
    </w:p>
    <w:p>
      <w:pPr>
        <w:pStyle w:val="6"/>
        <w:autoSpaceDE w:val="0"/>
        <w:autoSpaceDN w:val="0"/>
        <w:adjustRightInd w:val="0"/>
        <w:spacing w:line="360" w:lineRule="auto"/>
        <w:ind w:firstLine="482"/>
        <w:rPr>
          <w:sz w:val="24"/>
          <w:szCs w:val="24"/>
        </w:rPr>
      </w:pPr>
      <w:r>
        <w:rPr>
          <w:rFonts w:hint="eastAsia"/>
          <w:sz w:val="24"/>
          <w:szCs w:val="24"/>
        </w:rPr>
        <w:t>开户银行：</w:t>
      </w:r>
      <w:r>
        <w:rPr>
          <w:rFonts w:hint="eastAsia"/>
          <w:sz w:val="24"/>
          <w:szCs w:val="24"/>
          <w:u w:val="single"/>
        </w:rPr>
        <w:t>长沙银行湘府路支行</w:t>
      </w:r>
    </w:p>
    <w:p>
      <w:pPr>
        <w:pStyle w:val="6"/>
        <w:autoSpaceDE w:val="0"/>
        <w:autoSpaceDN w:val="0"/>
        <w:adjustRightInd w:val="0"/>
        <w:spacing w:line="360" w:lineRule="auto"/>
        <w:ind w:firstLine="482"/>
        <w:rPr>
          <w:sz w:val="24"/>
          <w:szCs w:val="24"/>
        </w:rPr>
      </w:pPr>
      <w:r>
        <w:rPr>
          <w:rFonts w:hint="eastAsia"/>
          <w:sz w:val="24"/>
          <w:szCs w:val="24"/>
        </w:rPr>
        <w:t>账</w:t>
      </w:r>
      <w:r>
        <w:rPr>
          <w:sz w:val="24"/>
          <w:szCs w:val="24"/>
        </w:rPr>
        <w:t xml:space="preserve">    </w:t>
      </w:r>
      <w:r>
        <w:rPr>
          <w:rFonts w:hint="eastAsia"/>
          <w:sz w:val="24"/>
          <w:szCs w:val="24"/>
        </w:rPr>
        <w:t>号：</w:t>
      </w:r>
      <w:r>
        <w:rPr>
          <w:rFonts w:hint="eastAsia"/>
          <w:sz w:val="24"/>
          <w:szCs w:val="24"/>
          <w:u w:val="single"/>
        </w:rPr>
        <w:t>607053080</w:t>
      </w:r>
    </w:p>
    <w:p>
      <w:pPr>
        <w:pStyle w:val="6"/>
        <w:autoSpaceDE w:val="0"/>
        <w:autoSpaceDN w:val="0"/>
        <w:adjustRightInd w:val="0"/>
        <w:spacing w:line="360" w:lineRule="auto"/>
        <w:ind w:firstLine="482"/>
        <w:rPr>
          <w:rFonts w:eastAsia="黑体"/>
          <w:sz w:val="24"/>
          <w:szCs w:val="20"/>
        </w:rPr>
      </w:pPr>
      <w:r>
        <w:rPr>
          <w:sz w:val="24"/>
          <w:szCs w:val="24"/>
        </w:rPr>
        <w:t>（2）采用银行保函时，应由投标人开立基本账户的银行出具（联合体投标的，由牵头人开立基本账户的银行出具）保函，与银行查询授权书原件一并在投标截止时间前交招标人。</w:t>
      </w:r>
    </w:p>
    <w:p>
      <w:pPr>
        <w:pStyle w:val="6"/>
        <w:keepNext/>
        <w:keepLines/>
        <w:spacing w:before="240" w:after="240" w:line="440" w:lineRule="atLeast"/>
        <w:outlineLvl w:val="1"/>
        <w:rPr>
          <w:rFonts w:eastAsia="黑体"/>
          <w:b/>
          <w:bCs/>
          <w:kern w:val="44"/>
          <w:sz w:val="28"/>
          <w:szCs w:val="28"/>
        </w:rPr>
      </w:pPr>
      <w:bookmarkStart w:id="11" w:name="_Toc517377022"/>
      <w:r>
        <w:rPr>
          <w:rFonts w:eastAsia="黑体"/>
          <w:b/>
          <w:bCs/>
          <w:kern w:val="44"/>
          <w:sz w:val="28"/>
          <w:szCs w:val="28"/>
        </w:rPr>
        <w:t>6．评标办法</w:t>
      </w:r>
      <w:bookmarkEnd w:id="11"/>
    </w:p>
    <w:p>
      <w:pPr>
        <w:pStyle w:val="6"/>
        <w:topLinePunct/>
        <w:spacing w:line="400" w:lineRule="atLeast"/>
        <w:ind w:firstLine="360" w:firstLineChars="150"/>
        <w:rPr>
          <w:rFonts w:eastAsia="黑体"/>
          <w:sz w:val="24"/>
          <w:szCs w:val="20"/>
        </w:rPr>
      </w:pPr>
      <w:r>
        <w:rPr>
          <w:rFonts w:eastAsia="黑体"/>
          <w:sz w:val="24"/>
          <w:szCs w:val="20"/>
        </w:rPr>
        <w:t>本项目评标办法采用</w:t>
      </w:r>
      <w:r>
        <w:rPr>
          <w:rFonts w:hint="eastAsia" w:eastAsia="黑体"/>
          <w:sz w:val="24"/>
          <w:szCs w:val="20"/>
          <w:u w:val="single"/>
        </w:rPr>
        <w:t>综合评估法</w:t>
      </w:r>
      <w:r>
        <w:rPr>
          <w:rFonts w:eastAsia="黑体"/>
          <w:sz w:val="24"/>
          <w:szCs w:val="20"/>
        </w:rPr>
        <w:t>。</w:t>
      </w:r>
    </w:p>
    <w:p>
      <w:pPr>
        <w:pStyle w:val="6"/>
        <w:keepNext/>
        <w:keepLines/>
        <w:spacing w:before="240" w:after="240" w:line="440" w:lineRule="atLeast"/>
        <w:outlineLvl w:val="1"/>
        <w:rPr>
          <w:rFonts w:eastAsia="黑体"/>
          <w:b/>
          <w:bCs/>
          <w:kern w:val="44"/>
          <w:sz w:val="28"/>
          <w:szCs w:val="28"/>
        </w:rPr>
      </w:pPr>
      <w:bookmarkStart w:id="12" w:name="_Toc510015654"/>
      <w:bookmarkStart w:id="13" w:name="_Toc503235720"/>
      <w:r>
        <w:rPr>
          <w:rFonts w:eastAsia="黑体"/>
          <w:b/>
          <w:bCs/>
          <w:kern w:val="44"/>
          <w:sz w:val="28"/>
          <w:szCs w:val="28"/>
        </w:rPr>
        <w:t>7. 发布公告的媒介</w:t>
      </w:r>
      <w:bookmarkEnd w:id="12"/>
      <w:bookmarkEnd w:id="13"/>
    </w:p>
    <w:p>
      <w:pPr>
        <w:pStyle w:val="6"/>
        <w:topLinePunct/>
        <w:spacing w:line="400" w:lineRule="atLeast"/>
        <w:ind w:firstLine="480" w:firstLineChars="200"/>
        <w:rPr>
          <w:rFonts w:eastAsia="黑体"/>
          <w:sz w:val="24"/>
          <w:szCs w:val="24"/>
        </w:rPr>
      </w:pPr>
      <w:r>
        <w:rPr>
          <w:rFonts w:eastAsia="黑体"/>
          <w:sz w:val="24"/>
          <w:szCs w:val="24"/>
        </w:rPr>
        <w:t>本次招标公告同时在中国招标投标公共服务平台（http://bulletin.cebpubservice.com）、湖南省招标投标监管网（</w:t>
      </w:r>
      <w:r>
        <w:fldChar w:fldCharType="begin"/>
      </w:r>
      <w:r>
        <w:instrText xml:space="preserve"> HYPERLINK "http://www.bidding.hunan.gov.cn）上发布，公布时间至" </w:instrText>
      </w:r>
      <w:r>
        <w:fldChar w:fldCharType="separate"/>
      </w:r>
      <w:r>
        <w:rPr>
          <w:rFonts w:eastAsia="黑体"/>
          <w:sz w:val="24"/>
          <w:szCs w:val="24"/>
        </w:rPr>
        <w:t>www.</w:t>
      </w:r>
      <w:bookmarkStart w:id="14" w:name="_Hlt346440196"/>
      <w:bookmarkStart w:id="15" w:name="_Hlt346440195"/>
      <w:r>
        <w:rPr>
          <w:rFonts w:eastAsia="黑体"/>
          <w:sz w:val="24"/>
          <w:szCs w:val="24"/>
        </w:rPr>
        <w:t>b</w:t>
      </w:r>
      <w:bookmarkEnd w:id="14"/>
      <w:bookmarkEnd w:id="15"/>
      <w:r>
        <w:rPr>
          <w:rFonts w:eastAsia="黑体"/>
          <w:sz w:val="24"/>
          <w:szCs w:val="24"/>
        </w:rPr>
        <w:t>idding.hunan.gov.cn）、湖南省交通运输厅网（www.hnjt.gov.cn）</w:t>
      </w:r>
      <w:r>
        <w:rPr>
          <w:rFonts w:hint="eastAsia" w:eastAsia="黑体"/>
          <w:sz w:val="24"/>
          <w:szCs w:val="24"/>
        </w:rPr>
        <w:t>、</w:t>
      </w:r>
      <w:r>
        <w:rPr>
          <w:rFonts w:eastAsia="黑体"/>
          <w:sz w:val="24"/>
          <w:szCs w:val="24"/>
        </w:rPr>
        <w:t>湖南省公共资源交易中心（https://ggzy.hunan.gov.cn）网上发布</w:t>
      </w:r>
      <w:r>
        <w:rPr>
          <w:rFonts w:eastAsia="黑体"/>
          <w:sz w:val="24"/>
          <w:szCs w:val="24"/>
        </w:rPr>
        <w:fldChar w:fldCharType="end"/>
      </w:r>
      <w:r>
        <w:rPr>
          <w:rFonts w:eastAsia="黑体"/>
          <w:sz w:val="24"/>
          <w:szCs w:val="24"/>
        </w:rPr>
        <w:t>。</w:t>
      </w:r>
    </w:p>
    <w:p>
      <w:pPr>
        <w:pStyle w:val="6"/>
        <w:keepNext/>
        <w:keepLines/>
        <w:spacing w:before="240" w:after="240" w:line="440" w:lineRule="atLeast"/>
        <w:outlineLvl w:val="1"/>
        <w:rPr>
          <w:rFonts w:eastAsia="黑体"/>
          <w:b/>
          <w:bCs/>
          <w:kern w:val="44"/>
          <w:sz w:val="28"/>
          <w:szCs w:val="28"/>
        </w:rPr>
      </w:pPr>
      <w:bookmarkStart w:id="16" w:name="_Toc516774588"/>
      <w:r>
        <w:rPr>
          <w:rFonts w:eastAsia="黑体"/>
          <w:b/>
          <w:bCs/>
          <w:kern w:val="44"/>
          <w:sz w:val="28"/>
          <w:szCs w:val="28"/>
        </w:rPr>
        <w:t>8. 附件</w:t>
      </w:r>
      <w:bookmarkEnd w:id="16"/>
    </w:p>
    <w:p>
      <w:pPr>
        <w:pStyle w:val="6"/>
        <w:topLinePunct/>
        <w:spacing w:line="440" w:lineRule="atLeast"/>
        <w:ind w:firstLine="480" w:firstLineChars="200"/>
        <w:rPr>
          <w:rFonts w:eastAsia="黑体"/>
          <w:sz w:val="24"/>
          <w:szCs w:val="24"/>
        </w:rPr>
      </w:pPr>
      <w:r>
        <w:rPr>
          <w:rFonts w:eastAsia="黑体"/>
          <w:sz w:val="24"/>
          <w:szCs w:val="24"/>
        </w:rPr>
        <w:t>附件1：</w:t>
      </w:r>
      <w:r>
        <w:rPr>
          <w:rFonts w:hint="eastAsia" w:eastAsia="黑体"/>
          <w:sz w:val="24"/>
          <w:szCs w:val="24"/>
          <w:lang w:val="en-US" w:eastAsia="zh-CN"/>
        </w:rPr>
        <w:t>C1合同段资格审查要求和评审办法</w:t>
      </w:r>
    </w:p>
    <w:p>
      <w:pPr>
        <w:pStyle w:val="6"/>
        <w:topLinePunct/>
        <w:spacing w:line="440" w:lineRule="atLeast"/>
        <w:ind w:firstLine="480" w:firstLineChars="200"/>
        <w:rPr>
          <w:rFonts w:eastAsia="黑体"/>
          <w:sz w:val="24"/>
          <w:szCs w:val="24"/>
        </w:rPr>
      </w:pPr>
      <w:r>
        <w:rPr>
          <w:rFonts w:eastAsia="黑体"/>
          <w:sz w:val="24"/>
          <w:szCs w:val="24"/>
        </w:rPr>
        <w:t>附件2：</w:t>
      </w:r>
      <w:r>
        <w:rPr>
          <w:rFonts w:hint="eastAsia" w:ascii="Times New Roman" w:hAnsi="Times New Roman" w:eastAsia="黑体" w:cs="Times New Roman"/>
          <w:sz w:val="24"/>
          <w:szCs w:val="24"/>
          <w:lang w:val="en-US" w:eastAsia="zh-CN"/>
        </w:rPr>
        <w:t>C2合同段资格审查要求和评审办法</w:t>
      </w:r>
    </w:p>
    <w:p>
      <w:pPr>
        <w:pStyle w:val="6"/>
        <w:topLinePunct/>
        <w:spacing w:line="440" w:lineRule="atLeast"/>
        <w:ind w:firstLine="480" w:firstLineChars="200"/>
        <w:rPr>
          <w:rFonts w:eastAsia="黑体"/>
          <w:sz w:val="24"/>
          <w:szCs w:val="24"/>
        </w:rPr>
      </w:pPr>
      <w:r>
        <w:rPr>
          <w:rFonts w:eastAsia="黑体"/>
          <w:sz w:val="24"/>
          <w:szCs w:val="24"/>
        </w:rPr>
        <w:t>附件3：项目概况</w:t>
      </w:r>
    </w:p>
    <w:p>
      <w:pPr>
        <w:pStyle w:val="6"/>
        <w:keepNext/>
        <w:keepLines/>
        <w:spacing w:before="240" w:after="240" w:line="440" w:lineRule="atLeast"/>
        <w:outlineLvl w:val="1"/>
        <w:rPr>
          <w:rFonts w:eastAsia="黑体"/>
          <w:b/>
          <w:bCs/>
          <w:kern w:val="44"/>
          <w:sz w:val="28"/>
          <w:szCs w:val="28"/>
        </w:rPr>
      </w:pPr>
      <w:bookmarkStart w:id="17" w:name="_Toc503235721"/>
      <w:bookmarkStart w:id="18" w:name="_Toc510015655"/>
      <w:r>
        <w:rPr>
          <w:b/>
          <w:bCs/>
          <w:kern w:val="44"/>
          <w:sz w:val="28"/>
          <w:szCs w:val="28"/>
        </w:rPr>
        <w:t>9</w:t>
      </w:r>
      <w:r>
        <w:rPr>
          <w:rFonts w:eastAsia="黑体"/>
          <w:b/>
          <w:bCs/>
          <w:kern w:val="44"/>
          <w:sz w:val="28"/>
          <w:szCs w:val="28"/>
        </w:rPr>
        <w:t>. 联系方式</w:t>
      </w:r>
      <w:bookmarkEnd w:id="17"/>
      <w:bookmarkEnd w:id="18"/>
    </w:p>
    <w:p>
      <w:pPr>
        <w:pStyle w:val="6"/>
        <w:topLinePunct/>
        <w:spacing w:line="400" w:lineRule="atLeast"/>
        <w:ind w:firstLine="480" w:firstLineChars="200"/>
        <w:rPr>
          <w:sz w:val="24"/>
          <w:szCs w:val="24"/>
        </w:rPr>
      </w:pPr>
      <w:r>
        <w:rPr>
          <w:sz w:val="24"/>
          <w:szCs w:val="24"/>
        </w:rPr>
        <w:t>招 标 人：</w:t>
      </w:r>
      <w:r>
        <w:rPr>
          <w:sz w:val="24"/>
          <w:szCs w:val="24"/>
          <w:u w:val="single"/>
        </w:rPr>
        <w:t>湖南省高速公路集团有限公司</w:t>
      </w:r>
      <w:r>
        <w:rPr>
          <w:sz w:val="24"/>
          <w:szCs w:val="24"/>
        </w:rPr>
        <w:t xml:space="preserve">        </w:t>
      </w:r>
    </w:p>
    <w:p>
      <w:pPr>
        <w:pStyle w:val="6"/>
        <w:topLinePunct/>
        <w:spacing w:line="400" w:lineRule="atLeast"/>
        <w:ind w:firstLine="480" w:firstLineChars="200"/>
        <w:rPr>
          <w:sz w:val="24"/>
          <w:szCs w:val="24"/>
        </w:rPr>
      </w:pPr>
      <w:r>
        <w:rPr>
          <w:sz w:val="24"/>
          <w:szCs w:val="24"/>
        </w:rPr>
        <w:t>地    址：</w:t>
      </w:r>
      <w:r>
        <w:rPr>
          <w:sz w:val="24"/>
          <w:szCs w:val="24"/>
          <w:u w:val="single"/>
        </w:rPr>
        <w:t>长沙市开福区三一大道500号</w:t>
      </w:r>
      <w:r>
        <w:rPr>
          <w:sz w:val="24"/>
          <w:szCs w:val="24"/>
        </w:rPr>
        <w:t xml:space="preserve">             </w:t>
      </w:r>
    </w:p>
    <w:p>
      <w:pPr>
        <w:pStyle w:val="6"/>
        <w:topLinePunct/>
        <w:spacing w:line="400" w:lineRule="atLeast"/>
        <w:ind w:firstLine="480" w:firstLineChars="200"/>
        <w:rPr>
          <w:sz w:val="24"/>
          <w:szCs w:val="24"/>
        </w:rPr>
      </w:pPr>
      <w:r>
        <w:rPr>
          <w:sz w:val="24"/>
          <w:szCs w:val="24"/>
        </w:rPr>
        <w:t>联 系 人</w:t>
      </w:r>
      <w:r>
        <w:rPr>
          <w:rFonts w:hint="eastAsia"/>
          <w:sz w:val="24"/>
          <w:szCs w:val="24"/>
        </w:rPr>
        <w:t>：吴</w:t>
      </w:r>
      <w:r>
        <w:rPr>
          <w:sz w:val="24"/>
          <w:szCs w:val="24"/>
        </w:rPr>
        <w:t xml:space="preserve">先生        </w:t>
      </w:r>
    </w:p>
    <w:p>
      <w:pPr>
        <w:pStyle w:val="6"/>
        <w:topLinePunct/>
        <w:spacing w:line="400" w:lineRule="atLeast"/>
        <w:ind w:firstLine="480" w:firstLineChars="200"/>
        <w:rPr>
          <w:sz w:val="24"/>
          <w:szCs w:val="24"/>
        </w:rPr>
      </w:pPr>
      <w:r>
        <w:rPr>
          <w:sz w:val="24"/>
          <w:szCs w:val="24"/>
        </w:rPr>
        <w:t>电    话：</w:t>
      </w:r>
      <w:r>
        <w:rPr>
          <w:rFonts w:hint="eastAsia"/>
          <w:sz w:val="24"/>
          <w:szCs w:val="24"/>
          <w:u w:val="single"/>
        </w:rPr>
        <w:t>0731-89757087</w:t>
      </w:r>
      <w:r>
        <w:rPr>
          <w:sz w:val="24"/>
          <w:szCs w:val="24"/>
        </w:rPr>
        <w:t xml:space="preserve">    </w:t>
      </w:r>
    </w:p>
    <w:p>
      <w:pPr>
        <w:pStyle w:val="6"/>
        <w:topLinePunct/>
        <w:spacing w:line="400" w:lineRule="atLeast"/>
        <w:ind w:firstLine="480" w:firstLineChars="200"/>
        <w:rPr>
          <w:sz w:val="24"/>
          <w:szCs w:val="24"/>
        </w:rPr>
      </w:pPr>
      <w:r>
        <w:rPr>
          <w:rFonts w:hint="eastAsia"/>
          <w:sz w:val="24"/>
          <w:szCs w:val="24"/>
        </w:rPr>
        <w:t>招标代理机构：</w:t>
      </w:r>
      <w:r>
        <w:fldChar w:fldCharType="begin"/>
      </w:r>
      <w:r>
        <w:instrText xml:space="preserve"> HYPERLINK "https://baike.so.com/doc/20014847-20566315.html" </w:instrText>
      </w:r>
      <w:r>
        <w:fldChar w:fldCharType="separate"/>
      </w:r>
      <w:r>
        <w:rPr>
          <w:rFonts w:hint="eastAsia"/>
          <w:sz w:val="24"/>
          <w:szCs w:val="24"/>
          <w:u w:val="single"/>
        </w:rPr>
        <w:t>湖南高速工程咨询有限公司</w:t>
      </w:r>
      <w:r>
        <w:rPr>
          <w:rFonts w:hint="eastAsia"/>
          <w:sz w:val="24"/>
          <w:szCs w:val="24"/>
          <w:u w:val="single"/>
        </w:rPr>
        <w:fldChar w:fldCharType="end"/>
      </w:r>
    </w:p>
    <w:p>
      <w:pPr>
        <w:pStyle w:val="6"/>
        <w:topLinePunct/>
        <w:spacing w:line="400" w:lineRule="atLeast"/>
        <w:ind w:firstLine="480" w:firstLineChars="200"/>
        <w:rPr>
          <w:sz w:val="24"/>
          <w:szCs w:val="24"/>
          <w:u w:val="single"/>
        </w:rPr>
      </w:pPr>
      <w:r>
        <w:rPr>
          <w:rFonts w:hint="eastAsia"/>
          <w:sz w:val="24"/>
          <w:szCs w:val="24"/>
        </w:rPr>
        <w:t>联  系  人：</w:t>
      </w:r>
      <w:r>
        <w:rPr>
          <w:rFonts w:hint="eastAsia"/>
          <w:sz w:val="24"/>
          <w:szCs w:val="24"/>
          <w:u w:val="single"/>
        </w:rPr>
        <w:t>车先生</w:t>
      </w:r>
    </w:p>
    <w:p>
      <w:pPr>
        <w:pStyle w:val="6"/>
        <w:topLinePunct/>
        <w:spacing w:line="400" w:lineRule="atLeast"/>
        <w:ind w:firstLine="480" w:firstLineChars="200"/>
        <w:rPr>
          <w:sz w:val="24"/>
          <w:szCs w:val="24"/>
        </w:rPr>
      </w:pPr>
      <w:r>
        <w:rPr>
          <w:rFonts w:hint="eastAsia"/>
          <w:sz w:val="24"/>
          <w:szCs w:val="24"/>
        </w:rPr>
        <w:t>项目负责人：</w:t>
      </w:r>
      <w:r>
        <w:rPr>
          <w:rFonts w:hint="eastAsia"/>
          <w:sz w:val="24"/>
          <w:szCs w:val="24"/>
          <w:u w:val="single"/>
        </w:rPr>
        <w:t>车旭东、聂灿</w:t>
      </w:r>
      <w:r>
        <w:rPr>
          <w:rFonts w:hint="eastAsia"/>
          <w:sz w:val="24"/>
          <w:szCs w:val="24"/>
        </w:rPr>
        <w:t xml:space="preserve">              </w:t>
      </w:r>
    </w:p>
    <w:p>
      <w:pPr>
        <w:pStyle w:val="6"/>
        <w:topLinePunct/>
        <w:spacing w:line="400" w:lineRule="atLeast"/>
        <w:ind w:firstLine="480" w:firstLineChars="200"/>
        <w:rPr>
          <w:sz w:val="24"/>
          <w:szCs w:val="24"/>
        </w:rPr>
      </w:pPr>
      <w:r>
        <w:rPr>
          <w:rFonts w:hint="eastAsia"/>
          <w:sz w:val="24"/>
          <w:szCs w:val="24"/>
        </w:rPr>
        <w:t>电      话：</w:t>
      </w:r>
      <w:r>
        <w:rPr>
          <w:rFonts w:hint="eastAsia"/>
          <w:sz w:val="24"/>
          <w:szCs w:val="24"/>
          <w:u w:val="single"/>
        </w:rPr>
        <w:t>0731-85222202</w:t>
      </w:r>
      <w:r>
        <w:rPr>
          <w:rFonts w:hint="eastAsia"/>
          <w:sz w:val="24"/>
          <w:szCs w:val="24"/>
        </w:rPr>
        <w:t xml:space="preserve">       </w:t>
      </w:r>
    </w:p>
    <w:p>
      <w:pPr>
        <w:pStyle w:val="6"/>
        <w:topLinePunct/>
        <w:spacing w:line="400" w:lineRule="atLeast"/>
        <w:ind w:firstLine="480" w:firstLineChars="200"/>
        <w:rPr>
          <w:sz w:val="24"/>
          <w:szCs w:val="24"/>
        </w:rPr>
      </w:pPr>
      <w:r>
        <w:rPr>
          <w:rFonts w:hint="eastAsia"/>
          <w:sz w:val="24"/>
          <w:szCs w:val="24"/>
        </w:rPr>
        <w:t>地      址：</w:t>
      </w:r>
      <w:r>
        <w:rPr>
          <w:rFonts w:hint="eastAsia"/>
          <w:sz w:val="24"/>
          <w:szCs w:val="24"/>
          <w:u w:val="single"/>
        </w:rPr>
        <w:t>湖南省浏阳经济技术开发区康宁路319号</w:t>
      </w:r>
      <w:r>
        <w:rPr>
          <w:sz w:val="24"/>
          <w:szCs w:val="24"/>
        </w:rPr>
        <w:t xml:space="preserve">                                                                         </w:t>
      </w:r>
    </w:p>
    <w:p>
      <w:pPr>
        <w:pStyle w:val="6"/>
        <w:topLinePunct/>
        <w:spacing w:line="400" w:lineRule="atLeast"/>
        <w:ind w:firstLine="480" w:firstLineChars="200"/>
        <w:rPr>
          <w:sz w:val="24"/>
          <w:szCs w:val="24"/>
        </w:rPr>
      </w:pPr>
      <w:r>
        <w:rPr>
          <w:sz w:val="24"/>
          <w:szCs w:val="24"/>
        </w:rPr>
        <w:t>监督部门：</w:t>
      </w:r>
      <w:r>
        <w:rPr>
          <w:sz w:val="24"/>
          <w:szCs w:val="24"/>
          <w:u w:val="single"/>
        </w:rPr>
        <w:t>湖南省交通运输厅</w:t>
      </w:r>
    </w:p>
    <w:p>
      <w:pPr>
        <w:pStyle w:val="6"/>
        <w:topLinePunct/>
        <w:spacing w:line="400" w:lineRule="atLeast"/>
        <w:ind w:firstLine="480" w:firstLineChars="200"/>
        <w:rPr>
          <w:sz w:val="24"/>
          <w:szCs w:val="24"/>
        </w:rPr>
      </w:pPr>
      <w:r>
        <w:rPr>
          <w:sz w:val="24"/>
          <w:szCs w:val="24"/>
        </w:rPr>
        <w:t>地    址：</w:t>
      </w:r>
      <w:r>
        <w:rPr>
          <w:sz w:val="24"/>
          <w:szCs w:val="24"/>
          <w:u w:val="single"/>
        </w:rPr>
        <w:t>长沙市湘府西路199号</w:t>
      </w:r>
    </w:p>
    <w:p>
      <w:pPr>
        <w:pStyle w:val="6"/>
        <w:topLinePunct/>
        <w:spacing w:line="400" w:lineRule="atLeast"/>
        <w:ind w:firstLine="480" w:firstLineChars="200"/>
        <w:rPr>
          <w:sz w:val="24"/>
          <w:szCs w:val="24"/>
        </w:rPr>
      </w:pPr>
      <w:r>
        <w:rPr>
          <w:sz w:val="24"/>
          <w:szCs w:val="24"/>
        </w:rPr>
        <w:t>电    话：</w:t>
      </w:r>
      <w:r>
        <w:rPr>
          <w:sz w:val="24"/>
          <w:szCs w:val="24"/>
          <w:u w:val="single"/>
        </w:rPr>
        <w:t>0731-8877009</w:t>
      </w:r>
      <w:r>
        <w:rPr>
          <w:rFonts w:hint="eastAsia"/>
          <w:sz w:val="24"/>
          <w:szCs w:val="24"/>
          <w:u w:val="single"/>
        </w:rPr>
        <w:t>5</w:t>
      </w:r>
      <w:r>
        <w:rPr>
          <w:sz w:val="24"/>
          <w:szCs w:val="24"/>
          <w:u w:val="single"/>
        </w:rPr>
        <w:t>（基本建设处）</w:t>
      </w:r>
    </w:p>
    <w:p>
      <w:pPr>
        <w:pStyle w:val="6"/>
        <w:topLinePunct/>
        <w:spacing w:line="400" w:lineRule="atLeast"/>
        <w:ind w:firstLine="1680" w:firstLineChars="700"/>
        <w:rPr>
          <w:sz w:val="24"/>
          <w:szCs w:val="24"/>
          <w:u w:val="single"/>
        </w:rPr>
      </w:pPr>
      <w:r>
        <w:rPr>
          <w:sz w:val="24"/>
          <w:szCs w:val="24"/>
          <w:u w:val="single"/>
        </w:rPr>
        <w:t>0731-88770122（基本建设处）</w:t>
      </w:r>
    </w:p>
    <w:p>
      <w:pPr>
        <w:pStyle w:val="6"/>
        <w:topLinePunct/>
        <w:spacing w:line="400" w:lineRule="atLeast"/>
        <w:ind w:firstLine="480" w:firstLineChars="200"/>
        <w:rPr>
          <w:sz w:val="24"/>
          <w:szCs w:val="24"/>
          <w:u w:val="single"/>
        </w:rPr>
      </w:pPr>
      <w:r>
        <w:rPr>
          <w:sz w:val="24"/>
          <w:szCs w:val="24"/>
        </w:rPr>
        <w:t>传    真：</w:t>
      </w:r>
      <w:r>
        <w:rPr>
          <w:sz w:val="24"/>
          <w:szCs w:val="24"/>
          <w:u w:val="single"/>
        </w:rPr>
        <w:t>0731-88770094 （基本建设处）</w:t>
      </w:r>
    </w:p>
    <w:p>
      <w:pPr>
        <w:pStyle w:val="6"/>
        <w:topLinePunct/>
        <w:spacing w:line="400" w:lineRule="atLeast"/>
        <w:ind w:firstLine="480" w:firstLineChars="200"/>
        <w:rPr>
          <w:rFonts w:eastAsia="黑体"/>
          <w:sz w:val="24"/>
          <w:szCs w:val="24"/>
          <w:u w:val="single"/>
        </w:rPr>
      </w:pPr>
      <w:r>
        <w:rPr>
          <w:rFonts w:hint="eastAsia"/>
          <w:sz w:val="24"/>
          <w:szCs w:val="24"/>
        </w:rPr>
        <w:t>邮政编码：</w:t>
      </w:r>
      <w:r>
        <w:rPr>
          <w:rFonts w:hint="eastAsia"/>
          <w:sz w:val="24"/>
          <w:szCs w:val="24"/>
          <w:u w:val="single"/>
        </w:rPr>
        <w:t>410004</w:t>
      </w:r>
    </w:p>
    <w:p>
      <w:pPr>
        <w:pStyle w:val="10"/>
        <w:jc w:val="right"/>
        <w:rPr>
          <w:sz w:val="24"/>
          <w:szCs w:val="24"/>
          <w:u w:val="single"/>
        </w:rPr>
      </w:pPr>
    </w:p>
    <w:p>
      <w:pPr>
        <w:pStyle w:val="10"/>
        <w:jc w:val="right"/>
        <w:rPr>
          <w:sz w:val="24"/>
          <w:szCs w:val="24"/>
          <w:u w:val="single"/>
        </w:rPr>
      </w:pPr>
    </w:p>
    <w:p>
      <w:pPr>
        <w:pStyle w:val="10"/>
        <w:jc w:val="right"/>
        <w:rPr>
          <w:sz w:val="24"/>
          <w:szCs w:val="24"/>
          <w:u w:val="single"/>
        </w:rPr>
      </w:pPr>
    </w:p>
    <w:p>
      <w:pPr>
        <w:jc w:val="right"/>
        <w:rPr>
          <w:rFonts w:ascii="Times New Roman" w:hAnsi="Times New Roman" w:eastAsia="宋体" w:cs="Times New Roman"/>
          <w:sz w:val="24"/>
        </w:rPr>
      </w:pPr>
      <w:r>
        <w:rPr>
          <w:rFonts w:hint="eastAsia" w:ascii="Times New Roman" w:hAnsi="Times New Roman" w:eastAsia="宋体" w:cs="Times New Roman"/>
          <w:sz w:val="24"/>
          <w:u w:val="single"/>
        </w:rPr>
        <w:t>2022</w:t>
      </w:r>
      <w:r>
        <w:rPr>
          <w:rFonts w:ascii="Times New Roman" w:hAnsi="Times New Roman" w:eastAsia="宋体" w:cs="Times New Roman"/>
          <w:sz w:val="24"/>
        </w:rPr>
        <w:t xml:space="preserve">年 </w:t>
      </w:r>
      <w:r>
        <w:rPr>
          <w:rFonts w:hint="eastAsia" w:ascii="Times New Roman" w:hAnsi="Times New Roman" w:eastAsia="宋体" w:cs="Times New Roman"/>
          <w:sz w:val="24"/>
          <w:u w:val="single"/>
        </w:rPr>
        <w:t>7</w:t>
      </w:r>
      <w:r>
        <w:rPr>
          <w:rFonts w:ascii="Times New Roman" w:hAnsi="Times New Roman" w:eastAsia="宋体" w:cs="Times New Roman"/>
          <w:sz w:val="24"/>
        </w:rPr>
        <w:t>月</w:t>
      </w:r>
    </w:p>
    <w:p>
      <w:pPr>
        <w:rPr>
          <w:rFonts w:hint="default" w:ascii="Times New Roman" w:hAnsi="Times New Roman" w:eastAsia="宋体" w:cs="Times New Roman"/>
          <w:sz w:val="24"/>
          <w:lang w:val="en-US" w:eastAsia="zh-CN"/>
        </w:rPr>
      </w:pPr>
      <w:bookmarkStart w:id="19" w:name="_GoBack"/>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wis721 Cn BT">
    <w:altName w:val="Yu Gothic UI"/>
    <w:panose1 w:val="020B0506020202030204"/>
    <w:charset w:val="00"/>
    <w:family w:val="swiss"/>
    <w:pitch w:val="default"/>
    <w:sig w:usb0="00000000" w:usb1="00000000" w:usb2="00000000" w:usb3="00000000" w:csb0="0000001B" w:csb1="00000000"/>
  </w:font>
  <w:font w:name="华文新魏">
    <w:panose1 w:val="02010800040101010101"/>
    <w:charset w:val="86"/>
    <w:family w:val="auto"/>
    <w:pitch w:val="default"/>
    <w:sig w:usb0="00000001" w:usb1="080F0000" w:usb2="00000000" w:usb3="00000000" w:csb0="00040000" w:csb1="00000000"/>
  </w:font>
  <w:font w:name="Times New Romand">
    <w:altName w:val="Times New Roman"/>
    <w:panose1 w:val="00000000000000000000"/>
    <w:charset w:val="00"/>
    <w:family w:val="roma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4"/>
        <w:rPr>
          <w:rFonts w:ascii="黑体" w:hAnsi="黑体" w:eastAsia="黑体" w:cs="黑体"/>
        </w:rPr>
      </w:pPr>
      <w:r>
        <w:rPr>
          <w:rStyle w:val="15"/>
          <w:rFonts w:ascii="黑体" w:hAnsi="黑体" w:eastAsia="黑体" w:cs="黑体"/>
        </w:rPr>
        <w:footnoteRef/>
      </w:r>
      <w:r>
        <w:rPr>
          <w:rFonts w:ascii="黑体" w:hAnsi="黑体" w:eastAsia="黑体" w:cs="黑体"/>
        </w:rPr>
        <w:t xml:space="preserve"> 单位负责人，是指单位法定代表人或者法律、行政法规规定代表单位行使职权的主要负责人。（招标文件中所列“单位负责人”均作本条解释）</w:t>
      </w:r>
    </w:p>
  </w:footnote>
  <w:footnote w:id="1">
    <w:p>
      <w:pPr>
        <w:pStyle w:val="14"/>
        <w:rPr>
          <w:rFonts w:ascii="黑体" w:hAnsi="黑体" w:eastAsia="黑体" w:cs="黑体"/>
        </w:rPr>
      </w:pPr>
      <w:r>
        <w:rPr>
          <w:rStyle w:val="15"/>
          <w:rFonts w:ascii="黑体" w:hAnsi="黑体" w:eastAsia="黑体" w:cs="黑体"/>
        </w:rPr>
        <w:footnoteRef/>
      </w:r>
      <w:r>
        <w:rPr>
          <w:rFonts w:ascii="黑体" w:hAnsi="黑体" w:eastAsia="黑体" w:cs="黑体"/>
        </w:rPr>
        <w:t xml:space="preserve"> 控股，是指出资额（持股）占股本总额50%以上或虽不足50%，但依出资额或所持股份所享有的表决权足以对股东会、股东大会的决议产生重大影响的，或者国有企事业单位通过投资关系、协议或者其他安排，能够实际支配公司行为的。（招标文件中所列“控股”均作本条解释）</w:t>
      </w:r>
    </w:p>
  </w:footnote>
  <w:footnote w:id="2">
    <w:p>
      <w:pPr>
        <w:pStyle w:val="14"/>
        <w:rPr>
          <w:rFonts w:ascii="华文新魏" w:hAnsi="黑体" w:eastAsia="华文新魏" w:cs="黑体"/>
        </w:rPr>
      </w:pPr>
      <w:r>
        <w:rPr>
          <w:rStyle w:val="15"/>
          <w:rFonts w:ascii="黑体" w:hAnsi="黑体" w:eastAsia="黑体" w:cs="黑体"/>
        </w:rPr>
        <w:footnoteRef/>
      </w:r>
      <w:r>
        <w:rPr>
          <w:rFonts w:ascii="黑体" w:hAnsi="黑体" w:eastAsia="黑体" w:cs="黑体"/>
        </w:rPr>
        <w:t xml:space="preserve"> 管理，是指不具有出资持股关系的其他单位之间存在的管理与被管理关系。（招标文件中所列“管理”均作本条解释）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BD47FA"/>
    <w:multiLevelType w:val="multilevel"/>
    <w:tmpl w:val="7BBD47FA"/>
    <w:lvl w:ilvl="0" w:tentative="0">
      <w:start w:val="1"/>
      <w:numFmt w:val="decimal"/>
      <w:pStyle w:val="18"/>
      <w:lvlText w:val="图 1-%1"/>
      <w:lvlJc w:val="left"/>
      <w:pPr>
        <w:tabs>
          <w:tab w:val="left" w:pos="0"/>
        </w:tabs>
        <w:ind w:left="0" w:firstLine="0"/>
      </w:pPr>
      <w:rPr>
        <w:rFonts w:hint="eastAsia"/>
      </w:rPr>
    </w:lvl>
    <w:lvl w:ilvl="1" w:tentative="0">
      <w:start w:val="1"/>
      <w:numFmt w:val="decimal"/>
      <w:lvlText w:val="图 %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420"/>
        </w:tabs>
        <w:ind w:left="420" w:hanging="420"/>
      </w:pPr>
      <w:rPr>
        <w:rFonts w:hint="eastAsia"/>
      </w:rPr>
    </w:lvl>
    <w:lvl w:ilvl="4" w:tentative="0">
      <w:start w:val="1"/>
      <w:numFmt w:val="lowerLetter"/>
      <w:lvlText w:val="%5)"/>
      <w:lvlJc w:val="left"/>
      <w:pPr>
        <w:tabs>
          <w:tab w:val="left" w:pos="420"/>
        </w:tabs>
        <w:ind w:left="420" w:hanging="420"/>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BBD47FB"/>
    <w:multiLevelType w:val="multilevel"/>
    <w:tmpl w:val="7BBD47FB"/>
    <w:lvl w:ilvl="0" w:tentative="0">
      <w:start w:val="1"/>
      <w:numFmt w:val="decimal"/>
      <w:pStyle w:val="19"/>
      <w:lvlText w:val="图 %1"/>
      <w:lvlJc w:val="left"/>
      <w:pPr>
        <w:tabs>
          <w:tab w:val="left" w:pos="567"/>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BBD47FC"/>
    <w:multiLevelType w:val="multilevel"/>
    <w:tmpl w:val="7BBD47FC"/>
    <w:lvl w:ilvl="0" w:tentative="0">
      <w:start w:val="1"/>
      <w:numFmt w:val="decimal"/>
      <w:pStyle w:val="20"/>
      <w:lvlText w:val="表 1-%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BBD47FD"/>
    <w:multiLevelType w:val="multilevel"/>
    <w:tmpl w:val="7BBD47FD"/>
    <w:lvl w:ilvl="0" w:tentative="0">
      <w:start w:val="1"/>
      <w:numFmt w:val="decimal"/>
      <w:pStyle w:val="21"/>
      <w:lvlText w:val="表 2-%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BBD47FE"/>
    <w:multiLevelType w:val="multilevel"/>
    <w:tmpl w:val="7BBD47FE"/>
    <w:lvl w:ilvl="0" w:tentative="0">
      <w:start w:val="1"/>
      <w:numFmt w:val="decimal"/>
      <w:pStyle w:val="22"/>
      <w:lvlText w:val="表 %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BBD47FF"/>
    <w:multiLevelType w:val="multilevel"/>
    <w:tmpl w:val="7BBD47FF"/>
    <w:lvl w:ilvl="0" w:tentative="0">
      <w:start w:val="1"/>
      <w:numFmt w:val="decimal"/>
      <w:suff w:val="space"/>
      <w:lvlText w:val="%1、"/>
      <w:lvlJc w:val="left"/>
      <w:pPr>
        <w:ind w:left="0" w:firstLine="0"/>
      </w:pPr>
      <w:rPr>
        <w:rFonts w:hint="default" w:ascii="Times New Roman" w:hAnsi="Times New Roman" w:eastAsia="宋体"/>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4678" w:firstLine="0"/>
      </w:pPr>
      <w:rPr>
        <w:rFonts w:hint="eastAsia"/>
      </w:rPr>
    </w:lvl>
    <w:lvl w:ilvl="4" w:tentative="0">
      <w:start w:val="1"/>
      <w:numFmt w:val="decimal"/>
      <w:lvlRestart w:val="0"/>
      <w:suff w:val="space"/>
      <w:lvlText w:val="表%1-%5"/>
      <w:lvlJc w:val="left"/>
      <w:pPr>
        <w:ind w:left="3119" w:firstLine="0"/>
      </w:pPr>
      <w:rPr>
        <w:rFonts w:hint="eastAsia"/>
      </w:rPr>
    </w:lvl>
    <w:lvl w:ilvl="5" w:tentative="0">
      <w:start w:val="1"/>
      <w:numFmt w:val="decimal"/>
      <w:lvlRestart w:val="0"/>
      <w:pStyle w:val="29"/>
      <w:suff w:val="space"/>
      <w:lvlText w:val="图%1-%6"/>
      <w:lvlJc w:val="right"/>
      <w:pPr>
        <w:ind w:left="0" w:firstLine="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7BBD4803"/>
    <w:multiLevelType w:val="multilevel"/>
    <w:tmpl w:val="7BBD4803"/>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pStyle w:val="51"/>
      <w:suff w:val="space"/>
      <w:lvlText w:val="%1.%2.%3.%4"/>
      <w:lvlJc w:val="left"/>
      <w:pPr>
        <w:ind w:left="0"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0"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5" w:tentative="0">
      <w:start w:val="1"/>
      <w:numFmt w:val="decimal"/>
      <w:lvlRestart w:val="1"/>
      <w:isLgl/>
      <w:lvlText w:val="表%1.%6"/>
      <w:lvlJc w:val="left"/>
      <w:pPr>
        <w:tabs>
          <w:tab w:val="left" w:pos="6238"/>
        </w:tabs>
        <w:ind w:left="0" w:firstLine="0"/>
      </w:pPr>
      <w:rPr>
        <w:rFonts w:hint="eastAsia"/>
        <w:lang w:val="en-US"/>
      </w:rPr>
    </w:lvl>
    <w:lvl w:ilvl="6" w:tentative="0">
      <w:start w:val="0"/>
      <w:numFmt w:val="decimal"/>
      <w:lvlText w:val=""/>
      <w:lvlJc w:val="left"/>
      <w:pPr>
        <w:tabs>
          <w:tab w:val="left" w:pos="6238"/>
        </w:tabs>
        <w:ind w:left="0" w:firstLine="0"/>
      </w:pPr>
      <w:rPr>
        <w:rFonts w:hint="eastAsia"/>
      </w:rPr>
    </w:lvl>
    <w:lvl w:ilvl="7" w:tentative="0">
      <w:start w:val="0"/>
      <w:numFmt w:val="decimal"/>
      <w:lvlText w:val=""/>
      <w:lvlJc w:val="left"/>
      <w:pPr>
        <w:tabs>
          <w:tab w:val="left" w:pos="6238"/>
        </w:tabs>
        <w:ind w:left="0" w:firstLine="0"/>
      </w:pPr>
      <w:rPr>
        <w:rFonts w:hint="eastAsia"/>
      </w:rPr>
    </w:lvl>
    <w:lvl w:ilvl="8" w:tentative="0">
      <w:start w:val="0"/>
      <w:numFmt w:val="decimal"/>
      <w:lvlText w:val=""/>
      <w:lvlJc w:val="left"/>
      <w:pPr>
        <w:tabs>
          <w:tab w:val="left" w:pos="6238"/>
        </w:tabs>
        <w:ind w:left="0" w:firstLine="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4MGZjOWNhMTRlZWIxZTRjODg2NjYwMmNlMzlkZWUifQ=="/>
  </w:docVars>
  <w:rsids>
    <w:rsidRoot w:val="3EFC4866"/>
    <w:rsid w:val="000F758F"/>
    <w:rsid w:val="0096735A"/>
    <w:rsid w:val="261B75EB"/>
    <w:rsid w:val="3EFC4866"/>
    <w:rsid w:val="428175B5"/>
    <w:rsid w:val="48E710C5"/>
    <w:rsid w:val="61B04342"/>
    <w:rsid w:val="6F711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qFormat/>
    <w:uiPriority w:val="0"/>
    <w:pPr>
      <w:adjustRightInd w:val="0"/>
      <w:snapToGrid w:val="0"/>
      <w:spacing w:line="420" w:lineRule="atLeast"/>
      <w:ind w:firstLine="454"/>
      <w:jc w:val="left"/>
      <w:textAlignment w:val="baseline"/>
    </w:pPr>
    <w:rPr>
      <w:rFonts w:ascii="Times New Roman" w:hAnsi="Times New Roman" w:eastAsia="宋体" w:cs="Times New Roman"/>
      <w:kern w:val="0"/>
      <w:sz w:val="18"/>
      <w:szCs w:val="20"/>
    </w:rPr>
  </w:style>
  <w:style w:type="character" w:styleId="4">
    <w:name w:val="footnote reference"/>
    <w:qFormat/>
    <w:uiPriority w:val="0"/>
    <w:rPr>
      <w:vertAlign w:val="superscript"/>
    </w:rPr>
  </w:style>
  <w:style w:type="paragraph" w:customStyle="1" w:styleId="6">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
    <w:name w:val="正文_0_0_0"/>
    <w:next w:val="8"/>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正文缩进_0"/>
    <w:basedOn w:val="9"/>
    <w:qFormat/>
    <w:uiPriority w:val="0"/>
    <w:pPr>
      <w:ind w:firstLine="420" w:firstLineChars="200"/>
    </w:pPr>
    <w:rPr>
      <w:rFonts w:ascii="Times New Roman" w:hAnsi="Times New Roman"/>
      <w:szCs w:val="24"/>
    </w:rPr>
  </w:style>
  <w:style w:type="paragraph" w:customStyle="1" w:styleId="9">
    <w:name w:val="正文_0_0_1"/>
    <w:next w:val="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正文_13"/>
    <w:next w:val="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正文首行缩进 2_13"/>
    <w:basedOn w:val="13"/>
    <w:unhideWhenUsed/>
    <w:qFormat/>
    <w:uiPriority w:val="0"/>
    <w:pPr>
      <w:spacing w:before="260"/>
      <w:ind w:firstLine="420" w:firstLineChars="200"/>
    </w:pPr>
    <w:rPr>
      <w:szCs w:val="20"/>
    </w:rPr>
  </w:style>
  <w:style w:type="paragraph" w:customStyle="1" w:styleId="13">
    <w:name w:val="正文文本缩进_13"/>
    <w:basedOn w:val="11"/>
    <w:qFormat/>
    <w:uiPriority w:val="0"/>
    <w:pPr>
      <w:spacing w:after="120"/>
      <w:ind w:left="420" w:leftChars="200"/>
    </w:pPr>
  </w:style>
  <w:style w:type="paragraph" w:customStyle="1" w:styleId="14">
    <w:name w:val="脚注文本_0"/>
    <w:basedOn w:val="6"/>
    <w:unhideWhenUsed/>
    <w:qFormat/>
    <w:uiPriority w:val="99"/>
    <w:pPr>
      <w:snapToGrid w:val="0"/>
      <w:jc w:val="left"/>
    </w:pPr>
    <w:rPr>
      <w:sz w:val="18"/>
      <w:szCs w:val="18"/>
    </w:rPr>
  </w:style>
  <w:style w:type="character" w:customStyle="1" w:styleId="15">
    <w:name w:val="脚注引用_0"/>
    <w:qFormat/>
    <w:uiPriority w:val="0"/>
    <w:rPr>
      <w:rFonts w:ascii="Times New Roman" w:hAnsi="Times New Roman"/>
      <w:vertAlign w:val="superscript"/>
    </w:rPr>
  </w:style>
  <w:style w:type="paragraph" w:customStyle="1" w:styleId="16">
    <w:name w:val="正文(左)"/>
    <w:basedOn w:val="6"/>
    <w:next w:val="9"/>
    <w:qFormat/>
    <w:uiPriority w:val="0"/>
    <w:pPr>
      <w:ind w:firstLine="0"/>
    </w:pPr>
    <w:rPr>
      <w:rFonts w:cs="宋体"/>
    </w:rPr>
  </w:style>
  <w:style w:type="paragraph" w:customStyle="1" w:styleId="17">
    <w:name w:val="插图"/>
    <w:basedOn w:val="6"/>
    <w:next w:val="7"/>
    <w:qFormat/>
    <w:uiPriority w:val="0"/>
    <w:pPr>
      <w:spacing w:after="0" w:line="240" w:lineRule="auto"/>
      <w:ind w:firstLine="0"/>
      <w:jc w:val="center"/>
    </w:pPr>
    <w:rPr>
      <w:sz w:val="21"/>
    </w:rPr>
  </w:style>
  <w:style w:type="paragraph" w:customStyle="1" w:styleId="18">
    <w:name w:val="插图标题 1"/>
    <w:basedOn w:val="19"/>
    <w:next w:val="7"/>
    <w:qFormat/>
    <w:uiPriority w:val="0"/>
    <w:pPr>
      <w:numPr>
        <w:ilvl w:val="0"/>
        <w:numId w:val="1"/>
      </w:numPr>
      <w:tabs>
        <w:tab w:val="left" w:pos="567"/>
      </w:tabs>
    </w:pPr>
  </w:style>
  <w:style w:type="paragraph" w:customStyle="1" w:styleId="19">
    <w:name w:val="插图标题"/>
    <w:basedOn w:val="6"/>
    <w:next w:val="7"/>
    <w:qFormat/>
    <w:uiPriority w:val="0"/>
    <w:pPr>
      <w:numPr>
        <w:ilvl w:val="0"/>
        <w:numId w:val="2"/>
      </w:numPr>
      <w:spacing w:line="240" w:lineRule="auto"/>
      <w:jc w:val="center"/>
    </w:pPr>
    <w:rPr>
      <w:rFonts w:eastAsia="黑体"/>
      <w:sz w:val="21"/>
      <w:szCs w:val="21"/>
    </w:rPr>
  </w:style>
  <w:style w:type="paragraph" w:customStyle="1" w:styleId="20">
    <w:name w:val="表格标题 1"/>
    <w:basedOn w:val="21"/>
    <w:next w:val="7"/>
    <w:qFormat/>
    <w:uiPriority w:val="0"/>
    <w:pPr>
      <w:numPr>
        <w:ilvl w:val="0"/>
        <w:numId w:val="3"/>
      </w:numPr>
    </w:pPr>
  </w:style>
  <w:style w:type="paragraph" w:customStyle="1" w:styleId="21">
    <w:name w:val="表格标题 2"/>
    <w:basedOn w:val="22"/>
    <w:next w:val="7"/>
    <w:qFormat/>
    <w:uiPriority w:val="0"/>
    <w:pPr>
      <w:numPr>
        <w:ilvl w:val="0"/>
        <w:numId w:val="4"/>
      </w:numPr>
      <w:spacing w:before="163"/>
    </w:pPr>
  </w:style>
  <w:style w:type="paragraph" w:customStyle="1" w:styleId="22">
    <w:name w:val="表格标题"/>
    <w:basedOn w:val="6"/>
    <w:next w:val="7"/>
    <w:qFormat/>
    <w:uiPriority w:val="0"/>
    <w:pPr>
      <w:keepNext/>
      <w:numPr>
        <w:ilvl w:val="0"/>
        <w:numId w:val="5"/>
      </w:numPr>
      <w:spacing w:before="50" w:beforeLines="50" w:line="240" w:lineRule="auto"/>
      <w:jc w:val="center"/>
    </w:pPr>
    <w:rPr>
      <w:rFonts w:eastAsia="黑体"/>
      <w:szCs w:val="24"/>
      <w:lang w:val="sq-AL"/>
    </w:rPr>
  </w:style>
  <w:style w:type="paragraph" w:customStyle="1" w:styleId="23">
    <w:name w:val="表格栏头"/>
    <w:basedOn w:val="24"/>
    <w:qFormat/>
    <w:uiPriority w:val="0"/>
    <w:rPr>
      <w:rFonts w:eastAsia="黑体"/>
    </w:rPr>
  </w:style>
  <w:style w:type="paragraph" w:customStyle="1" w:styleId="24">
    <w:name w:val="表格文字(中)"/>
    <w:qFormat/>
    <w:uiPriority w:val="0"/>
    <w:pPr>
      <w:jc w:val="center"/>
    </w:pPr>
    <w:rPr>
      <w:rFonts w:ascii="Times New Roman" w:hAnsi="Times New Roman" w:eastAsia="宋体" w:cs="Times New Roman"/>
      <w:kern w:val="0"/>
      <w:sz w:val="24"/>
      <w:szCs w:val="24"/>
      <w:lang w:val="en-GB" w:eastAsia="zh-CN" w:bidi="ar-SA"/>
    </w:rPr>
  </w:style>
  <w:style w:type="table" w:customStyle="1" w:styleId="25">
    <w:name w:val="网格型_0"/>
    <w:basedOn w:val="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6">
    <w:name w:val="List Paragraph"/>
    <w:basedOn w:val="6"/>
    <w:qFormat/>
    <w:uiPriority w:val="34"/>
    <w:pPr>
      <w:ind w:firstLine="420" w:firstLineChars="200"/>
    </w:pPr>
  </w:style>
  <w:style w:type="character" w:customStyle="1" w:styleId="27">
    <w:name w:val="B-表名 字符"/>
    <w:basedOn w:val="28"/>
    <w:qFormat/>
    <w:uiPriority w:val="0"/>
    <w:rPr>
      <w:rFonts w:ascii="Times New Roman" w:hAnsi="Times New Roman" w:eastAsia="宋体" w:cs="Times New Roman"/>
      <w:kern w:val="0"/>
      <w:szCs w:val="21"/>
    </w:rPr>
  </w:style>
  <w:style w:type="character" w:customStyle="1" w:styleId="28">
    <w:name w:val="B-图名 字符"/>
    <w:basedOn w:val="3"/>
    <w:qFormat/>
    <w:uiPriority w:val="0"/>
    <w:rPr>
      <w:rFonts w:ascii="Times New Roman" w:hAnsi="Times New Roman" w:eastAsia="宋体" w:cs="Times New Roman"/>
      <w:b/>
      <w:kern w:val="0"/>
      <w:szCs w:val="21"/>
    </w:rPr>
  </w:style>
  <w:style w:type="paragraph" w:customStyle="1" w:styleId="29">
    <w:name w:val="图名"/>
    <w:qFormat/>
    <w:uiPriority w:val="0"/>
    <w:pPr>
      <w:numPr>
        <w:ilvl w:val="5"/>
        <w:numId w:val="6"/>
      </w:numPr>
      <w:spacing w:line="360" w:lineRule="auto"/>
      <w:jc w:val="center"/>
    </w:pPr>
    <w:rPr>
      <w:rFonts w:ascii="Times New Roman" w:hAnsi="Times New Roman" w:eastAsia="宋体" w:cs="Times New Roman"/>
      <w:b/>
      <w:kern w:val="2"/>
      <w:sz w:val="21"/>
      <w:szCs w:val="28"/>
      <w:lang w:val="en-US" w:eastAsia="zh-CN" w:bidi="ar-SA"/>
    </w:rPr>
  </w:style>
  <w:style w:type="paragraph" w:customStyle="1" w:styleId="30">
    <w:name w:val="正文文本_0"/>
    <w:basedOn w:val="6"/>
    <w:qFormat/>
    <w:uiPriority w:val="0"/>
    <w:pPr>
      <w:spacing w:before="50" w:beforeLines="50" w:after="120" w:line="360" w:lineRule="auto"/>
      <w:ind w:firstLine="200" w:firstLineChars="200"/>
    </w:pPr>
    <w:rPr>
      <w:rFonts w:cs="Times New Roman"/>
      <w:kern w:val="2"/>
      <w:szCs w:val="22"/>
      <w:lang w:val="en-US"/>
    </w:rPr>
  </w:style>
  <w:style w:type="paragraph" w:customStyle="1" w:styleId="31">
    <w:name w:val="Normal_9_63"/>
    <w:qFormat/>
    <w:uiPriority w:val="0"/>
    <w:pPr>
      <w:spacing w:before="120" w:after="240"/>
      <w:jc w:val="both"/>
    </w:pPr>
    <w:rPr>
      <w:rFonts w:ascii="Calibri" w:hAnsi="Calibri" w:eastAsia="Calibri" w:cs="Times New Roman"/>
      <w:sz w:val="22"/>
      <w:szCs w:val="22"/>
      <w:lang w:val="en-US" w:eastAsia="en-US" w:bidi="ar-SA"/>
    </w:rPr>
  </w:style>
  <w:style w:type="paragraph" w:customStyle="1" w:styleId="32">
    <w:name w:val="图表"/>
    <w:basedOn w:val="33"/>
    <w:qFormat/>
    <w:uiPriority w:val="0"/>
    <w:pPr>
      <w:widowControl/>
      <w:spacing w:before="50" w:beforeLines="50" w:after="0" w:line="240" w:lineRule="auto"/>
      <w:ind w:firstLine="0" w:firstLineChars="0"/>
      <w:jc w:val="center"/>
      <w:textAlignment w:val="center"/>
    </w:pPr>
    <w:rPr>
      <w:rFonts w:cs="Times New Roman"/>
      <w:kern w:val="2"/>
      <w:sz w:val="21"/>
      <w:szCs w:val="21"/>
      <w:lang w:val="en-US"/>
    </w:rPr>
  </w:style>
  <w:style w:type="paragraph" w:customStyle="1" w:styleId="33">
    <w:name w:val="正文_3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图表标题"/>
    <w:basedOn w:val="6"/>
    <w:qFormat/>
    <w:uiPriority w:val="0"/>
    <w:pPr>
      <w:spacing w:after="0" w:line="240" w:lineRule="auto"/>
      <w:ind w:firstLine="0"/>
      <w:jc w:val="center"/>
    </w:pPr>
    <w:rPr>
      <w:rFonts w:ascii="黑体" w:hAnsi="Swis721 Cn BT" w:eastAsia="黑体" w:cs="宋体"/>
      <w:kern w:val="0"/>
      <w:sz w:val="21"/>
      <w:szCs w:val="20"/>
      <w:lang w:val="en-US" w:bidi="mn-Mong-CN"/>
    </w:rPr>
  </w:style>
  <w:style w:type="paragraph" w:customStyle="1" w:styleId="35">
    <w:name w:val="正文_24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表格名jiang"/>
    <w:basedOn w:val="6"/>
    <w:qFormat/>
    <w:uiPriority w:val="0"/>
    <w:pPr>
      <w:spacing w:after="0" w:line="240" w:lineRule="auto"/>
      <w:ind w:firstLine="0"/>
      <w:jc w:val="center"/>
    </w:pPr>
    <w:rPr>
      <w:rFonts w:ascii="黑体" w:hAnsi="黑体" w:eastAsia="黑体" w:cs="Times New Roman"/>
      <w:kern w:val="2"/>
      <w:sz w:val="21"/>
      <w:szCs w:val="21"/>
      <w:lang w:val="en-US"/>
    </w:rPr>
  </w:style>
  <w:style w:type="paragraph" w:customStyle="1" w:styleId="37">
    <w:name w:val="正文_48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Normal_9_64"/>
    <w:qFormat/>
    <w:uiPriority w:val="0"/>
    <w:pPr>
      <w:spacing w:before="120" w:after="240"/>
      <w:jc w:val="both"/>
    </w:pPr>
    <w:rPr>
      <w:rFonts w:ascii="Calibri" w:hAnsi="Calibri" w:eastAsia="Calibri" w:cs="Times New Roman"/>
      <w:sz w:val="22"/>
      <w:szCs w:val="22"/>
      <w:lang w:val="en-US" w:eastAsia="en-US" w:bidi="ar-SA"/>
    </w:rPr>
  </w:style>
  <w:style w:type="paragraph" w:customStyle="1" w:styleId="39">
    <w:name w:val="Normal_9_66"/>
    <w:qFormat/>
    <w:uiPriority w:val="0"/>
    <w:pPr>
      <w:spacing w:before="120" w:after="240"/>
      <w:jc w:val="both"/>
    </w:pPr>
    <w:rPr>
      <w:rFonts w:ascii="Calibri" w:hAnsi="Calibri" w:eastAsia="Calibri" w:cs="Times New Roman"/>
      <w:sz w:val="22"/>
      <w:szCs w:val="22"/>
      <w:lang w:val="en-US" w:eastAsia="en-US" w:bidi="ar-SA"/>
    </w:rPr>
  </w:style>
  <w:style w:type="paragraph" w:customStyle="1" w:styleId="40">
    <w:name w:val="Normal_9_67"/>
    <w:qFormat/>
    <w:uiPriority w:val="0"/>
    <w:pPr>
      <w:spacing w:before="120" w:after="240"/>
      <w:jc w:val="both"/>
    </w:pPr>
    <w:rPr>
      <w:rFonts w:ascii="Calibri" w:hAnsi="Calibri" w:eastAsia="Calibri" w:cs="Times New Roman"/>
      <w:sz w:val="22"/>
      <w:szCs w:val="22"/>
      <w:lang w:val="en-US" w:eastAsia="en-US" w:bidi="ar-SA"/>
    </w:rPr>
  </w:style>
  <w:style w:type="paragraph" w:customStyle="1" w:styleId="41">
    <w:name w:val="本文正文"/>
    <w:basedOn w:val="6"/>
    <w:qFormat/>
    <w:uiPriority w:val="0"/>
    <w:pPr>
      <w:spacing w:after="0" w:line="360" w:lineRule="auto"/>
      <w:ind w:firstLine="480" w:firstLineChars="200"/>
    </w:pPr>
    <w:rPr>
      <w:rFonts w:ascii="Times New Roman" w:hAnsi="Times New Roman" w:eastAsia="宋体" w:cs="Times New Roman"/>
      <w:color w:val="000000"/>
      <w:kern w:val="2"/>
      <w:sz w:val="24"/>
      <w:szCs w:val="24"/>
      <w:lang w:val="en-US"/>
    </w:rPr>
  </w:style>
  <w:style w:type="paragraph" w:customStyle="1" w:styleId="42">
    <w:name w:val="表格yuyuyu"/>
    <w:basedOn w:val="6"/>
    <w:qFormat/>
    <w:uiPriority w:val="0"/>
    <w:pPr>
      <w:spacing w:after="0" w:line="240" w:lineRule="auto"/>
      <w:ind w:firstLine="0"/>
      <w:jc w:val="center"/>
    </w:pPr>
    <w:rPr>
      <w:rFonts w:ascii="Calibri" w:hAnsi="Calibri" w:eastAsia="宋体" w:cs="Times New Roman"/>
      <w:kern w:val="2"/>
      <w:sz w:val="21"/>
      <w:szCs w:val="21"/>
      <w:lang w:val="en-US"/>
    </w:rPr>
  </w:style>
  <w:style w:type="paragraph" w:customStyle="1" w:styleId="43">
    <w:name w:val="正文_29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正文_29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Normal_9_75"/>
    <w:qFormat/>
    <w:uiPriority w:val="0"/>
    <w:pPr>
      <w:spacing w:before="120" w:after="240"/>
      <w:jc w:val="both"/>
    </w:pPr>
    <w:rPr>
      <w:rFonts w:ascii="Calibri" w:hAnsi="Calibri" w:eastAsia="Calibri" w:cs="Times New Roman"/>
      <w:sz w:val="22"/>
      <w:szCs w:val="22"/>
      <w:lang w:val="en-US" w:eastAsia="en-US" w:bidi="ar-SA"/>
    </w:rPr>
  </w:style>
  <w:style w:type="paragraph" w:customStyle="1" w:styleId="46">
    <w:name w:val="正文_3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正文_2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Normal_9_76"/>
    <w:qFormat/>
    <w:uiPriority w:val="0"/>
    <w:pPr>
      <w:spacing w:before="120" w:after="240"/>
      <w:jc w:val="both"/>
    </w:pPr>
    <w:rPr>
      <w:rFonts w:ascii="Calibri" w:hAnsi="Calibri" w:eastAsia="Calibri" w:cs="Times New Roman"/>
      <w:sz w:val="22"/>
      <w:szCs w:val="22"/>
      <w:lang w:val="en-US" w:eastAsia="en-US" w:bidi="ar-SA"/>
    </w:rPr>
  </w:style>
  <w:style w:type="paragraph" w:customStyle="1" w:styleId="49">
    <w:name w:val="正文_3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3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A4四级标题"/>
    <w:basedOn w:val="6"/>
    <w:qFormat/>
    <w:uiPriority w:val="0"/>
    <w:pPr>
      <w:numPr>
        <w:ilvl w:val="3"/>
        <w:numId w:val="7"/>
      </w:numPr>
      <w:tabs>
        <w:tab w:val="left" w:pos="6238"/>
      </w:tabs>
      <w:spacing w:after="0" w:line="240" w:lineRule="auto"/>
      <w:ind w:firstLine="0"/>
      <w:outlineLvl w:val="3"/>
    </w:pPr>
    <w:rPr>
      <w:rFonts w:ascii="Calibri" w:hAnsi="Calibri" w:eastAsia="宋体" w:cs="Times New Roman"/>
      <w:kern w:val="2"/>
      <w:sz w:val="28"/>
      <w:szCs w:val="22"/>
      <w:lang w:val="en-US"/>
    </w:rPr>
  </w:style>
  <w:style w:type="paragraph" w:customStyle="1" w:styleId="52">
    <w:name w:val="表格名yuyuyu"/>
    <w:basedOn w:val="6"/>
    <w:qFormat/>
    <w:uiPriority w:val="0"/>
    <w:pPr>
      <w:spacing w:after="0" w:line="240" w:lineRule="auto"/>
      <w:ind w:firstLine="0"/>
      <w:jc w:val="center"/>
    </w:pPr>
    <w:rPr>
      <w:rFonts w:ascii="黑体" w:hAnsi="黑体" w:eastAsia="黑体" w:cs="Times New Roman"/>
      <w:kern w:val="2"/>
      <w:sz w:val="21"/>
      <w:szCs w:val="21"/>
      <w:lang w:val="en-US"/>
    </w:rPr>
  </w:style>
  <w:style w:type="paragraph" w:customStyle="1" w:styleId="53">
    <w:name w:val="居中-图标注等"/>
    <w:basedOn w:val="6"/>
    <w:qFormat/>
    <w:uiPriority w:val="0"/>
    <w:pPr>
      <w:spacing w:after="0" w:line="240" w:lineRule="auto"/>
      <w:ind w:firstLine="0"/>
      <w:jc w:val="center"/>
    </w:pPr>
    <w:rPr>
      <w:rFonts w:ascii="Calibri" w:hAnsi="Calibri" w:eastAsia="宋体" w:cs="Times New Roman"/>
      <w:kern w:val="2"/>
      <w:sz w:val="21"/>
      <w:szCs w:val="22"/>
      <w:lang w:val="en-US"/>
    </w:rPr>
  </w:style>
  <w:style w:type="paragraph" w:customStyle="1" w:styleId="54">
    <w:name w:val="页眉_0"/>
    <w:basedOn w:val="10"/>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839</Words>
  <Characters>4786</Characters>
  <Lines>39</Lines>
  <Paragraphs>11</Paragraphs>
  <TotalTime>4</TotalTime>
  <ScaleCrop>false</ScaleCrop>
  <LinksUpToDate>false</LinksUpToDate>
  <CharactersWithSpaces>5614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2022-07-04T05:07:00Z</dcterms:created>
  <dc:creator>猫书太一</dc:creator>
  <cp:lastModifiedBy>Lenovo</cp:lastModifiedBy>
  <dcterms:modified xsi:type="dcterms:W3CDTF">2022-07-05T06:15:18Z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200FA8C39E6B4979ADAC483481ED205B</vt:lpwstr>
  </property>
</Properties>
</file>