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00"/>
        </w:tabs>
        <w:spacing w:line="580" w:lineRule="exact"/>
        <w:rPr>
          <w:rFonts w:hint="eastAsia" w:ascii="黑体" w:hAnsi="黑体" w:eastAsia="黑体" w:cs="黑体"/>
          <w:b/>
          <w:color w:val="000000"/>
          <w:kern w:val="0"/>
        </w:rPr>
      </w:pPr>
      <w:r>
        <w:rPr>
          <w:rFonts w:hint="eastAsia" w:ascii="黑体" w:hAnsi="黑体" w:eastAsia="黑体" w:cs="黑体"/>
          <w:color w:val="000000"/>
        </w:rPr>
        <w:t xml:space="preserve">附件2     </w:t>
      </w:r>
      <w:r>
        <w:rPr>
          <w:rFonts w:hint="eastAsia" w:ascii="黑体" w:hAnsi="黑体" w:eastAsia="黑体" w:cs="黑体"/>
          <w:color w:val="000000"/>
        </w:rPr>
        <w:tab/>
      </w:r>
    </w:p>
    <w:tbl>
      <w:tblPr>
        <w:tblStyle w:val="4"/>
        <w:tblW w:w="15033" w:type="dxa"/>
        <w:tblInd w:w="93" w:type="dxa"/>
        <w:tblLayout w:type="fixed"/>
        <w:tblCellMar>
          <w:top w:w="0" w:type="dxa"/>
          <w:left w:w="108" w:type="dxa"/>
          <w:bottom w:w="0" w:type="dxa"/>
          <w:right w:w="108" w:type="dxa"/>
        </w:tblCellMar>
      </w:tblPr>
      <w:tblGrid>
        <w:gridCol w:w="992"/>
        <w:gridCol w:w="492"/>
        <w:gridCol w:w="1241"/>
        <w:gridCol w:w="6031"/>
        <w:gridCol w:w="562"/>
        <w:gridCol w:w="479"/>
        <w:gridCol w:w="5236"/>
      </w:tblGrid>
      <w:tr>
        <w:tblPrEx>
          <w:tblLayout w:type="fixed"/>
          <w:tblCellMar>
            <w:top w:w="0" w:type="dxa"/>
            <w:left w:w="108" w:type="dxa"/>
            <w:bottom w:w="0" w:type="dxa"/>
            <w:right w:w="108" w:type="dxa"/>
          </w:tblCellMar>
        </w:tblPrEx>
        <w:trPr>
          <w:trHeight w:val="810" w:hRule="atLeast"/>
        </w:trPr>
        <w:tc>
          <w:tcPr>
            <w:tcW w:w="15033" w:type="dxa"/>
            <w:gridSpan w:val="7"/>
            <w:tcBorders>
              <w:top w:val="nil"/>
              <w:left w:val="nil"/>
              <w:bottom w:val="nil"/>
              <w:right w:val="single" w:color="auto" w:sz="4" w:space="0"/>
            </w:tcBorders>
            <w:noWrap w:val="0"/>
            <w:vAlign w:val="center"/>
          </w:tcPr>
          <w:p>
            <w:pPr>
              <w:widowControl/>
              <w:jc w:val="center"/>
              <w:rPr>
                <w:rFonts w:ascii="宋体" w:hAnsi="宋体" w:eastAsia="宋体" w:cs="宋体"/>
                <w:b/>
                <w:bCs/>
                <w:color w:val="000000"/>
                <w:kern w:val="0"/>
                <w:sz w:val="28"/>
                <w:szCs w:val="28"/>
              </w:rPr>
            </w:pPr>
            <w:bookmarkStart w:id="0" w:name="_GoBack"/>
            <w:r>
              <w:rPr>
                <w:rFonts w:hint="eastAsia" w:ascii="方正小标宋简体" w:hAnsi="方正小标宋简体" w:eastAsia="方正小标宋简体" w:cs="方正小标宋简体"/>
                <w:color w:val="000000"/>
                <w:kern w:val="0"/>
                <w:sz w:val="36"/>
                <w:szCs w:val="36"/>
              </w:rPr>
              <w:t>湖南省群众满意客运站暗访考核计分标准</w:t>
            </w:r>
            <w:bookmarkEnd w:id="0"/>
          </w:p>
        </w:tc>
      </w:tr>
      <w:tr>
        <w:tblPrEx>
          <w:tblLayout w:type="fixed"/>
          <w:tblCellMar>
            <w:top w:w="0" w:type="dxa"/>
            <w:left w:w="108" w:type="dxa"/>
            <w:bottom w:w="0" w:type="dxa"/>
            <w:right w:w="108" w:type="dxa"/>
          </w:tblCellMar>
        </w:tblPrEx>
        <w:trPr>
          <w:trHeight w:val="585" w:hRule="atLeast"/>
        </w:trPr>
        <w:tc>
          <w:tcPr>
            <w:tcW w:w="2725" w:type="dxa"/>
            <w:gridSpan w:val="3"/>
            <w:tcBorders>
              <w:top w:val="nil"/>
              <w:left w:val="nil"/>
              <w:bottom w:val="single" w:color="auto" w:sz="4" w:space="0"/>
              <w:right w:val="nil"/>
            </w:tcBorders>
            <w:noWrap w:val="0"/>
            <w:vAlign w:val="center"/>
          </w:tcPr>
          <w:p>
            <w:pPr>
              <w:widowControl/>
              <w:jc w:val="center"/>
              <w:rPr>
                <w:rFonts w:hint="eastAsia" w:ascii="仿宋_GB2312" w:hAnsi="仿宋_GB2312" w:cs="仿宋_GB2312"/>
                <w:b/>
                <w:bCs/>
                <w:color w:val="000000"/>
                <w:kern w:val="0"/>
                <w:sz w:val="22"/>
                <w:szCs w:val="22"/>
              </w:rPr>
            </w:pPr>
            <w:r>
              <w:rPr>
                <w:rFonts w:hint="eastAsia" w:ascii="仿宋_GB2312" w:hAnsi="仿宋_GB2312" w:cs="仿宋_GB2312"/>
                <w:b/>
                <w:bCs/>
                <w:color w:val="000000"/>
                <w:kern w:val="0"/>
                <w:sz w:val="22"/>
                <w:szCs w:val="22"/>
              </w:rPr>
              <w:t xml:space="preserve">被考核单位：                                                   </w:t>
            </w:r>
          </w:p>
        </w:tc>
        <w:tc>
          <w:tcPr>
            <w:tcW w:w="6031" w:type="dxa"/>
            <w:tcBorders>
              <w:top w:val="nil"/>
              <w:left w:val="nil"/>
              <w:bottom w:val="single" w:color="auto" w:sz="4" w:space="0"/>
              <w:right w:val="nil"/>
            </w:tcBorders>
            <w:noWrap w:val="0"/>
            <w:vAlign w:val="center"/>
          </w:tcPr>
          <w:p>
            <w:pPr>
              <w:widowControl/>
              <w:jc w:val="left"/>
              <w:rPr>
                <w:rFonts w:hint="eastAsia" w:ascii="仿宋_GB2312" w:hAnsi="仿宋_GB2312" w:cs="仿宋_GB2312"/>
                <w:b/>
                <w:bCs/>
                <w:color w:val="000000"/>
                <w:kern w:val="0"/>
                <w:sz w:val="22"/>
                <w:szCs w:val="22"/>
              </w:rPr>
            </w:pPr>
            <w:r>
              <w:rPr>
                <w:rFonts w:hint="eastAsia" w:ascii="仿宋_GB2312" w:hAnsi="仿宋_GB2312" w:cs="仿宋_GB2312"/>
                <w:b/>
                <w:bCs/>
                <w:color w:val="000000"/>
                <w:kern w:val="0"/>
                <w:sz w:val="22"/>
                <w:szCs w:val="22"/>
              </w:rPr>
              <w:t>　</w:t>
            </w:r>
          </w:p>
        </w:tc>
        <w:tc>
          <w:tcPr>
            <w:tcW w:w="562" w:type="dxa"/>
            <w:tcBorders>
              <w:top w:val="nil"/>
              <w:left w:val="nil"/>
              <w:bottom w:val="single" w:color="auto" w:sz="4" w:space="0"/>
              <w:right w:val="nil"/>
            </w:tcBorders>
            <w:noWrap w:val="0"/>
            <w:vAlign w:val="center"/>
          </w:tcPr>
          <w:p>
            <w:pPr>
              <w:widowControl/>
              <w:jc w:val="center"/>
              <w:rPr>
                <w:rFonts w:hint="eastAsia" w:ascii="仿宋_GB2312" w:hAnsi="仿宋_GB2312" w:cs="仿宋_GB2312"/>
                <w:b/>
                <w:bCs/>
                <w:color w:val="000000"/>
                <w:kern w:val="0"/>
                <w:sz w:val="22"/>
                <w:szCs w:val="22"/>
              </w:rPr>
            </w:pPr>
            <w:r>
              <w:rPr>
                <w:rFonts w:hint="eastAsia" w:ascii="仿宋_GB2312" w:hAnsi="仿宋_GB2312" w:cs="仿宋_GB2312"/>
                <w:b/>
                <w:bCs/>
                <w:color w:val="000000"/>
                <w:kern w:val="0"/>
                <w:sz w:val="22"/>
                <w:szCs w:val="22"/>
              </w:rPr>
              <w:t>　</w:t>
            </w:r>
          </w:p>
        </w:tc>
        <w:tc>
          <w:tcPr>
            <w:tcW w:w="479" w:type="dxa"/>
            <w:tcBorders>
              <w:top w:val="nil"/>
              <w:left w:val="nil"/>
              <w:bottom w:val="single" w:color="auto" w:sz="4" w:space="0"/>
              <w:right w:val="nil"/>
            </w:tcBorders>
            <w:noWrap w:val="0"/>
            <w:vAlign w:val="center"/>
          </w:tcPr>
          <w:p>
            <w:pPr>
              <w:widowControl/>
              <w:jc w:val="center"/>
              <w:rPr>
                <w:rFonts w:hint="eastAsia" w:ascii="仿宋_GB2312" w:hAnsi="仿宋_GB2312" w:cs="仿宋_GB2312"/>
                <w:b/>
                <w:bCs/>
                <w:color w:val="000000"/>
                <w:kern w:val="0"/>
                <w:sz w:val="22"/>
                <w:szCs w:val="22"/>
              </w:rPr>
            </w:pPr>
            <w:r>
              <w:rPr>
                <w:rFonts w:hint="eastAsia" w:ascii="仿宋_GB2312" w:hAnsi="仿宋_GB2312" w:cs="仿宋_GB2312"/>
                <w:b/>
                <w:bCs/>
                <w:color w:val="000000"/>
                <w:kern w:val="0"/>
                <w:sz w:val="22"/>
                <w:szCs w:val="22"/>
              </w:rPr>
              <w:t>　</w:t>
            </w:r>
          </w:p>
        </w:tc>
        <w:tc>
          <w:tcPr>
            <w:tcW w:w="5236" w:type="dxa"/>
            <w:tcBorders>
              <w:top w:val="nil"/>
              <w:left w:val="nil"/>
              <w:bottom w:val="single" w:color="auto" w:sz="4" w:space="0"/>
              <w:right w:val="nil"/>
            </w:tcBorders>
            <w:noWrap w:val="0"/>
            <w:vAlign w:val="center"/>
          </w:tcPr>
          <w:p>
            <w:pPr>
              <w:widowControl/>
              <w:jc w:val="left"/>
              <w:rPr>
                <w:rFonts w:hint="eastAsia" w:ascii="仿宋_GB2312" w:hAnsi="仿宋_GB2312" w:cs="仿宋_GB2312"/>
                <w:b/>
                <w:bCs/>
                <w:color w:val="000000"/>
                <w:kern w:val="0"/>
                <w:sz w:val="22"/>
                <w:szCs w:val="22"/>
              </w:rPr>
            </w:pPr>
            <w:r>
              <w:rPr>
                <w:rFonts w:hint="eastAsia" w:ascii="仿宋_GB2312" w:hAnsi="仿宋_GB2312" w:cs="仿宋_GB2312"/>
                <w:b/>
                <w:bCs/>
                <w:color w:val="000000"/>
                <w:kern w:val="0"/>
                <w:sz w:val="22"/>
                <w:szCs w:val="22"/>
              </w:rPr>
              <w:t>考核时间：</w:t>
            </w:r>
          </w:p>
        </w:tc>
      </w:tr>
      <w:tr>
        <w:tblPrEx>
          <w:tblLayout w:type="fixed"/>
          <w:tblCellMar>
            <w:top w:w="0" w:type="dxa"/>
            <w:left w:w="108" w:type="dxa"/>
            <w:bottom w:w="0" w:type="dxa"/>
            <w:right w:w="108" w:type="dxa"/>
          </w:tblCellMar>
        </w:tblPrEx>
        <w:trPr>
          <w:trHeight w:val="675" w:hRule="atLeast"/>
        </w:trPr>
        <w:tc>
          <w:tcPr>
            <w:tcW w:w="272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b/>
                <w:bCs/>
                <w:color w:val="000000"/>
                <w:kern w:val="0"/>
                <w:sz w:val="22"/>
                <w:szCs w:val="22"/>
              </w:rPr>
            </w:pPr>
            <w:r>
              <w:rPr>
                <w:rFonts w:hint="eastAsia" w:ascii="仿宋_GB2312" w:hAnsi="仿宋_GB2312" w:cs="仿宋_GB2312"/>
                <w:b/>
                <w:bCs/>
                <w:color w:val="000000"/>
                <w:kern w:val="0"/>
                <w:sz w:val="22"/>
                <w:szCs w:val="22"/>
              </w:rPr>
              <w:t>考核项目</w:t>
            </w:r>
          </w:p>
        </w:tc>
        <w:tc>
          <w:tcPr>
            <w:tcW w:w="603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b/>
                <w:bCs/>
                <w:color w:val="000000"/>
                <w:kern w:val="0"/>
                <w:sz w:val="22"/>
                <w:szCs w:val="22"/>
              </w:rPr>
            </w:pPr>
            <w:r>
              <w:rPr>
                <w:rFonts w:hint="eastAsia" w:ascii="仿宋_GB2312" w:hAnsi="仿宋_GB2312" w:cs="仿宋_GB2312"/>
                <w:b/>
                <w:bCs/>
                <w:color w:val="000000"/>
                <w:kern w:val="0"/>
                <w:sz w:val="22"/>
                <w:szCs w:val="22"/>
              </w:rPr>
              <w:t>考核要求</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b/>
                <w:bCs/>
                <w:color w:val="000000"/>
                <w:kern w:val="0"/>
                <w:sz w:val="22"/>
                <w:szCs w:val="22"/>
              </w:rPr>
            </w:pPr>
            <w:r>
              <w:rPr>
                <w:rFonts w:hint="eastAsia" w:ascii="仿宋_GB2312" w:hAnsi="仿宋_GB2312" w:cs="仿宋_GB2312"/>
                <w:b/>
                <w:bCs/>
                <w:color w:val="000000"/>
                <w:kern w:val="0"/>
                <w:sz w:val="22"/>
                <w:szCs w:val="22"/>
              </w:rPr>
              <w:t>指标代码</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b/>
                <w:bCs/>
                <w:color w:val="000000"/>
                <w:kern w:val="0"/>
                <w:sz w:val="22"/>
                <w:szCs w:val="22"/>
              </w:rPr>
            </w:pPr>
            <w:r>
              <w:rPr>
                <w:rFonts w:hint="eastAsia" w:ascii="仿宋_GB2312" w:hAnsi="仿宋_GB2312" w:cs="仿宋_GB2312"/>
                <w:b/>
                <w:bCs/>
                <w:color w:val="000000"/>
                <w:kern w:val="0"/>
                <w:sz w:val="22"/>
                <w:szCs w:val="22"/>
              </w:rPr>
              <w:t>分值</w:t>
            </w:r>
          </w:p>
        </w:tc>
        <w:tc>
          <w:tcPr>
            <w:tcW w:w="5236"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b/>
                <w:bCs/>
                <w:color w:val="000000"/>
                <w:kern w:val="0"/>
                <w:sz w:val="22"/>
                <w:szCs w:val="22"/>
              </w:rPr>
            </w:pPr>
            <w:r>
              <w:rPr>
                <w:rFonts w:hint="eastAsia" w:ascii="仿宋_GB2312" w:hAnsi="仿宋_GB2312" w:cs="仿宋_GB2312"/>
                <w:b/>
                <w:bCs/>
                <w:color w:val="000000"/>
                <w:kern w:val="0"/>
                <w:sz w:val="22"/>
                <w:szCs w:val="22"/>
              </w:rPr>
              <w:t>评分办法</w:t>
            </w:r>
          </w:p>
        </w:tc>
      </w:tr>
      <w:tr>
        <w:tblPrEx>
          <w:tblLayout w:type="fixed"/>
          <w:tblCellMar>
            <w:top w:w="0" w:type="dxa"/>
            <w:left w:w="108" w:type="dxa"/>
            <w:bottom w:w="0" w:type="dxa"/>
            <w:right w:w="108" w:type="dxa"/>
          </w:tblCellMar>
        </w:tblPrEx>
        <w:trPr>
          <w:trHeight w:val="1035" w:hRule="atLeast"/>
        </w:trPr>
        <w:tc>
          <w:tcPr>
            <w:tcW w:w="272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站前广场及车站周边(20分)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站前广场（或旅客进站口周边）、车辆进出口环境整洁，秩序好，不影响车站文明形象。</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交通秩序差、卫生条件差以至于破坏车站文明形象每项扣4分，无城市公共交通、出租车停靠点引导标识(个别城市无公交不扣分)各扣4分。其中卫生条件差按照严重程度，发现1处垃圾扣1分，最高扣4分。</w:t>
            </w:r>
          </w:p>
        </w:tc>
      </w:tr>
      <w:tr>
        <w:tblPrEx>
          <w:tblLayout w:type="fixed"/>
          <w:tblCellMar>
            <w:top w:w="0" w:type="dxa"/>
            <w:left w:w="108" w:type="dxa"/>
            <w:bottom w:w="0" w:type="dxa"/>
            <w:right w:w="108" w:type="dxa"/>
          </w:tblCellMar>
        </w:tblPrEx>
        <w:trPr>
          <w:trHeight w:val="555" w:hRule="atLeast"/>
        </w:trPr>
        <w:tc>
          <w:tcPr>
            <w:tcW w:w="272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主站房站名清晰可见，无笔画缺损，没有商业门面、广告遮挡、混淆。</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站名不清晰、有笔画缺失、有商业门面、广告遮挡或混淆，发现一处扣5分。</w:t>
            </w:r>
          </w:p>
        </w:tc>
      </w:tr>
      <w:tr>
        <w:tblPrEx>
          <w:tblLayout w:type="fixed"/>
          <w:tblCellMar>
            <w:top w:w="0" w:type="dxa"/>
            <w:left w:w="108" w:type="dxa"/>
            <w:bottom w:w="0" w:type="dxa"/>
            <w:right w:w="108" w:type="dxa"/>
          </w:tblCellMar>
        </w:tblPrEx>
        <w:trPr>
          <w:trHeight w:val="570" w:hRule="atLeast"/>
        </w:trPr>
        <w:tc>
          <w:tcPr>
            <w:tcW w:w="9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停车坪(220)</w:t>
            </w:r>
          </w:p>
        </w:tc>
        <w:tc>
          <w:tcPr>
            <w:tcW w:w="173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车辆安全例检场所（45分）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车辆安全例检工作正常开展（如果车站进站班车极少，有特殊工作时间段的，须在醒目处告之）。</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安全例检人员不在岗扣10分，不按操作流程进行例检，每次扣5分。</w:t>
            </w:r>
          </w:p>
        </w:tc>
      </w:tr>
      <w:tr>
        <w:tblPrEx>
          <w:tblLayout w:type="fixed"/>
          <w:tblCellMar>
            <w:top w:w="0" w:type="dxa"/>
            <w:left w:w="108" w:type="dxa"/>
            <w:bottom w:w="0" w:type="dxa"/>
            <w:right w:w="108" w:type="dxa"/>
          </w:tblCellMar>
        </w:tblPrEx>
        <w:trPr>
          <w:trHeight w:val="43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设置明显的车辆通行指示标志，正确引导客车进场。</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无明显车辆通行指示标志扣5分</w:t>
            </w:r>
          </w:p>
        </w:tc>
      </w:tr>
      <w:tr>
        <w:tblPrEx>
          <w:tblLayout w:type="fixed"/>
          <w:tblCellMar>
            <w:top w:w="0" w:type="dxa"/>
            <w:left w:w="108" w:type="dxa"/>
            <w:bottom w:w="0" w:type="dxa"/>
            <w:right w:w="108" w:type="dxa"/>
          </w:tblCellMar>
        </w:tblPrEx>
        <w:trPr>
          <w:trHeight w:val="43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例检场所有安全例检流程图示。</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无图示扣5分</w:t>
            </w:r>
          </w:p>
        </w:tc>
      </w:tr>
      <w:tr>
        <w:tblPrEx>
          <w:tblLayout w:type="fixed"/>
          <w:tblCellMar>
            <w:top w:w="0" w:type="dxa"/>
            <w:left w:w="108" w:type="dxa"/>
            <w:bottom w:w="0" w:type="dxa"/>
            <w:right w:w="108" w:type="dxa"/>
          </w:tblCellMar>
        </w:tblPrEx>
        <w:trPr>
          <w:trHeight w:val="55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例检场所地面坚实、平整，有顶棚防淋防晒，通风、采光良好.</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6</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地面不平整、阴暗每项扣5分，无顶棚扣10分。</w:t>
            </w:r>
          </w:p>
        </w:tc>
      </w:tr>
      <w:tr>
        <w:tblPrEx>
          <w:tblLayout w:type="fixed"/>
          <w:tblCellMar>
            <w:top w:w="0" w:type="dxa"/>
            <w:left w:w="108" w:type="dxa"/>
            <w:bottom w:w="0" w:type="dxa"/>
            <w:right w:w="108" w:type="dxa"/>
          </w:tblCellMar>
        </w:tblPrEx>
        <w:trPr>
          <w:trHeight w:val="43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安检地沟能正常使用整洁、无堆积物、无积水。</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7</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地沟不能正常使用或有堆积物、积水，扣5分。</w:t>
            </w:r>
          </w:p>
        </w:tc>
      </w:tr>
      <w:tr>
        <w:tblPrEx>
          <w:tblLayout w:type="fixed"/>
          <w:tblCellMar>
            <w:top w:w="0" w:type="dxa"/>
            <w:left w:w="108" w:type="dxa"/>
            <w:bottom w:w="0" w:type="dxa"/>
            <w:right w:w="108" w:type="dxa"/>
          </w:tblCellMar>
        </w:tblPrEx>
        <w:trPr>
          <w:trHeight w:val="64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综合管理（85分）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车辆进站口与出站口分设，标志清晰。</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8</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车辆进出站口不分设扣10分，标志不清晰扣5分，班车逆向进出发现一辆扣5分，最高扣10分。</w:t>
            </w:r>
          </w:p>
        </w:tc>
      </w:tr>
      <w:tr>
        <w:tblPrEx>
          <w:tblLayout w:type="fixed"/>
          <w:tblCellMar>
            <w:top w:w="0" w:type="dxa"/>
            <w:left w:w="108" w:type="dxa"/>
            <w:bottom w:w="0" w:type="dxa"/>
            <w:right w:w="108" w:type="dxa"/>
          </w:tblCellMar>
        </w:tblPrEx>
        <w:trPr>
          <w:trHeight w:val="60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有交通流向标线、箭头和标志，有车辆分区停放标线和标志（如办公车辆、分类班车）</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9</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交通流向标识不清晰扣10分，分区不明确扣5分。</w:t>
            </w:r>
          </w:p>
        </w:tc>
      </w:tr>
      <w:tr>
        <w:tblPrEx>
          <w:tblLayout w:type="fixed"/>
          <w:tblCellMar>
            <w:top w:w="0" w:type="dxa"/>
            <w:left w:w="108" w:type="dxa"/>
            <w:bottom w:w="0" w:type="dxa"/>
            <w:right w:w="108" w:type="dxa"/>
          </w:tblCellMar>
        </w:tblPrEx>
        <w:trPr>
          <w:trHeight w:val="57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车辆按标志标线停放有序，如果车辆不规范停车有管理员督导。</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停放无序，发现一辆扣2分，扣完为止；停放无序但有管理员及时纠正不扣分。</w:t>
            </w:r>
          </w:p>
        </w:tc>
      </w:tr>
      <w:tr>
        <w:tblPrEx>
          <w:tblLayout w:type="fixed"/>
          <w:tblCellMar>
            <w:top w:w="0" w:type="dxa"/>
            <w:left w:w="108" w:type="dxa"/>
            <w:bottom w:w="0" w:type="dxa"/>
            <w:right w:w="108" w:type="dxa"/>
          </w:tblCellMar>
        </w:tblPrEx>
        <w:trPr>
          <w:trHeight w:val="70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车坪清洁平整，无垃圾、无堆积物、无明显积水。</w:t>
            </w:r>
          </w:p>
        </w:tc>
        <w:tc>
          <w:tcPr>
            <w:tcW w:w="5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11</w:t>
            </w:r>
          </w:p>
        </w:tc>
        <w:tc>
          <w:tcPr>
            <w:tcW w:w="4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30</w:t>
            </w:r>
          </w:p>
        </w:tc>
        <w:tc>
          <w:tcPr>
            <w:tcW w:w="52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有明显垃圾、堆积物或明显积水，影响正常通行，或有损车站文明卫生环境，一处扣2分，扣完为止。</w:t>
            </w:r>
          </w:p>
        </w:tc>
      </w:tr>
      <w:tr>
        <w:tblPrEx>
          <w:tblLayout w:type="fixed"/>
          <w:tblCellMar>
            <w:top w:w="0" w:type="dxa"/>
            <w:left w:w="108" w:type="dxa"/>
            <w:bottom w:w="0" w:type="dxa"/>
            <w:right w:w="108" w:type="dxa"/>
          </w:tblCellMar>
        </w:tblPrEx>
        <w:trPr>
          <w:trHeight w:val="102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无直接面对车辆备班区、发车区开门的商业门面，如果有驾校训练场、维修门店，须与车辆备班区和发车区有效隔离。</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12</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有直接面对车辆备班区、发车区开门的商业门面或有驾校训练场、维修门店，不与车辆备班区和发车区有效隔离，每发现一处扣5分，扣完为止。</w:t>
            </w:r>
          </w:p>
        </w:tc>
      </w:tr>
      <w:tr>
        <w:tblPrEx>
          <w:tblLayout w:type="fixed"/>
          <w:tblCellMar>
            <w:top w:w="0" w:type="dxa"/>
            <w:left w:w="108" w:type="dxa"/>
            <w:bottom w:w="0" w:type="dxa"/>
            <w:right w:w="108" w:type="dxa"/>
          </w:tblCellMar>
        </w:tblPrEx>
        <w:trPr>
          <w:trHeight w:val="66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下客区（25分）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有下客区、旅客出站通道及其醒目标识，下客区卫生干净整洁。</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13</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无专门下客区扣5分，无出站通道、无下客区标识、下客区有垃圾，发现一处扣2分，扣完为止。</w:t>
            </w:r>
          </w:p>
        </w:tc>
      </w:tr>
      <w:tr>
        <w:tblPrEx>
          <w:tblLayout w:type="fixed"/>
          <w:tblCellMar>
            <w:top w:w="0" w:type="dxa"/>
            <w:left w:w="108" w:type="dxa"/>
            <w:bottom w:w="0" w:type="dxa"/>
            <w:right w:w="108" w:type="dxa"/>
          </w:tblCellMar>
        </w:tblPrEx>
        <w:trPr>
          <w:trHeight w:val="69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有出站引导标识指引旅客由出站通道出站，有引导标识告知旅客换乘方法，有卫生间或卫生间引导标识。</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14</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无出站引导标识、换乘标识、卫生间（或卫生间引导）或标识错误或无效发现一处扣5分，扣完为止。</w:t>
            </w:r>
          </w:p>
        </w:tc>
      </w:tr>
      <w:tr>
        <w:tblPrEx>
          <w:tblLayout w:type="fixed"/>
          <w:tblCellMar>
            <w:top w:w="0" w:type="dxa"/>
            <w:left w:w="108" w:type="dxa"/>
            <w:bottom w:w="0" w:type="dxa"/>
            <w:right w:w="108" w:type="dxa"/>
          </w:tblCellMar>
        </w:tblPrEx>
        <w:trPr>
          <w:trHeight w:val="51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车辆进站口（20分）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设置电动闸或升降杆</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15</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 xml:space="preserve">无电动闸或升降杆扣10分，没有正常使用扣5分。 </w:t>
            </w:r>
          </w:p>
        </w:tc>
      </w:tr>
      <w:tr>
        <w:tblPrEx>
          <w:tblLayout w:type="fixed"/>
          <w:tblCellMar>
            <w:top w:w="0" w:type="dxa"/>
            <w:left w:w="108" w:type="dxa"/>
            <w:bottom w:w="0" w:type="dxa"/>
            <w:right w:w="108" w:type="dxa"/>
          </w:tblCellMar>
        </w:tblPrEx>
        <w:trPr>
          <w:trHeight w:val="67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有工作人员值守，不让无关人员、无关车辆进站。</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16</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有无关人员、无关车辆进站（或有货车等无关车辆与班车停放区域混停）各扣5分。</w:t>
            </w:r>
          </w:p>
        </w:tc>
      </w:tr>
      <w:tr>
        <w:tblPrEx>
          <w:tblLayout w:type="fixed"/>
          <w:tblCellMar>
            <w:top w:w="0" w:type="dxa"/>
            <w:left w:w="108" w:type="dxa"/>
            <w:bottom w:w="0" w:type="dxa"/>
            <w:right w:w="108" w:type="dxa"/>
          </w:tblCellMar>
        </w:tblPrEx>
        <w:trPr>
          <w:trHeight w:val="49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车辆出站口（45分）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设置电动闸或升降杆</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17</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无电动闸或升降杆扣10分，没有正常使用扣5分。</w:t>
            </w:r>
          </w:p>
        </w:tc>
      </w:tr>
      <w:tr>
        <w:tblPrEx>
          <w:tblLayout w:type="fixed"/>
          <w:tblCellMar>
            <w:top w:w="0" w:type="dxa"/>
            <w:left w:w="108" w:type="dxa"/>
            <w:bottom w:w="0" w:type="dxa"/>
            <w:right w:w="108" w:type="dxa"/>
          </w:tblCellMar>
        </w:tblPrEx>
        <w:trPr>
          <w:trHeight w:val="75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出站检查员上车清点人数，不让超载车辆出站</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18</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无工作人员上车清点人数扣5分；发现一例超载车辆出站扣10分，最高扣20分。</w:t>
            </w:r>
          </w:p>
        </w:tc>
      </w:tr>
      <w:tr>
        <w:tblPrEx>
          <w:tblLayout w:type="fixed"/>
          <w:tblCellMar>
            <w:top w:w="0" w:type="dxa"/>
            <w:left w:w="108" w:type="dxa"/>
            <w:bottom w:w="0" w:type="dxa"/>
            <w:right w:w="108" w:type="dxa"/>
          </w:tblCellMar>
        </w:tblPrEx>
        <w:trPr>
          <w:trHeight w:val="46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提醒、检查司机和旅客佩带安全带。</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19</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不提醒、检查司机和旅客佩带安全带扣5分</w:t>
            </w:r>
          </w:p>
        </w:tc>
      </w:tr>
      <w:tr>
        <w:tblPrEx>
          <w:tblLayout w:type="fixed"/>
          <w:tblCellMar>
            <w:top w:w="0" w:type="dxa"/>
            <w:left w:w="108" w:type="dxa"/>
            <w:bottom w:w="0" w:type="dxa"/>
            <w:right w:w="108" w:type="dxa"/>
          </w:tblCellMar>
        </w:tblPrEx>
        <w:trPr>
          <w:trHeight w:val="46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出站检查员检查、登记，司机签名。</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20</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不检查登记扣10分，无司机签名扣5分.</w:t>
            </w:r>
          </w:p>
        </w:tc>
      </w:tr>
      <w:tr>
        <w:tblPrEx>
          <w:tblLayout w:type="fixed"/>
          <w:tblCellMar>
            <w:top w:w="0" w:type="dxa"/>
            <w:left w:w="108" w:type="dxa"/>
            <w:bottom w:w="0" w:type="dxa"/>
            <w:right w:w="108" w:type="dxa"/>
          </w:tblCellMar>
        </w:tblPrEx>
        <w:trPr>
          <w:trHeight w:val="1215" w:hRule="atLeast"/>
        </w:trPr>
        <w:tc>
          <w:tcPr>
            <w:tcW w:w="9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室内（660）</w:t>
            </w:r>
          </w:p>
        </w:tc>
        <w:tc>
          <w:tcPr>
            <w:tcW w:w="173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综合管理(175分)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有导乘佩带醒目标志在售票厅或候车厅服务。对旅客极少的客运站，可采取导乘人员与其他岗位并岗流动服务，但必须保证其他固定位置的岗位至少一人在岗，而且不能与安检岗位并岗。</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21</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无导乘服务人员扣10分；导乘人员未佩戴醒目标志（绶带、袖章等）扣5分；采取并岗的，导乘人员未流动服务扣2分</w:t>
            </w:r>
          </w:p>
        </w:tc>
      </w:tr>
      <w:tr>
        <w:tblPrEx>
          <w:tblLayout w:type="fixed"/>
          <w:tblCellMar>
            <w:top w:w="0" w:type="dxa"/>
            <w:left w:w="108" w:type="dxa"/>
            <w:bottom w:w="0" w:type="dxa"/>
            <w:right w:w="108" w:type="dxa"/>
          </w:tblCellMar>
        </w:tblPrEx>
        <w:trPr>
          <w:trHeight w:val="111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候车室、重点旅客候车室（区）、售票处、行包安检处、检票处、卫生间、总服务台、行包托运处（或小件快运）、小件寄存等功能区引导标识齐全清晰，一级站采用中外文双语标识</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22</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少1个中文标识扣5分，少1个英文标识扣2分，标识凌乱不统一协调扣10分。</w:t>
            </w:r>
          </w:p>
        </w:tc>
      </w:tr>
      <w:tr>
        <w:tblPrEx>
          <w:tblLayout w:type="fixed"/>
          <w:tblCellMar>
            <w:top w:w="0" w:type="dxa"/>
            <w:left w:w="108" w:type="dxa"/>
            <w:bottom w:w="0" w:type="dxa"/>
            <w:right w:w="108" w:type="dxa"/>
          </w:tblCellMar>
        </w:tblPrEx>
        <w:trPr>
          <w:trHeight w:val="93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硬件设施无破损，室内整洁，无明显污渍、垃圾、痰迹。如果有广告，须设置美观合理，不影响车站文明整洁的候车环境。</w:t>
            </w:r>
          </w:p>
        </w:tc>
        <w:tc>
          <w:tcPr>
            <w:tcW w:w="5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23</w:t>
            </w:r>
          </w:p>
        </w:tc>
        <w:tc>
          <w:tcPr>
            <w:tcW w:w="4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40</w:t>
            </w:r>
          </w:p>
        </w:tc>
        <w:tc>
          <w:tcPr>
            <w:tcW w:w="52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发现硬件设施有破损、有明显垃圾、墙壁大块污渍、多根电线外露纠缠等，影响使用，有安全隐患，有碍观瞻等，一处扣2分，最多扣30分。有影响车站文明整洁的广告一处扣2分，最多扣10分</w:t>
            </w:r>
          </w:p>
        </w:tc>
      </w:tr>
      <w:tr>
        <w:tblPrEx>
          <w:tblLayout w:type="fixed"/>
          <w:tblCellMar>
            <w:top w:w="0" w:type="dxa"/>
            <w:left w:w="108" w:type="dxa"/>
            <w:bottom w:w="0" w:type="dxa"/>
            <w:right w:w="108" w:type="dxa"/>
          </w:tblCellMar>
        </w:tblPrEx>
        <w:trPr>
          <w:trHeight w:val="57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无流动商贩叫卖，无拉客喊客。</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24</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有流动商贩叫卖、拉客喊客一例扣3分，扣完为止。</w:t>
            </w:r>
          </w:p>
        </w:tc>
      </w:tr>
      <w:tr>
        <w:tblPrEx>
          <w:tblLayout w:type="fixed"/>
          <w:tblCellMar>
            <w:top w:w="0" w:type="dxa"/>
            <w:left w:w="108" w:type="dxa"/>
            <w:bottom w:w="0" w:type="dxa"/>
            <w:right w:w="108" w:type="dxa"/>
          </w:tblCellMar>
        </w:tblPrEx>
        <w:trPr>
          <w:trHeight w:val="127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工作人员着制式服装、佩带标志、精神饱满、服务态度好，使用普通话和文明礼貌用语。</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25</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1人不着装（着装不齐整）或不佩戴标志扣2分，最多扣10分；1人不使用文明礼貌用语、服务态度恶劣、极其冷漠扣2分，最多扣10分；发现1例处理旅客投诉不及时回复，扣5分，最多累计扣25分。</w:t>
            </w:r>
          </w:p>
        </w:tc>
      </w:tr>
      <w:tr>
        <w:tblPrEx>
          <w:tblLayout w:type="fixed"/>
          <w:tblCellMar>
            <w:top w:w="0" w:type="dxa"/>
            <w:left w:w="108" w:type="dxa"/>
            <w:bottom w:w="0" w:type="dxa"/>
            <w:right w:w="108" w:type="dxa"/>
          </w:tblCellMar>
        </w:tblPrEx>
        <w:trPr>
          <w:trHeight w:val="54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收费合理，无乱涨价、收费行为。</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26</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发现1例车票乱涨价、不合理收费发现1例扣10分，扣完为止。</w:t>
            </w:r>
          </w:p>
        </w:tc>
      </w:tr>
      <w:tr>
        <w:tblPrEx>
          <w:tblLayout w:type="fixed"/>
          <w:tblCellMar>
            <w:top w:w="0" w:type="dxa"/>
            <w:left w:w="108" w:type="dxa"/>
            <w:bottom w:w="0" w:type="dxa"/>
            <w:right w:w="108" w:type="dxa"/>
          </w:tblCellMar>
        </w:tblPrEx>
        <w:trPr>
          <w:trHeight w:val="139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售票厅（85分）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售票厅在明显位置公示班车时刻表、售票信息、旅客须知（或乘车指南）、儿童身高标识(需标注儿童票区间标志)等，二级及以上车站设置电子显示屏，售票窗口张贴购票人员主动申报携带免票儿童、保险自愿等提醒。信息也可通过电子显示屏公示。</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27</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无班车时刻表、售票信息、旅客须知、儿童身高标识、购票人员主动申报携带免票儿童、保险自愿等公示或提醒，缺少1个扣4分。无电子显示屏显示班车时刻信息或未开启扣5分。</w:t>
            </w:r>
          </w:p>
        </w:tc>
      </w:tr>
      <w:tr>
        <w:tblPrEx>
          <w:tblLayout w:type="fixed"/>
          <w:tblCellMar>
            <w:top w:w="0" w:type="dxa"/>
            <w:left w:w="108" w:type="dxa"/>
            <w:bottom w:w="0" w:type="dxa"/>
            <w:right w:w="108" w:type="dxa"/>
          </w:tblCellMar>
        </w:tblPrEx>
        <w:trPr>
          <w:trHeight w:val="112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售票人员操作规范，售票作业问到达站名、乘车时间、购票张数，唱收款，交待站名、时间、售票张数、找零。如果售票窗口有让旅客核对的电子显示屏显示旅客所购车票的站名、张数、时间、收款、找零，则可替代唱收唱付。</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28</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无问到达站名、乘车时间、购票张数，无唱收款，无交待站名、时间、售票张数、找零，缺少1项扣2分，最多扣15分；对省市班线票没有采取实名制，包括查阅身份证、票上打印身份证信息，扣15分。</w:t>
            </w:r>
          </w:p>
        </w:tc>
      </w:tr>
      <w:tr>
        <w:tblPrEx>
          <w:tblLayout w:type="fixed"/>
          <w:tblCellMar>
            <w:top w:w="0" w:type="dxa"/>
            <w:left w:w="108" w:type="dxa"/>
            <w:bottom w:w="0" w:type="dxa"/>
            <w:right w:w="108" w:type="dxa"/>
          </w:tblCellMar>
        </w:tblPrEx>
        <w:trPr>
          <w:trHeight w:val="129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有工作人员售票、采取电脑售票、网上订票、联网售票、电话订票、自动售票机、代售点等多种方式售票或订票服务的。</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29</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工作人员不在岗，扣10分；无电脑打印票而是人工写票扣5分；无网上订票扣10分（网址须公布在湖南省汽车客运站便民服务网和车站售票窗口）。平日售票排队超过20人，多1人扣1分，最多扣10分，但一级站8个窗口、二级站5个窗口全部开放的情况下，不扣分。</w:t>
            </w:r>
          </w:p>
        </w:tc>
      </w:tr>
      <w:tr>
        <w:tblPrEx>
          <w:tblLayout w:type="fixed"/>
          <w:tblCellMar>
            <w:top w:w="0" w:type="dxa"/>
            <w:left w:w="108" w:type="dxa"/>
            <w:bottom w:w="0" w:type="dxa"/>
            <w:right w:w="108" w:type="dxa"/>
          </w:tblCellMar>
        </w:tblPrEx>
        <w:trPr>
          <w:trHeight w:val="117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候车厅</w:t>
            </w:r>
          </w:p>
        </w:tc>
        <w:tc>
          <w:tcPr>
            <w:tcW w:w="124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综合（75分）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设置适量座椅、适量密闭垃圾筒（垃圾筒袋装化）、时钟（电子显示屏上有时间，可不设时钟）、检票口有电子显示屏显示班车发车和检票信息，提供免费饮用水。</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30</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无时钟或电子显示屏每项扣10分；有电子显示屏未显示班车发车和检票信息扣5分；无免费饮用水扣5分；垃圾筒垃圾溢出、破损、未套袋，发现一处扣2分，最高扣20分。座椅有明显损坏，一个扣2分，最高扣10分。</w:t>
            </w:r>
          </w:p>
        </w:tc>
      </w:tr>
      <w:tr>
        <w:tblPrEx>
          <w:tblLayout w:type="fixed"/>
          <w:tblCellMar>
            <w:top w:w="0" w:type="dxa"/>
            <w:left w:w="108" w:type="dxa"/>
            <w:bottom w:w="0" w:type="dxa"/>
            <w:right w:w="108" w:type="dxa"/>
          </w:tblCellMar>
        </w:tblPrEx>
        <w:trPr>
          <w:trHeight w:val="61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有司乘人员休息室、有站务人员休息室；二级以上客运站有运政人员驻站办公室或巡查点。</w:t>
            </w:r>
          </w:p>
        </w:tc>
        <w:tc>
          <w:tcPr>
            <w:tcW w:w="5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31</w:t>
            </w:r>
          </w:p>
        </w:tc>
        <w:tc>
          <w:tcPr>
            <w:tcW w:w="4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30</w:t>
            </w:r>
          </w:p>
        </w:tc>
        <w:tc>
          <w:tcPr>
            <w:tcW w:w="52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无司乘人员休息室、站务人员休息室或有但不开放各扣10分，无运管驻站办或运管巡查点扣10分。</w:t>
            </w:r>
          </w:p>
        </w:tc>
      </w:tr>
      <w:tr>
        <w:tblPrEx>
          <w:tblLayout w:type="fixed"/>
          <w:tblCellMar>
            <w:top w:w="0" w:type="dxa"/>
            <w:left w:w="108" w:type="dxa"/>
            <w:bottom w:w="0" w:type="dxa"/>
            <w:right w:w="108" w:type="dxa"/>
          </w:tblCellMar>
        </w:tblPrEx>
        <w:trPr>
          <w:trHeight w:val="57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商业场所（25分）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设置生活辅助服务。站内商业场所有独立区间，不随意摆摊设点，商品摆放整齐有序，明码标价，无过期食品。</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32</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随意摆摊设点、商品摆放不整齐、不明码标价、有过期食品发现一处扣5分，扣完为止。</w:t>
            </w:r>
          </w:p>
        </w:tc>
      </w:tr>
      <w:tr>
        <w:tblPrEx>
          <w:tblLayout w:type="fixed"/>
          <w:tblCellMar>
            <w:top w:w="0" w:type="dxa"/>
            <w:left w:w="108" w:type="dxa"/>
            <w:bottom w:w="0" w:type="dxa"/>
            <w:right w:w="108" w:type="dxa"/>
          </w:tblCellMar>
        </w:tblPrEx>
        <w:trPr>
          <w:trHeight w:val="40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无通道连接站内站外。</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33</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有旅客从站外直接通过商业场所进站扣10分。</w:t>
            </w:r>
          </w:p>
        </w:tc>
      </w:tr>
      <w:tr>
        <w:tblPrEx>
          <w:tblLayout w:type="fixed"/>
          <w:tblCellMar>
            <w:top w:w="0" w:type="dxa"/>
            <w:left w:w="108" w:type="dxa"/>
            <w:bottom w:w="0" w:type="dxa"/>
            <w:right w:w="108" w:type="dxa"/>
          </w:tblCellMar>
        </w:tblPrEx>
        <w:trPr>
          <w:trHeight w:val="76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行包安全检查（45分）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行包安全检查设备正常开启。</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34</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非正常原因关闭设备扣20分。三级及以下站既无行包安检设备也无人工开包检查工作扣40分（36项不再扣分）。</w:t>
            </w:r>
          </w:p>
        </w:tc>
      </w:tr>
      <w:tr>
        <w:tblPrEx>
          <w:tblLayout w:type="fixed"/>
          <w:tblCellMar>
            <w:top w:w="0" w:type="dxa"/>
            <w:left w:w="108" w:type="dxa"/>
            <w:bottom w:w="0" w:type="dxa"/>
            <w:right w:w="108" w:type="dxa"/>
          </w:tblCellMar>
        </w:tblPrEx>
        <w:trPr>
          <w:trHeight w:val="60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有工作人员督促旅客接受行包安检、查看视频。如果遇到设备故障或停电，执行开包检查。</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35</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无人督促旅客接受行包安检、查看视频各扣10分，停机时不开包检查扣20分。</w:t>
            </w:r>
          </w:p>
        </w:tc>
      </w:tr>
      <w:tr>
        <w:tblPrEx>
          <w:tblLayout w:type="fixed"/>
          <w:tblCellMar>
            <w:top w:w="0" w:type="dxa"/>
            <w:left w:w="108" w:type="dxa"/>
            <w:bottom w:w="0" w:type="dxa"/>
            <w:right w:w="108" w:type="dxa"/>
          </w:tblCellMar>
        </w:tblPrEx>
        <w:trPr>
          <w:trHeight w:val="48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行包安全检查处公示“旅客禁止携带物品”的种类</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36</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无“旅客禁止携带物品”公示扣5分。</w:t>
            </w:r>
          </w:p>
        </w:tc>
      </w:tr>
      <w:tr>
        <w:tblPrEx>
          <w:tblLayout w:type="fixed"/>
          <w:tblCellMar>
            <w:top w:w="0" w:type="dxa"/>
            <w:left w:w="108" w:type="dxa"/>
            <w:bottom w:w="0" w:type="dxa"/>
            <w:right w:w="108" w:type="dxa"/>
          </w:tblCellMar>
        </w:tblPrEx>
        <w:trPr>
          <w:trHeight w:val="81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候车厅</w:t>
            </w:r>
          </w:p>
        </w:tc>
        <w:tc>
          <w:tcPr>
            <w:tcW w:w="124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总服务台（45分）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有固定总服务台（或咨询台），服务台使用面积不小于6M2.，服务台前应有不小于8M2的旅客活动场地。</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37</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无总服务台，扣45分。随意放置办公桌作为总服务台的扣10分。无人在岗扣10分。</w:t>
            </w:r>
          </w:p>
        </w:tc>
      </w:tr>
      <w:tr>
        <w:tblPrEx>
          <w:tblLayout w:type="fixed"/>
          <w:tblCellMar>
            <w:top w:w="0" w:type="dxa"/>
            <w:left w:w="108" w:type="dxa"/>
            <w:bottom w:w="0" w:type="dxa"/>
            <w:right w:w="108" w:type="dxa"/>
          </w:tblCellMar>
        </w:tblPrEx>
        <w:trPr>
          <w:trHeight w:val="87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公布服务项目，如咨询、拾物招领、便民服务、旅客投诉、咨询和投诉电话（也可统称服务电话）,公布位置应在总服务台功能区域内旅客易见之处。</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38</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拾物招领、便民服务、旅客投诉、咨询和投诉电话少1个服务项目公示扣3分 。</w:t>
            </w:r>
          </w:p>
        </w:tc>
      </w:tr>
      <w:tr>
        <w:tblPrEx>
          <w:tblLayout w:type="fixed"/>
          <w:tblCellMar>
            <w:top w:w="0" w:type="dxa"/>
            <w:left w:w="108" w:type="dxa"/>
            <w:bottom w:w="0" w:type="dxa"/>
            <w:right w:w="108" w:type="dxa"/>
          </w:tblCellMar>
        </w:tblPrEx>
        <w:trPr>
          <w:trHeight w:val="90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提供车站班车时刻宣传单、安全告知宣传单、乘客意见簿、常用无处方应急药品（温度计、碘酒、创可贴、绷带、晕车药、感冒药、退烧药、十滴水、风油精、腹泻药等6种以上）、便民物品（针线包、雨伞）。</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39</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无班车时刻宣传单、安全告知宣传单、乘客意见簿各扣4分。常用无处方应急药品和便民物品，少1项扣1分，最多扣8分。</w:t>
            </w:r>
          </w:p>
        </w:tc>
      </w:tr>
      <w:tr>
        <w:tblPrEx>
          <w:tblLayout w:type="fixed"/>
          <w:tblCellMar>
            <w:top w:w="0" w:type="dxa"/>
            <w:left w:w="108" w:type="dxa"/>
            <w:bottom w:w="0" w:type="dxa"/>
            <w:right w:w="108" w:type="dxa"/>
          </w:tblCellMar>
        </w:tblPrEx>
        <w:trPr>
          <w:trHeight w:val="96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重点旅客候车区（室）（20分）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设置为老、弱、病、残、孕、幼等重点旅客服务的重点旅客候车室（或区），提供婴儿车、婴儿床、轮椅等，有空调。</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40</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无重点旅客候车区（室）扣20分。无婴儿车、婴儿床、轮椅，每项扣5分；婴儿车、婴儿床、轮椅等无法正常使用，每项扣2分；无空调扣5分（候车大厅有空调不扣分）。</w:t>
            </w:r>
          </w:p>
        </w:tc>
      </w:tr>
      <w:tr>
        <w:tblPrEx>
          <w:tblLayout w:type="fixed"/>
          <w:tblCellMar>
            <w:top w:w="0" w:type="dxa"/>
            <w:left w:w="108" w:type="dxa"/>
            <w:bottom w:w="0" w:type="dxa"/>
            <w:right w:w="108" w:type="dxa"/>
          </w:tblCellMar>
        </w:tblPrEx>
        <w:trPr>
          <w:trHeight w:val="115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卫生间（65分）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主站房内无卫生间，则应有引导其他处卫生间。</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41</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分4种情况：1、完全没有卫生间服务扣65分，本大项不再扣。2、有引导至车站外面卫生间扣55分，本大项不再扣；3、主站房内无卫生间，但有引导至发车区或停车坪卫生间扣10分，以下项目在55分内扣减；4、主站房设置卫生间，以下55分正常扣减。</w:t>
            </w:r>
          </w:p>
        </w:tc>
      </w:tr>
      <w:tr>
        <w:tblPrEx>
          <w:tblLayout w:type="fixed"/>
          <w:tblCellMar>
            <w:top w:w="0" w:type="dxa"/>
            <w:left w:w="108" w:type="dxa"/>
            <w:bottom w:w="0" w:type="dxa"/>
            <w:right w:w="108" w:type="dxa"/>
          </w:tblCellMar>
        </w:tblPrEx>
        <w:trPr>
          <w:trHeight w:val="108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提供免费卫生间。卫生间明亮、通风，无明显异味，墙壁地面卫生良好，干净无积水、污物，有视线遮挡保护隐私。有无障碍卫生间，并正常使用。水龙头、水池、小便器、便池、冲水阀、门把手等设施完好。</w:t>
            </w:r>
          </w:p>
        </w:tc>
        <w:tc>
          <w:tcPr>
            <w:tcW w:w="5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42</w:t>
            </w:r>
          </w:p>
        </w:tc>
        <w:tc>
          <w:tcPr>
            <w:tcW w:w="4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55</w:t>
            </w:r>
          </w:p>
        </w:tc>
        <w:tc>
          <w:tcPr>
            <w:tcW w:w="52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卫生间收费扣15分。阴暗、无通风、有明显异味、无视线遮挡各扣4分；有积水、污物一处扣2分，最多扣20分；无无障碍卫生间扣10分，没有正常使用扣5分。设施一个损坏扣2分，最多扣20分。</w:t>
            </w:r>
          </w:p>
        </w:tc>
      </w:tr>
      <w:tr>
        <w:tblPrEx>
          <w:tblLayout w:type="fixed"/>
          <w:tblCellMar>
            <w:top w:w="0" w:type="dxa"/>
            <w:left w:w="108" w:type="dxa"/>
            <w:bottom w:w="0" w:type="dxa"/>
            <w:right w:w="108" w:type="dxa"/>
          </w:tblCellMar>
        </w:tblPrEx>
        <w:trPr>
          <w:trHeight w:val="138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行包托运（小件快运）（10分）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具备储物架等设施妥善保管物品，托运行包包装完整、捆扎牢固、便于装卸和运输。</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43</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无行包托运（小件快运）扣10分，44项不再扣。无工作人员在岗（可并岗但须及时提供服务）、无储物设施、未提供包装扣5分。</w:t>
            </w:r>
          </w:p>
        </w:tc>
      </w:tr>
      <w:tr>
        <w:tblPrEx>
          <w:tblLayout w:type="fixed"/>
          <w:tblCellMar>
            <w:top w:w="0" w:type="dxa"/>
            <w:left w:w="108" w:type="dxa"/>
            <w:bottom w:w="0" w:type="dxa"/>
            <w:right w:w="108" w:type="dxa"/>
          </w:tblCellMar>
        </w:tblPrEx>
        <w:trPr>
          <w:trHeight w:val="42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价目公开</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44</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价目未公开扣5分。</w:t>
            </w:r>
          </w:p>
        </w:tc>
      </w:tr>
      <w:tr>
        <w:tblPrEx>
          <w:tblLayout w:type="fixed"/>
          <w:tblCellMar>
            <w:top w:w="0" w:type="dxa"/>
            <w:left w:w="108" w:type="dxa"/>
            <w:bottom w:w="0" w:type="dxa"/>
            <w:right w:w="108" w:type="dxa"/>
          </w:tblCellMar>
        </w:tblPrEx>
        <w:trPr>
          <w:trHeight w:val="58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小件寄存10分）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具备储物架等设施妥善保管物品</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45</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无小件寄存服务扣10分，46项不再扣。无工作人员在岗（可并岗但须及时提供服务，不含自助存贮柜)、无储物设施扣5分。</w:t>
            </w:r>
          </w:p>
        </w:tc>
      </w:tr>
      <w:tr>
        <w:tblPrEx>
          <w:tblLayout w:type="fixed"/>
          <w:tblCellMar>
            <w:top w:w="0" w:type="dxa"/>
            <w:left w:w="108" w:type="dxa"/>
            <w:bottom w:w="0" w:type="dxa"/>
            <w:right w:w="108" w:type="dxa"/>
          </w:tblCellMar>
        </w:tblPrEx>
        <w:trPr>
          <w:trHeight w:val="42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价目公开</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46</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价目未公开扣5分.</w:t>
            </w:r>
          </w:p>
        </w:tc>
      </w:tr>
      <w:tr>
        <w:tblPrEx>
          <w:tblLayout w:type="fixed"/>
          <w:tblCellMar>
            <w:top w:w="0" w:type="dxa"/>
            <w:left w:w="108" w:type="dxa"/>
            <w:bottom w:w="0" w:type="dxa"/>
            <w:right w:w="108" w:type="dxa"/>
          </w:tblCellMar>
        </w:tblPrEx>
        <w:trPr>
          <w:trHeight w:val="51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广播（20分）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普通话广播；一级站增加外语广播。</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47</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无广播扣20分，无普通话广播扣10分，一级站无外语广播扣5分。</w:t>
            </w:r>
          </w:p>
        </w:tc>
      </w:tr>
      <w:tr>
        <w:tblPrEx>
          <w:tblLayout w:type="fixed"/>
          <w:tblCellMar>
            <w:top w:w="0" w:type="dxa"/>
            <w:left w:w="108" w:type="dxa"/>
            <w:bottom w:w="0" w:type="dxa"/>
            <w:right w:w="108" w:type="dxa"/>
          </w:tblCellMar>
        </w:tblPrEx>
        <w:trPr>
          <w:trHeight w:val="39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按时、准确播报班车检票信息。</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48</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　</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发现一例应该广播检票但未广播的扣5分，最多扣10分。</w:t>
            </w:r>
          </w:p>
        </w:tc>
      </w:tr>
      <w:tr>
        <w:tblPrEx>
          <w:tblLayout w:type="fixed"/>
          <w:tblCellMar>
            <w:top w:w="0" w:type="dxa"/>
            <w:left w:w="108" w:type="dxa"/>
            <w:bottom w:w="0" w:type="dxa"/>
            <w:right w:w="108" w:type="dxa"/>
          </w:tblCellMar>
        </w:tblPrEx>
        <w:trPr>
          <w:trHeight w:val="162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候车厅</w:t>
            </w:r>
          </w:p>
        </w:tc>
        <w:tc>
          <w:tcPr>
            <w:tcW w:w="124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检票乘车（65分）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按规定时间在发车前为旅客检票并引导其乘车；提供电脑扫描条码检票；</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49</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检票环节扣15分；未提供电脑扫描条码检票扣5分；一级客运站无实名制验票设备和配套的自动翼式闸机，或有设备不启用扣10分；发现一例不核对省市际长途班线旅客的身份证和车票，或没有作到人、证、票一致的，扣5分，最多扣10分。</w:t>
            </w:r>
          </w:p>
        </w:tc>
      </w:tr>
      <w:tr>
        <w:tblPrEx>
          <w:tblLayout w:type="fixed"/>
          <w:tblCellMar>
            <w:top w:w="0" w:type="dxa"/>
            <w:left w:w="108" w:type="dxa"/>
            <w:bottom w:w="0" w:type="dxa"/>
            <w:right w:w="108" w:type="dxa"/>
          </w:tblCellMar>
        </w:tblPrEx>
        <w:trPr>
          <w:trHeight w:val="133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上车清点人数，督促车辆发车前落实“五不两确保两公示”制度（见表下备注），检查车辆在醒目位置公示安全承诺内容和交通运政、公安交警监督电话，否则不得发车。</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50</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没有督促驾驶员或车辆乘务员落实“五不两确保”承诺、两公示各扣5分，发现一辆没在醒目位置公示安全承诺内容和交通运政、公安交警监督电话就发车的扣3分，最多扣15分。</w:t>
            </w:r>
          </w:p>
        </w:tc>
      </w:tr>
      <w:tr>
        <w:tblPrEx>
          <w:tblLayout w:type="fixed"/>
          <w:tblCellMar>
            <w:top w:w="0" w:type="dxa"/>
            <w:left w:w="108" w:type="dxa"/>
            <w:bottom w:w="0" w:type="dxa"/>
            <w:right w:w="108" w:type="dxa"/>
          </w:tblCellMar>
        </w:tblPrEx>
        <w:trPr>
          <w:trHeight w:val="919"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准时发车。对晚点的班次，如旅客咨询，应做好解释工作，不得离岗。</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51</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晚点5分钟以内不扣分，晚点5分钟以上每超过5分钟扣1分（如果车站及时告知的不扣分）；对晚点班车不做好解释1例扣3分。</w:t>
            </w:r>
          </w:p>
        </w:tc>
      </w:tr>
      <w:tr>
        <w:tblPrEx>
          <w:tblLayout w:type="fixed"/>
          <w:tblCellMar>
            <w:top w:w="0" w:type="dxa"/>
            <w:left w:w="108" w:type="dxa"/>
            <w:bottom w:w="0" w:type="dxa"/>
            <w:right w:w="108" w:type="dxa"/>
          </w:tblCellMar>
        </w:tblPrEx>
        <w:trPr>
          <w:trHeight w:val="510"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值班站长（25分）</w:t>
            </w:r>
          </w:p>
        </w:tc>
        <w:tc>
          <w:tcPr>
            <w:tcW w:w="603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无值班站长室（区）。</w:t>
            </w:r>
          </w:p>
        </w:tc>
        <w:tc>
          <w:tcPr>
            <w:tcW w:w="5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52</w:t>
            </w:r>
          </w:p>
        </w:tc>
        <w:tc>
          <w:tcPr>
            <w:tcW w:w="4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无值班站长室（区）扣10分。</w:t>
            </w:r>
          </w:p>
        </w:tc>
      </w:tr>
      <w:tr>
        <w:tblPrEx>
          <w:tblLayout w:type="fixed"/>
          <w:tblCellMar>
            <w:top w:w="0" w:type="dxa"/>
            <w:left w:w="108" w:type="dxa"/>
            <w:bottom w:w="0" w:type="dxa"/>
            <w:right w:w="108" w:type="dxa"/>
          </w:tblCellMar>
        </w:tblPrEx>
        <w:trPr>
          <w:trHeight w:val="465" w:hRule="atLeast"/>
        </w:trPr>
        <w:tc>
          <w:tcPr>
            <w:tcW w:w="9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12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值班站长佩戴标志醒目，发现问题及时处理。</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53</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值班站长不佩戴标志扣5分，发现问题不及时处理扣10分</w:t>
            </w:r>
          </w:p>
        </w:tc>
      </w:tr>
      <w:tr>
        <w:tblPrEx>
          <w:tblLayout w:type="fixed"/>
          <w:tblCellMar>
            <w:top w:w="0" w:type="dxa"/>
            <w:left w:w="108" w:type="dxa"/>
            <w:bottom w:w="0" w:type="dxa"/>
            <w:right w:w="108" w:type="dxa"/>
          </w:tblCellMar>
        </w:tblPrEx>
        <w:trPr>
          <w:trHeight w:val="750" w:hRule="atLeast"/>
        </w:trPr>
        <w:tc>
          <w:tcPr>
            <w:tcW w:w="272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远程服务（35分）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工作时间有人接听，礼貌正确回复咨询电话，及时回复投诉电话。</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54</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无人接听1次扣5分，电话接通时不使用文明用语、回复不清楚各扣3分。</w:t>
            </w:r>
          </w:p>
        </w:tc>
      </w:tr>
      <w:tr>
        <w:tblPrEx>
          <w:tblLayout w:type="fixed"/>
          <w:tblCellMar>
            <w:top w:w="0" w:type="dxa"/>
            <w:left w:w="108" w:type="dxa"/>
            <w:bottom w:w="0" w:type="dxa"/>
            <w:right w:w="108" w:type="dxa"/>
          </w:tblCellMar>
        </w:tblPrEx>
        <w:trPr>
          <w:trHeight w:val="1080" w:hRule="atLeast"/>
        </w:trPr>
        <w:tc>
          <w:tcPr>
            <w:tcW w:w="272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在湖南省汽车客运站便民服务网上公布和及时更新车站班车时刻信息查询网址、网上购票网址、车站地址、咨询和投诉电话。</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55</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在便民网上查不到车站班车时刻信息查询网址、网上购票网址或链接错误的各扣10分，查不到车站地址、到达方式、咨询投诉电话（或服务电话）或发现不实各扣5分。</w:t>
            </w:r>
          </w:p>
        </w:tc>
      </w:tr>
      <w:tr>
        <w:tblPrEx>
          <w:tblLayout w:type="fixed"/>
          <w:tblCellMar>
            <w:top w:w="0" w:type="dxa"/>
            <w:left w:w="108" w:type="dxa"/>
            <w:bottom w:w="0" w:type="dxa"/>
            <w:right w:w="108" w:type="dxa"/>
          </w:tblCellMar>
        </w:tblPrEx>
        <w:trPr>
          <w:trHeight w:val="885" w:hRule="atLeast"/>
        </w:trPr>
        <w:tc>
          <w:tcPr>
            <w:tcW w:w="272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满意率调查（60分）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向旅客发放调查问卷，确保收回有效数量一级站不低于30份，二级站不低于20份。（班线确实少，标注实际开行数量，不低于10份）。</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56</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40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三个调查期都调查，按满意程度加权计算。</w:t>
            </w:r>
          </w:p>
        </w:tc>
      </w:tr>
      <w:tr>
        <w:tblPrEx>
          <w:tblLayout w:type="fixed"/>
          <w:tblCellMar>
            <w:top w:w="0" w:type="dxa"/>
            <w:left w:w="108" w:type="dxa"/>
            <w:bottom w:w="0" w:type="dxa"/>
            <w:right w:w="108" w:type="dxa"/>
          </w:tblCellMar>
        </w:tblPrEx>
        <w:trPr>
          <w:trHeight w:val="1020" w:hRule="atLeast"/>
        </w:trPr>
        <w:tc>
          <w:tcPr>
            <w:tcW w:w="272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向客运经营者如司乘人员发放调查问卷，确保收回有效数量一级站不低于30份，二级站不低于20份。（班线确实少，标注实际开行数量，不低于进站班车司乘人员50%）。</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57</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在第一个和第三个调查期调查，第二期用第一期数据。按满意程度加权计算。</w:t>
            </w:r>
          </w:p>
        </w:tc>
      </w:tr>
      <w:tr>
        <w:tblPrEx>
          <w:tblLayout w:type="fixed"/>
          <w:tblCellMar>
            <w:top w:w="0" w:type="dxa"/>
            <w:left w:w="108" w:type="dxa"/>
            <w:bottom w:w="0" w:type="dxa"/>
            <w:right w:w="108" w:type="dxa"/>
          </w:tblCellMar>
        </w:tblPrEx>
        <w:trPr>
          <w:trHeight w:val="1215" w:hRule="atLeast"/>
        </w:trPr>
        <w:tc>
          <w:tcPr>
            <w:tcW w:w="2725"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加分项目（50分）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在管理方式、服务举措和形象建设等方面有特色和创新，产生良好社会益，有政府媒体宣传报道，由市交通局或运管处重点推荐宣传，对全省具有典型示范效应。</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58</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加5分。</w:t>
            </w:r>
          </w:p>
        </w:tc>
      </w:tr>
      <w:tr>
        <w:tblPrEx>
          <w:tblLayout w:type="fixed"/>
          <w:tblCellMar>
            <w:top w:w="0" w:type="dxa"/>
            <w:left w:w="108" w:type="dxa"/>
            <w:bottom w:w="0" w:type="dxa"/>
            <w:right w:w="108" w:type="dxa"/>
          </w:tblCellMar>
        </w:tblPrEx>
        <w:trPr>
          <w:trHeight w:val="1620" w:hRule="atLeast"/>
        </w:trPr>
        <w:tc>
          <w:tcPr>
            <w:tcW w:w="2725"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加分项目（50分）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车站智能化管理先进，如停车场智能管理（扫描、显示备停车位、发车位）、车辆进出站口智能管理（ETC感应）、检票口电子显示屏及时显示检票班次，售票厅或候车室有自助售票机、候车室有触摸查询系统、服务质量评价系统、无障碍求助系统，车站无线WIF系统及安全认证、自助检票系统等且使用良好。</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59</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35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停车场智能管理、单个检票口电子显示屏及时显示检票班次、售票厅或候车室有自助售票机、无障碍求助系统、自助检票系统每项加5分，车辆进出站口智能管理、候车室有触摸查询系统、服务质量评价系统、车站无线WIF系统及安全认证每项加3分。</w:t>
            </w:r>
          </w:p>
        </w:tc>
      </w:tr>
      <w:tr>
        <w:tblPrEx>
          <w:tblLayout w:type="fixed"/>
          <w:tblCellMar>
            <w:top w:w="0" w:type="dxa"/>
            <w:left w:w="108" w:type="dxa"/>
            <w:bottom w:w="0" w:type="dxa"/>
            <w:right w:w="108" w:type="dxa"/>
          </w:tblCellMar>
        </w:tblPrEx>
        <w:trPr>
          <w:trHeight w:val="765" w:hRule="atLeast"/>
        </w:trPr>
        <w:tc>
          <w:tcPr>
            <w:tcW w:w="2725"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开通与航空合作联运、提供值机服务的城市候机厅，可查询航班信息、购买机票、航空保险、领取登机牌。</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60</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提供完整服务的加5分，只提供休息候车的城市候机厅加3分。</w:t>
            </w:r>
          </w:p>
        </w:tc>
      </w:tr>
      <w:tr>
        <w:tblPrEx>
          <w:tblLayout w:type="fixed"/>
          <w:tblCellMar>
            <w:top w:w="0" w:type="dxa"/>
            <w:left w:w="108" w:type="dxa"/>
            <w:bottom w:w="0" w:type="dxa"/>
            <w:right w:w="108" w:type="dxa"/>
          </w:tblCellMar>
        </w:tblPrEx>
        <w:trPr>
          <w:trHeight w:val="840" w:hRule="atLeast"/>
        </w:trPr>
        <w:tc>
          <w:tcPr>
            <w:tcW w:w="2725"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车站绿化率高，站前广场和车坪对绿化进行了专门园林设计，兼具美化、环保功能。</w:t>
            </w:r>
          </w:p>
        </w:tc>
        <w:tc>
          <w:tcPr>
            <w:tcW w:w="5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61</w:t>
            </w:r>
          </w:p>
        </w:tc>
        <w:tc>
          <w:tcPr>
            <w:tcW w:w="4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5</w:t>
            </w:r>
          </w:p>
        </w:tc>
        <w:tc>
          <w:tcPr>
            <w:tcW w:w="52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站前广场和车坪统一按专门园林设计进行绿化，加5分，只是站前广场或者站内车坪进行专门园林设计，加3分。</w:t>
            </w:r>
          </w:p>
        </w:tc>
      </w:tr>
      <w:tr>
        <w:tblPrEx>
          <w:tblLayout w:type="fixed"/>
          <w:tblCellMar>
            <w:top w:w="0" w:type="dxa"/>
            <w:left w:w="108" w:type="dxa"/>
            <w:bottom w:w="0" w:type="dxa"/>
            <w:right w:w="108" w:type="dxa"/>
          </w:tblCellMar>
        </w:tblPrEx>
        <w:trPr>
          <w:trHeight w:val="570" w:hRule="atLeast"/>
        </w:trPr>
        <w:tc>
          <w:tcPr>
            <w:tcW w:w="272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扣分项目（50分）</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故意跟踪、言语干扰暗访人员</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62</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故意跟踪、言语干扰暗访人员，扣20分。</w:t>
            </w:r>
          </w:p>
        </w:tc>
      </w:tr>
      <w:tr>
        <w:tblPrEx>
          <w:tblLayout w:type="fixed"/>
          <w:tblCellMar>
            <w:top w:w="0" w:type="dxa"/>
            <w:left w:w="108" w:type="dxa"/>
            <w:bottom w:w="0" w:type="dxa"/>
            <w:right w:w="108" w:type="dxa"/>
          </w:tblCellMar>
        </w:tblPrEx>
        <w:trPr>
          <w:trHeight w:val="510" w:hRule="atLeast"/>
        </w:trPr>
        <w:tc>
          <w:tcPr>
            <w:tcW w:w="272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 xml:space="preserve">被省级及以上媒体公开批评报道， </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63</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20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扣20分。</w:t>
            </w:r>
          </w:p>
        </w:tc>
      </w:tr>
      <w:tr>
        <w:tblPrEx>
          <w:tblLayout w:type="fixed"/>
          <w:tblCellMar>
            <w:top w:w="0" w:type="dxa"/>
            <w:left w:w="108" w:type="dxa"/>
            <w:bottom w:w="0" w:type="dxa"/>
            <w:right w:w="108" w:type="dxa"/>
          </w:tblCellMar>
        </w:tblPrEx>
        <w:trPr>
          <w:trHeight w:val="510" w:hRule="atLeast"/>
        </w:trPr>
        <w:tc>
          <w:tcPr>
            <w:tcW w:w="272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 xml:space="preserve">受到服务对象投诉属实，不及时纠正。 </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64</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10</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扣10分。</w:t>
            </w:r>
          </w:p>
        </w:tc>
      </w:tr>
      <w:tr>
        <w:tblPrEx>
          <w:tblLayout w:type="fixed"/>
          <w:tblCellMar>
            <w:top w:w="0" w:type="dxa"/>
            <w:left w:w="108" w:type="dxa"/>
            <w:bottom w:w="0" w:type="dxa"/>
            <w:right w:w="108" w:type="dxa"/>
          </w:tblCellMar>
        </w:tblPrEx>
        <w:trPr>
          <w:trHeight w:val="540" w:hRule="atLeast"/>
        </w:trPr>
        <w:tc>
          <w:tcPr>
            <w:tcW w:w="272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一票否决</w:t>
            </w: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阻碍暗访检查</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65</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　</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阻碍暗访检查，致使暗访无法开展，计0分。</w:t>
            </w:r>
          </w:p>
        </w:tc>
      </w:tr>
      <w:tr>
        <w:tblPrEx>
          <w:tblLayout w:type="fixed"/>
          <w:tblCellMar>
            <w:top w:w="0" w:type="dxa"/>
            <w:left w:w="108" w:type="dxa"/>
            <w:bottom w:w="0" w:type="dxa"/>
            <w:right w:w="108" w:type="dxa"/>
          </w:tblCellMar>
        </w:tblPrEx>
        <w:trPr>
          <w:trHeight w:val="375" w:hRule="atLeast"/>
        </w:trPr>
        <w:tc>
          <w:tcPr>
            <w:tcW w:w="272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p>
        </w:tc>
        <w:tc>
          <w:tcPr>
            <w:tcW w:w="6031"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发生重大安全问题在全省通报。</w:t>
            </w:r>
          </w:p>
        </w:tc>
        <w:tc>
          <w:tcPr>
            <w:tcW w:w="5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66</w:t>
            </w:r>
          </w:p>
        </w:tc>
        <w:tc>
          <w:tcPr>
            <w:tcW w:w="479"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　</w:t>
            </w:r>
          </w:p>
        </w:tc>
        <w:tc>
          <w:tcPr>
            <w:tcW w:w="5236"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计0分。</w:t>
            </w:r>
          </w:p>
        </w:tc>
      </w:tr>
      <w:tr>
        <w:tblPrEx>
          <w:tblLayout w:type="fixed"/>
          <w:tblCellMar>
            <w:top w:w="0" w:type="dxa"/>
            <w:left w:w="108" w:type="dxa"/>
            <w:bottom w:w="0" w:type="dxa"/>
            <w:right w:w="108" w:type="dxa"/>
          </w:tblCellMar>
        </w:tblPrEx>
        <w:trPr>
          <w:trHeight w:val="1290" w:hRule="atLeast"/>
        </w:trPr>
        <w:tc>
          <w:tcPr>
            <w:tcW w:w="15033" w:type="dxa"/>
            <w:gridSpan w:val="7"/>
            <w:tcBorders>
              <w:top w:val="single" w:color="auto" w:sz="4" w:space="0"/>
              <w:left w:val="nil"/>
              <w:bottom w:val="nil"/>
              <w:right w:val="single" w:color="auto" w:sz="4" w:space="0"/>
            </w:tcBorders>
            <w:noWrap w:val="0"/>
            <w:vAlign w:val="center"/>
          </w:tcPr>
          <w:p>
            <w:pPr>
              <w:widowControl/>
              <w:jc w:val="left"/>
              <w:rPr>
                <w:rFonts w:hint="eastAsia" w:ascii="仿宋_GB2312" w:hAnsi="仿宋_GB2312" w:cs="仿宋_GB2312"/>
                <w:color w:val="000000"/>
                <w:kern w:val="0"/>
                <w:sz w:val="20"/>
                <w:szCs w:val="20"/>
              </w:rPr>
            </w:pPr>
            <w:r>
              <w:rPr>
                <w:rFonts w:hint="eastAsia" w:ascii="仿宋_GB2312" w:hAnsi="仿宋_GB2312" w:cs="仿宋_GB2312"/>
                <w:color w:val="000000"/>
                <w:kern w:val="0"/>
                <w:sz w:val="20"/>
                <w:szCs w:val="20"/>
              </w:rPr>
              <w:t>说明：1、“五不两确保两公示”制度指司机在发车前向乘客作出“五不两确保两公示”承诺（不超速、不超员、不疲劳驾驶、不接打电话、不关闭动态监控系统，确保系好安全带、确保乘客生命安全），现场进行遇险逃生演示，落实安全告知制度。2、每个项目和指标的得分不计负分，也不超过所给分值，项目和指标中有重复内容，可重复扣分，各项考核指标的有效分数保留到整数。</w:t>
            </w:r>
          </w:p>
        </w:tc>
      </w:tr>
    </w:tbl>
    <w:p>
      <w:pPr>
        <w:spacing w:line="580" w:lineRule="exact"/>
        <w:rPr>
          <w:rFonts w:ascii="黑体" w:hAnsi="黑体" w:eastAsia="黑体" w:cs="黑体"/>
          <w:color w:val="000000"/>
          <w:kern w:val="0"/>
        </w:rPr>
        <w:sectPr>
          <w:footerReference r:id="rId3" w:type="default"/>
          <w:pgSz w:w="16838" w:h="11906" w:orient="landscape"/>
          <w:pgMar w:top="907" w:right="1021" w:bottom="1474" w:left="907" w:header="851" w:footer="992" w:gutter="284"/>
          <w:cols w:space="720" w:num="1"/>
          <w:docGrid w:linePitch="476"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2630170</wp:posOffset>
              </wp:positionH>
              <wp:positionV relativeFrom="paragraph">
                <wp:posOffset>9525</wp:posOffset>
              </wp:positionV>
              <wp:extent cx="4178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17830" cy="1828800"/>
                      </a:xfrm>
                      <a:prstGeom prst="rect">
                        <a:avLst/>
                      </a:prstGeom>
                      <a:noFill/>
                      <a:ln w="15875">
                        <a:noFill/>
                      </a:ln>
                    </wps:spPr>
                    <wps:txbx>
                      <w:txbxContent>
                        <w:p>
                          <w:pPr>
                            <w:pStyle w:val="2"/>
                            <w:rPr>
                              <w:rFonts w:hint="eastAsia" w:ascii="仿宋_GB2312" w:hAnsi="仿宋_GB2312" w:cs="仿宋_GB2312"/>
                              <w:sz w:val="28"/>
                              <w:szCs w:val="28"/>
                            </w:rPr>
                          </w:pPr>
                        </w:p>
                      </w:txbxContent>
                    </wps:txbx>
                    <wps:bodyPr lIns="0" tIns="0" rIns="0" bIns="0" upright="0">
                      <a:spAutoFit/>
                    </wps:bodyPr>
                  </wps:wsp>
                </a:graphicData>
              </a:graphic>
            </wp:anchor>
          </w:drawing>
        </mc:Choice>
        <mc:Fallback>
          <w:pict>
            <v:shape id="_x0000_s1026" o:spid="_x0000_s1026" o:spt="202" type="#_x0000_t202" style="position:absolute;left:0pt;margin-left:207.1pt;margin-top:0.75pt;height:144pt;width:32.9pt;mso-position-horizontal-relative:margin;z-index:251661312;mso-width-relative:page;mso-height-relative:page;" filled="f" stroked="f" coordsize="21600,21600" o:gfxdata="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iUtRTYAAAACQEAAA8AAAAAAAAAAQAgAAAAIgAAAGRycy9kb3ducmV2LnhtbFBLAQIUABQAAAAI&#10;AIdO4kDEpdO5tAEAAEgDAAAOAAAAAAAAAAEAIAAAACcBAABkcnMvZTJvRG9jLnhtbFBLBQYAAAAA&#10;BgAGAFkBAABNBQAAAAA=&#10;">
              <v:path/>
              <v:fill on="f" focussize="0,0"/>
              <v:stroke on="f" weight="1.25pt"/>
              <v:imagedata o:title=""/>
              <o:lock v:ext="edit" aspectratio="f"/>
              <v:textbox inset="0mm,0mm,0mm,0mm" style="mso-fit-shape-to-text:t;">
                <w:txbxContent>
                  <w:p>
                    <w:pPr>
                      <w:pStyle w:val="2"/>
                      <w:rPr>
                        <w:rFonts w:hint="eastAsia" w:ascii="仿宋_GB2312" w:hAnsi="仿宋_GB2312" w:cs="仿宋_GB2312"/>
                        <w:sz w:val="28"/>
                        <w:szCs w:val="28"/>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5384165</wp:posOffset>
              </wp:positionH>
              <wp:positionV relativeFrom="paragraph">
                <wp:posOffset>0</wp:posOffset>
              </wp:positionV>
              <wp:extent cx="4845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84505" cy="1828800"/>
                      </a:xfrm>
                      <a:prstGeom prst="rect">
                        <a:avLst/>
                      </a:prstGeom>
                      <a:noFill/>
                      <a:ln w="15875">
                        <a:noFill/>
                      </a:ln>
                    </wps:spPr>
                    <wps:txbx>
                      <w:txbxContent>
                        <w:p>
                          <w:pPr>
                            <w:pStyle w:val="2"/>
                            <w:rPr>
                              <w:rFonts w:hint="eastAsia"/>
                            </w:rPr>
                          </w:pPr>
                        </w:p>
                      </w:txbxContent>
                    </wps:txbx>
                    <wps:bodyPr lIns="0" tIns="0" rIns="0" bIns="0" upright="0">
                      <a:spAutoFit/>
                    </wps:bodyPr>
                  </wps:wsp>
                </a:graphicData>
              </a:graphic>
            </wp:anchor>
          </w:drawing>
        </mc:Choice>
        <mc:Fallback>
          <w:pict>
            <v:shape id="_x0000_s1026" o:spid="_x0000_s1026" o:spt="202" type="#_x0000_t202" style="position:absolute;left:0pt;margin-left:423.95pt;margin-top:0pt;height:144pt;width:38.15pt;mso-position-horizontal-relative:margin;z-index:251660288;mso-width-relative:page;mso-height-relative:page;" filled="f" stroked="f" coordsize="21600,21600" o:gfxdata="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76ax2AAAAAgBAAAPAAAAAAAAAAEAIAAAACIAAABkcnMvZG93bnJldi54bWxQSwECFAAUAAAA&#10;CACHTuJArxos/LUBAABIAwAADgAAAAAAAAABACAAAAAnAQAAZHJzL2Uyb0RvYy54bWxQSwUGAAAA&#10;AAYABgBZAQAATgUAAAAA&#10;">
              <v:path/>
              <v:fill on="f" focussize="0,0"/>
              <v:stroke on="f" weight="1.25pt"/>
              <v:imagedata o:title=""/>
              <o:lock v:ext="edit" aspectratio="f"/>
              <v:textbox inset="0mm,0mm,0mm,0mm" style="mso-fit-shape-to-text:t;">
                <w:txbxContent>
                  <w:p>
                    <w:pPr>
                      <w:pStyle w:val="2"/>
                      <w:rPr>
                        <w:rFonts w:hint="eastAsia"/>
                      </w:rPr>
                    </w:pP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posOffset>-9525</wp:posOffset>
              </wp:positionH>
              <wp:positionV relativeFrom="paragraph">
                <wp:posOffset>0</wp:posOffset>
              </wp:positionV>
              <wp:extent cx="35877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58775" cy="1828800"/>
                      </a:xfrm>
                      <a:prstGeom prst="rect">
                        <a:avLst/>
                      </a:prstGeom>
                      <a:noFill/>
                      <a:ln w="15875">
                        <a:noFill/>
                      </a:ln>
                    </wps:spPr>
                    <wps:txbx>
                      <w:txbxContent>
                        <w:p>
                          <w:pPr>
                            <w:pStyle w:val="2"/>
                            <w:rPr>
                              <w:rFonts w:hint="eastAsia" w:ascii="仿宋_GB2312" w:hAnsi="仿宋_GB2312" w:cs="仿宋_GB2312"/>
                              <w:sz w:val="28"/>
                              <w:szCs w:val="28"/>
                            </w:rPr>
                          </w:pPr>
                        </w:p>
                      </w:txbxContent>
                    </wps:txbx>
                    <wps:bodyPr lIns="0" tIns="0" rIns="0" bIns="0" upright="0">
                      <a:spAutoFit/>
                    </wps:bodyPr>
                  </wps:wsp>
                </a:graphicData>
              </a:graphic>
            </wp:anchor>
          </w:drawing>
        </mc:Choice>
        <mc:Fallback>
          <w:pict>
            <v:shape id="_x0000_s1026" o:spid="_x0000_s1026" o:spt="202" type="#_x0000_t202" style="position:absolute;left:0pt;margin-left:-0.75pt;margin-top:0pt;height:144pt;width:28.25pt;mso-position-horizontal-relative:margin;z-index:251658240;mso-width-relative:page;mso-height-relative:page;" filled="f" stroked="f" coordsize="21600,21600" o:gfxdata="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0&#10;pFj41gAAAAYBAAAPAAAAAAAAAAEAIAAAACIAAABkcnMvZG93bnJldi54bWxQSwECFAAUAAAACACH&#10;TuJA8LoE7bQBAABIAwAADgAAAAAAAAABACAAAAAlAQAAZHJzL2Uyb0RvYy54bWxQSwUGAAAAAAYA&#10;BgBZAQAASwUAAAAA&#10;">
              <v:path/>
              <v:fill on="f" focussize="0,0"/>
              <v:stroke on="f" weight="1.25pt"/>
              <v:imagedata o:title=""/>
              <o:lock v:ext="edit" aspectratio="f"/>
              <v:textbox inset="0mm,0mm,0mm,0mm" style="mso-fit-shape-to-text:t;">
                <w:txbxContent>
                  <w:p>
                    <w:pPr>
                      <w:pStyle w:val="2"/>
                      <w:rPr>
                        <w:rFonts w:hint="eastAsia" w:ascii="仿宋_GB2312" w:hAnsi="仿宋_GB2312" w:cs="仿宋_GB2312"/>
                        <w:sz w:val="28"/>
                        <w:szCs w:val="28"/>
                      </w:rPr>
                    </w:pPr>
                  </w:p>
                </w:txbxContent>
              </v:textbox>
            </v:shape>
          </w:pict>
        </mc:Fallback>
      </mc:AlternateContent>
    </w:r>
  </w:p>
  <w:p>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12423"/>
    <w:rsid w:val="3A434F2F"/>
    <w:rsid w:val="3C512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2019-01-25T03:52:00Z</dcterms:created>
  <dc:creator>紫色空灵</dc:creator>
  <cp:lastModifiedBy>紫色空灵</cp:lastModifiedBy>
  <dcterms:modified xsi:type="dcterms:W3CDTF">2019-01-25T03:52:30Z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