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82" w:rsidRDefault="001C1AF1">
      <w:pPr>
        <w:snapToGrid w:val="0"/>
        <w:spacing w:line="660" w:lineRule="exact"/>
        <w:jc w:val="center"/>
        <w:rPr>
          <w:rFonts w:ascii="方正小标宋简体" w:eastAsia="方正小标宋简体"/>
          <w:sz w:val="40"/>
        </w:rPr>
      </w:pPr>
      <w:r>
        <w:rPr>
          <w:rFonts w:ascii="方正小标宋简体" w:eastAsia="方正小标宋简体" w:hint="eastAsia"/>
          <w:sz w:val="40"/>
        </w:rPr>
        <w:t>企业资质审核表</w:t>
      </w:r>
    </w:p>
    <w:p w:rsidR="00044B82" w:rsidRDefault="001C1AF1">
      <w:pPr>
        <w:snapToGrid w:val="0"/>
        <w:rPr>
          <w:rFonts w:ascii="仿宋_GB2312" w:eastAsia="仿宋_GB2312"/>
          <w:sz w:val="28"/>
        </w:rPr>
      </w:pPr>
      <w:r>
        <w:rPr>
          <w:rFonts w:ascii="仿宋_GB2312" w:eastAsia="仿宋_GB2312" w:hint="eastAsia"/>
          <w:sz w:val="28"/>
        </w:rPr>
        <w:t>申请企业名称：湖南路桥建设集团有限责任公司</w:t>
      </w:r>
    </w:p>
    <w:p w:rsidR="00044B82" w:rsidRDefault="001C1AF1">
      <w:pPr>
        <w:snapToGrid w:val="0"/>
        <w:rPr>
          <w:rFonts w:ascii="仿宋_GB2312" w:eastAsia="仿宋_GB2312"/>
          <w:sz w:val="28"/>
        </w:rPr>
      </w:pPr>
      <w:r>
        <w:rPr>
          <w:rFonts w:ascii="仿宋_GB2312" w:eastAsia="仿宋_GB2312" w:hint="eastAsia"/>
          <w:sz w:val="28"/>
        </w:rPr>
        <w:t>申报资质名称和等级：港口与航道工程施工总承包贰级</w:t>
      </w:r>
    </w:p>
    <w:p w:rsidR="00044B82" w:rsidRDefault="001C1AF1">
      <w:pPr>
        <w:snapToGrid w:val="0"/>
        <w:rPr>
          <w:rFonts w:ascii="仿宋_GB2312" w:eastAsia="仿宋_GB2312"/>
          <w:sz w:val="28"/>
        </w:rPr>
      </w:pPr>
      <w:r>
        <w:rPr>
          <w:rFonts w:ascii="仿宋_GB2312" w:eastAsia="仿宋_GB2312" w:hint="eastAsia"/>
          <w:sz w:val="28"/>
        </w:rPr>
        <w:t>审核部门：湖南省交通运输厅</w:t>
      </w:r>
    </w:p>
    <w:tbl>
      <w:tblPr>
        <w:tblStyle w:val="a8"/>
        <w:tblW w:w="0" w:type="auto"/>
        <w:tblLook w:val="04A0" w:firstRow="1" w:lastRow="0" w:firstColumn="1" w:lastColumn="0" w:noHBand="0" w:noVBand="1"/>
      </w:tblPr>
      <w:tblGrid>
        <w:gridCol w:w="6074"/>
        <w:gridCol w:w="6847"/>
        <w:gridCol w:w="1317"/>
        <w:gridCol w:w="548"/>
      </w:tblGrid>
      <w:tr w:rsidR="00044B82">
        <w:trPr>
          <w:tblHeader/>
        </w:trPr>
        <w:tc>
          <w:tcPr>
            <w:tcW w:w="0" w:type="auto"/>
            <w:vAlign w:val="center"/>
          </w:tcPr>
          <w:p w:rsidR="00044B82" w:rsidRDefault="001C1AF1">
            <w:pPr>
              <w:snapToGrid w:val="0"/>
              <w:jc w:val="center"/>
              <w:rPr>
                <w:rFonts w:ascii="仿宋_GB2312" w:eastAsia="仿宋_GB2312"/>
                <w:b/>
                <w:sz w:val="28"/>
              </w:rPr>
            </w:pPr>
            <w:r>
              <w:rPr>
                <w:rFonts w:ascii="仿宋_GB2312" w:eastAsia="仿宋_GB2312" w:hint="eastAsia"/>
                <w:b/>
                <w:sz w:val="28"/>
              </w:rPr>
              <w:t>二级资质标准</w:t>
            </w:r>
          </w:p>
        </w:tc>
        <w:tc>
          <w:tcPr>
            <w:tcW w:w="0" w:type="auto"/>
            <w:vAlign w:val="center"/>
          </w:tcPr>
          <w:p w:rsidR="00044B82" w:rsidRDefault="001C1AF1">
            <w:pPr>
              <w:snapToGrid w:val="0"/>
              <w:rPr>
                <w:rFonts w:ascii="仿宋_GB2312" w:eastAsia="仿宋_GB2312"/>
                <w:b/>
                <w:sz w:val="28"/>
              </w:rPr>
            </w:pPr>
            <w:r>
              <w:rPr>
                <w:rFonts w:ascii="仿宋_GB2312" w:eastAsia="仿宋_GB2312" w:hint="eastAsia"/>
                <w:b/>
                <w:sz w:val="28"/>
              </w:rPr>
              <w:t>企业申报资料情况</w:t>
            </w:r>
          </w:p>
        </w:tc>
        <w:tc>
          <w:tcPr>
            <w:tcW w:w="0" w:type="auto"/>
            <w:vAlign w:val="center"/>
          </w:tcPr>
          <w:p w:rsidR="00044B82" w:rsidRDefault="001C1AF1">
            <w:pPr>
              <w:snapToGrid w:val="0"/>
              <w:rPr>
                <w:rFonts w:ascii="仿宋_GB2312" w:eastAsia="仿宋_GB2312"/>
                <w:b/>
                <w:sz w:val="28"/>
              </w:rPr>
            </w:pPr>
            <w:r>
              <w:rPr>
                <w:rFonts w:ascii="仿宋_GB2312" w:eastAsia="仿宋_GB2312" w:hint="eastAsia"/>
                <w:b/>
                <w:sz w:val="28"/>
              </w:rPr>
              <w:t>是否符合要求（是</w:t>
            </w:r>
            <w:r>
              <w:rPr>
                <w:rFonts w:ascii="仿宋_GB2312" w:eastAsia="仿宋_GB2312" w:hint="eastAsia"/>
                <w:sz w:val="28"/>
              </w:rPr>
              <w:sym w:font="Wingdings 2" w:char="F052"/>
            </w:r>
            <w:r>
              <w:rPr>
                <w:rFonts w:ascii="仿宋_GB2312" w:eastAsia="仿宋_GB2312" w:hint="eastAsia"/>
                <w:sz w:val="28"/>
              </w:rPr>
              <w:t>、</w:t>
            </w:r>
            <w:r>
              <w:rPr>
                <w:rFonts w:ascii="仿宋_GB2312" w:eastAsia="仿宋_GB2312" w:hint="eastAsia"/>
                <w:b/>
                <w:sz w:val="28"/>
              </w:rPr>
              <w:t>否</w:t>
            </w:r>
            <w:r>
              <w:rPr>
                <w:rFonts w:ascii="仿宋_GB2312" w:eastAsia="仿宋_GB2312" w:hint="eastAsia"/>
                <w:b/>
                <w:sz w:val="28"/>
              </w:rPr>
              <w:sym w:font="Wingdings 2" w:char="F053"/>
            </w:r>
            <w:r>
              <w:rPr>
                <w:rFonts w:ascii="仿宋_GB2312" w:eastAsia="仿宋_GB2312" w:hint="eastAsia"/>
                <w:b/>
                <w:sz w:val="28"/>
              </w:rPr>
              <w:t>）</w:t>
            </w:r>
          </w:p>
        </w:tc>
        <w:tc>
          <w:tcPr>
            <w:tcW w:w="0" w:type="auto"/>
            <w:vAlign w:val="center"/>
          </w:tcPr>
          <w:p w:rsidR="00044B82" w:rsidRDefault="001C1AF1">
            <w:pPr>
              <w:snapToGrid w:val="0"/>
              <w:rPr>
                <w:rFonts w:ascii="仿宋_GB2312" w:eastAsia="仿宋_GB2312"/>
                <w:b/>
                <w:sz w:val="28"/>
              </w:rPr>
            </w:pPr>
            <w:r>
              <w:rPr>
                <w:rFonts w:ascii="仿宋_GB2312" w:eastAsia="仿宋_GB2312" w:hint="eastAsia"/>
                <w:b/>
                <w:sz w:val="28"/>
              </w:rPr>
              <w:t>备注</w:t>
            </w:r>
          </w:p>
        </w:tc>
      </w:tr>
      <w:tr w:rsidR="00044B82">
        <w:tc>
          <w:tcPr>
            <w:tcW w:w="0" w:type="auto"/>
            <w:gridSpan w:val="4"/>
          </w:tcPr>
          <w:p w:rsidR="00044B82" w:rsidRDefault="001C1AF1">
            <w:pPr>
              <w:snapToGrid w:val="0"/>
              <w:rPr>
                <w:rFonts w:ascii="仿宋_GB2312" w:eastAsia="仿宋_GB2312"/>
                <w:sz w:val="28"/>
              </w:rPr>
            </w:pPr>
            <w:r>
              <w:rPr>
                <w:rFonts w:ascii="仿宋_GB2312" w:eastAsia="仿宋_GB2312" w:hint="eastAsia"/>
                <w:sz w:val="28"/>
              </w:rPr>
              <w:t>1、企业资产</w:t>
            </w:r>
          </w:p>
        </w:tc>
      </w:tr>
      <w:tr w:rsidR="00044B82">
        <w:tc>
          <w:tcPr>
            <w:tcW w:w="0" w:type="auto"/>
            <w:vAlign w:val="center"/>
          </w:tcPr>
          <w:p w:rsidR="00044B82" w:rsidRDefault="001C1AF1">
            <w:pPr>
              <w:snapToGrid w:val="0"/>
              <w:rPr>
                <w:rFonts w:ascii="仿宋_GB2312" w:eastAsia="仿宋_GB2312"/>
                <w:sz w:val="28"/>
              </w:rPr>
            </w:pPr>
            <w:r>
              <w:rPr>
                <w:rFonts w:ascii="仿宋_GB2312" w:eastAsia="仿宋_GB2312" w:hint="eastAsia"/>
                <w:sz w:val="28"/>
              </w:rPr>
              <w:t>净资产4000万元以上。</w:t>
            </w:r>
          </w:p>
        </w:tc>
        <w:tc>
          <w:tcPr>
            <w:tcW w:w="0" w:type="auto"/>
            <w:vAlign w:val="center"/>
          </w:tcPr>
          <w:p w:rsidR="00044B82" w:rsidRDefault="001C1AF1">
            <w:pPr>
              <w:snapToGrid w:val="0"/>
              <w:rPr>
                <w:rFonts w:ascii="仿宋_GB2312" w:eastAsia="仿宋_GB2312"/>
                <w:sz w:val="28"/>
              </w:rPr>
            </w:pPr>
            <w:r>
              <w:rPr>
                <w:rFonts w:ascii="仿宋_GB2312" w:eastAsia="仿宋_GB2312" w:hint="eastAsia"/>
                <w:sz w:val="28"/>
              </w:rPr>
              <w:t>净资产578624.48万元</w:t>
            </w:r>
          </w:p>
        </w:tc>
        <w:tc>
          <w:tcPr>
            <w:tcW w:w="0" w:type="auto"/>
            <w:vAlign w:val="center"/>
          </w:tcPr>
          <w:p w:rsidR="00044B82" w:rsidRDefault="00C46659">
            <w:pPr>
              <w:snapToGrid w:val="0"/>
              <w:jc w:val="center"/>
              <w:rPr>
                <w:rFonts w:ascii="仿宋_GB2312" w:eastAsia="仿宋_GB2312"/>
                <w:sz w:val="28"/>
              </w:rPr>
            </w:pPr>
            <w:r>
              <w:rPr>
                <w:rFonts w:ascii="仿宋_GB2312" w:eastAsia="仿宋_GB2312" w:hint="eastAsia"/>
                <w:b/>
                <w:sz w:val="28"/>
              </w:rPr>
              <w:t>是</w:t>
            </w:r>
            <w:r>
              <w:rPr>
                <w:rFonts w:ascii="仿宋_GB2312" w:eastAsia="仿宋_GB2312" w:hint="eastAsia"/>
                <w:sz w:val="28"/>
              </w:rPr>
              <w:sym w:font="Wingdings 2" w:char="F052"/>
            </w:r>
          </w:p>
        </w:tc>
        <w:tc>
          <w:tcPr>
            <w:tcW w:w="0" w:type="auto"/>
            <w:vAlign w:val="center"/>
          </w:tcPr>
          <w:p w:rsidR="00044B82" w:rsidRDefault="00044B82">
            <w:pPr>
              <w:snapToGrid w:val="0"/>
              <w:rPr>
                <w:rFonts w:ascii="仿宋_GB2312" w:eastAsia="仿宋_GB2312"/>
                <w:sz w:val="28"/>
              </w:rPr>
            </w:pPr>
          </w:p>
        </w:tc>
      </w:tr>
      <w:tr w:rsidR="00044B82">
        <w:tc>
          <w:tcPr>
            <w:tcW w:w="0" w:type="auto"/>
            <w:gridSpan w:val="4"/>
          </w:tcPr>
          <w:p w:rsidR="00044B82" w:rsidRDefault="001C1AF1">
            <w:pPr>
              <w:snapToGrid w:val="0"/>
              <w:jc w:val="left"/>
              <w:rPr>
                <w:rFonts w:ascii="仿宋_GB2312" w:eastAsia="仿宋_GB2312"/>
                <w:sz w:val="28"/>
              </w:rPr>
            </w:pPr>
            <w:r>
              <w:rPr>
                <w:rFonts w:ascii="仿宋_GB2312" w:eastAsia="仿宋_GB2312" w:hint="eastAsia"/>
                <w:sz w:val="28"/>
              </w:rPr>
              <w:t>2、企业主要人员</w:t>
            </w:r>
          </w:p>
        </w:tc>
      </w:tr>
      <w:tr w:rsidR="00044B82">
        <w:tc>
          <w:tcPr>
            <w:tcW w:w="0" w:type="auto"/>
            <w:vAlign w:val="center"/>
          </w:tcPr>
          <w:p w:rsidR="00044B82" w:rsidRDefault="001C1AF1">
            <w:pPr>
              <w:snapToGrid w:val="0"/>
              <w:rPr>
                <w:rFonts w:ascii="仿宋_GB2312" w:eastAsia="仿宋_GB2312"/>
                <w:sz w:val="28"/>
              </w:rPr>
            </w:pPr>
            <w:r>
              <w:rPr>
                <w:rFonts w:ascii="仿宋_GB2312" w:eastAsia="仿宋_GB2312" w:hint="eastAsia"/>
                <w:sz w:val="28"/>
              </w:rPr>
              <w:t>（1）港口与航道工程专业一级注册建造师不少于5人。</w:t>
            </w:r>
          </w:p>
        </w:tc>
        <w:tc>
          <w:tcPr>
            <w:tcW w:w="0" w:type="auto"/>
            <w:vAlign w:val="center"/>
          </w:tcPr>
          <w:p w:rsidR="00044B82" w:rsidRDefault="001C1AF1">
            <w:pPr>
              <w:snapToGrid w:val="0"/>
              <w:rPr>
                <w:rFonts w:ascii="仿宋_GB2312" w:eastAsia="仿宋_GB2312"/>
                <w:sz w:val="28"/>
              </w:rPr>
            </w:pPr>
            <w:r>
              <w:rPr>
                <w:rFonts w:ascii="仿宋_GB2312" w:eastAsia="仿宋_GB2312" w:hint="eastAsia"/>
                <w:sz w:val="28"/>
              </w:rPr>
              <w:t>港口与航道工程专业一级注册建造师5人（万华、范道安、齐德续、杨勇、姜剑峰），其中杨勇缺少</w:t>
            </w:r>
            <w:proofErr w:type="gramStart"/>
            <w:r>
              <w:rPr>
                <w:rFonts w:ascii="仿宋_GB2312" w:eastAsia="仿宋_GB2312" w:hint="eastAsia"/>
                <w:sz w:val="28"/>
              </w:rPr>
              <w:t>社保证明</w:t>
            </w:r>
            <w:proofErr w:type="gramEnd"/>
            <w:r>
              <w:rPr>
                <w:rFonts w:ascii="仿宋_GB2312" w:eastAsia="仿宋_GB2312" w:hint="eastAsia"/>
                <w:sz w:val="28"/>
              </w:rPr>
              <w:t>材料。</w:t>
            </w:r>
          </w:p>
        </w:tc>
        <w:tc>
          <w:tcPr>
            <w:tcW w:w="0" w:type="auto"/>
            <w:vAlign w:val="center"/>
          </w:tcPr>
          <w:p w:rsidR="00044B82" w:rsidRDefault="00C46659" w:rsidP="00AA6E5C">
            <w:pPr>
              <w:snapToGrid w:val="0"/>
              <w:jc w:val="center"/>
              <w:rPr>
                <w:rFonts w:ascii="仿宋_GB2312" w:eastAsia="仿宋_GB2312"/>
                <w:sz w:val="28"/>
              </w:rPr>
            </w:pPr>
            <w:r>
              <w:rPr>
                <w:rFonts w:ascii="仿宋_GB2312" w:eastAsia="仿宋_GB2312" w:hint="eastAsia"/>
                <w:b/>
                <w:sz w:val="28"/>
              </w:rPr>
              <w:t>否</w:t>
            </w:r>
            <w:r>
              <w:rPr>
                <w:rFonts w:ascii="仿宋_GB2312" w:eastAsia="仿宋_GB2312" w:hint="eastAsia"/>
                <w:b/>
                <w:sz w:val="28"/>
              </w:rPr>
              <w:sym w:font="Wingdings 2" w:char="F053"/>
            </w:r>
          </w:p>
        </w:tc>
        <w:tc>
          <w:tcPr>
            <w:tcW w:w="0" w:type="auto"/>
            <w:vAlign w:val="center"/>
          </w:tcPr>
          <w:p w:rsidR="00044B82" w:rsidRDefault="00044B82">
            <w:pPr>
              <w:snapToGrid w:val="0"/>
              <w:rPr>
                <w:rFonts w:ascii="仿宋_GB2312" w:eastAsia="仿宋_GB2312"/>
                <w:sz w:val="28"/>
              </w:rPr>
            </w:pPr>
          </w:p>
        </w:tc>
      </w:tr>
      <w:tr w:rsidR="00044B82">
        <w:tc>
          <w:tcPr>
            <w:tcW w:w="0" w:type="auto"/>
            <w:vAlign w:val="center"/>
          </w:tcPr>
          <w:p w:rsidR="00044B82" w:rsidRDefault="001C1AF1">
            <w:pPr>
              <w:snapToGrid w:val="0"/>
              <w:rPr>
                <w:rFonts w:ascii="仿宋_GB2312" w:eastAsia="仿宋_GB2312"/>
                <w:sz w:val="28"/>
              </w:rPr>
            </w:pPr>
            <w:r>
              <w:rPr>
                <w:rFonts w:ascii="仿宋_GB2312" w:eastAsia="仿宋_GB2312" w:hint="eastAsia"/>
                <w:sz w:val="28"/>
              </w:rPr>
              <w:t>（2）技术负责人具有5年以上从事工程施工技术管理工作经历，且具有港口与航道工程专业高级职称或港口与航道工程专业一级注册建造师执业资格；工程序列中级以上职称人员不少于10人，其中港口与航道工程、机械、电气等专业齐全。</w:t>
            </w:r>
          </w:p>
        </w:tc>
        <w:tc>
          <w:tcPr>
            <w:tcW w:w="0" w:type="auto"/>
            <w:vAlign w:val="center"/>
          </w:tcPr>
          <w:p w:rsidR="0031303B" w:rsidRDefault="001C1AF1">
            <w:pPr>
              <w:snapToGrid w:val="0"/>
              <w:rPr>
                <w:rFonts w:ascii="仿宋_GB2312" w:eastAsia="仿宋_GB2312"/>
                <w:sz w:val="28"/>
              </w:rPr>
            </w:pPr>
            <w:r>
              <w:rPr>
                <w:rFonts w:ascii="仿宋_GB2312" w:eastAsia="仿宋_GB2312" w:hint="eastAsia"/>
                <w:sz w:val="28"/>
              </w:rPr>
              <w:t>技术负责人（姜剑峰）具有港口与航道高级工程师职称，从事工程施工技术管理工作20年。</w:t>
            </w:r>
          </w:p>
          <w:p w:rsidR="00044B82" w:rsidRDefault="001C1AF1" w:rsidP="0054590A">
            <w:pPr>
              <w:snapToGrid w:val="0"/>
              <w:rPr>
                <w:rFonts w:ascii="仿宋_GB2312" w:eastAsia="仿宋_GB2312"/>
                <w:sz w:val="28"/>
              </w:rPr>
            </w:pPr>
            <w:r>
              <w:rPr>
                <w:rFonts w:ascii="仿宋_GB2312" w:eastAsia="仿宋_GB2312" w:hint="eastAsia"/>
                <w:sz w:val="28"/>
              </w:rPr>
              <w:t>中级以上职称人员10人（朱娟祥、左元龙、胡济宇、周树松、谭斌、郭晋、刘志、黎湘波、刘坚、钟吉林），</w:t>
            </w:r>
            <w:r w:rsidR="0054590A">
              <w:rPr>
                <w:rFonts w:ascii="仿宋_GB2312" w:eastAsia="仿宋_GB2312" w:hint="eastAsia"/>
                <w:sz w:val="28"/>
              </w:rPr>
              <w:t>但缺失</w:t>
            </w:r>
            <w:r>
              <w:rPr>
                <w:rFonts w:ascii="仿宋_GB2312" w:eastAsia="仿宋_GB2312" w:hint="eastAsia"/>
                <w:sz w:val="28"/>
              </w:rPr>
              <w:t>港口与航道工程职称相关人员。</w:t>
            </w:r>
          </w:p>
        </w:tc>
        <w:tc>
          <w:tcPr>
            <w:tcW w:w="0" w:type="auto"/>
            <w:vAlign w:val="center"/>
          </w:tcPr>
          <w:p w:rsidR="00044B82" w:rsidRDefault="00C46659" w:rsidP="00AA6E5C">
            <w:pPr>
              <w:snapToGrid w:val="0"/>
              <w:jc w:val="center"/>
              <w:rPr>
                <w:rFonts w:ascii="仿宋_GB2312" w:eastAsia="仿宋_GB2312"/>
                <w:sz w:val="28"/>
              </w:rPr>
            </w:pPr>
            <w:r>
              <w:rPr>
                <w:rFonts w:ascii="仿宋_GB2312" w:eastAsia="仿宋_GB2312" w:hint="eastAsia"/>
                <w:b/>
                <w:sz w:val="28"/>
              </w:rPr>
              <w:t>否</w:t>
            </w:r>
            <w:r>
              <w:rPr>
                <w:rFonts w:ascii="仿宋_GB2312" w:eastAsia="仿宋_GB2312" w:hint="eastAsia"/>
                <w:b/>
                <w:sz w:val="28"/>
              </w:rPr>
              <w:sym w:font="Wingdings 2" w:char="F053"/>
            </w:r>
          </w:p>
        </w:tc>
        <w:tc>
          <w:tcPr>
            <w:tcW w:w="0" w:type="auto"/>
            <w:vAlign w:val="center"/>
          </w:tcPr>
          <w:p w:rsidR="00044B82" w:rsidRDefault="00044B82">
            <w:pPr>
              <w:snapToGrid w:val="0"/>
              <w:rPr>
                <w:rFonts w:ascii="仿宋_GB2312" w:eastAsia="仿宋_GB2312"/>
                <w:sz w:val="28"/>
              </w:rPr>
            </w:pPr>
          </w:p>
        </w:tc>
      </w:tr>
      <w:tr w:rsidR="00044B82">
        <w:trPr>
          <w:trHeight w:val="774"/>
        </w:trPr>
        <w:tc>
          <w:tcPr>
            <w:tcW w:w="0" w:type="auto"/>
            <w:vAlign w:val="center"/>
          </w:tcPr>
          <w:p w:rsidR="00044B82" w:rsidRDefault="001C1AF1">
            <w:pPr>
              <w:snapToGrid w:val="0"/>
              <w:rPr>
                <w:rFonts w:ascii="仿宋_GB2312" w:eastAsia="仿宋_GB2312"/>
                <w:sz w:val="28"/>
              </w:rPr>
            </w:pPr>
            <w:r>
              <w:rPr>
                <w:rFonts w:ascii="仿宋_GB2312" w:eastAsia="仿宋_GB2312" w:hint="eastAsia"/>
                <w:sz w:val="28"/>
              </w:rPr>
              <w:t>（3）持有岗位证书的施工现场管理人员不少于10人，且质量员、安全员等人员齐全</w:t>
            </w:r>
            <w:r w:rsidR="0054590A">
              <w:rPr>
                <w:rFonts w:ascii="仿宋_GB2312" w:eastAsia="仿宋_GB2312" w:hint="eastAsia"/>
                <w:sz w:val="28"/>
              </w:rPr>
              <w:t>。</w:t>
            </w:r>
          </w:p>
        </w:tc>
        <w:tc>
          <w:tcPr>
            <w:tcW w:w="0" w:type="auto"/>
            <w:vAlign w:val="center"/>
          </w:tcPr>
          <w:p w:rsidR="00044B82" w:rsidRDefault="00476147" w:rsidP="00476147">
            <w:pPr>
              <w:snapToGrid w:val="0"/>
              <w:rPr>
                <w:rFonts w:ascii="仿宋_GB2312" w:eastAsia="仿宋_GB2312"/>
                <w:sz w:val="28"/>
              </w:rPr>
            </w:pPr>
            <w:r>
              <w:rPr>
                <w:rFonts w:ascii="仿宋_GB2312" w:eastAsia="仿宋_GB2312" w:hint="eastAsia"/>
                <w:sz w:val="28"/>
              </w:rPr>
              <w:t>申报资料中缺失</w:t>
            </w:r>
            <w:r w:rsidR="001C1AF1">
              <w:rPr>
                <w:rFonts w:ascii="仿宋_GB2312" w:eastAsia="仿宋_GB2312" w:hint="eastAsia"/>
                <w:sz w:val="28"/>
              </w:rPr>
              <w:t>相关资料</w:t>
            </w:r>
            <w:r>
              <w:rPr>
                <w:rFonts w:ascii="仿宋_GB2312" w:eastAsia="仿宋_GB2312" w:hint="eastAsia"/>
                <w:sz w:val="28"/>
              </w:rPr>
              <w:t>。</w:t>
            </w:r>
          </w:p>
        </w:tc>
        <w:tc>
          <w:tcPr>
            <w:tcW w:w="0" w:type="auto"/>
            <w:vAlign w:val="center"/>
          </w:tcPr>
          <w:p w:rsidR="00044B82" w:rsidRDefault="00C46659" w:rsidP="00AA6E5C">
            <w:pPr>
              <w:snapToGrid w:val="0"/>
              <w:jc w:val="center"/>
              <w:rPr>
                <w:rFonts w:ascii="仿宋_GB2312" w:eastAsia="仿宋_GB2312"/>
                <w:b/>
                <w:sz w:val="28"/>
              </w:rPr>
            </w:pPr>
            <w:r>
              <w:rPr>
                <w:rFonts w:ascii="仿宋_GB2312" w:eastAsia="仿宋_GB2312" w:hint="eastAsia"/>
                <w:b/>
                <w:sz w:val="28"/>
              </w:rPr>
              <w:t>否</w:t>
            </w:r>
            <w:r>
              <w:rPr>
                <w:rFonts w:ascii="仿宋_GB2312" w:eastAsia="仿宋_GB2312" w:hint="eastAsia"/>
                <w:b/>
                <w:sz w:val="28"/>
              </w:rPr>
              <w:sym w:font="Wingdings 2" w:char="F053"/>
            </w:r>
          </w:p>
        </w:tc>
        <w:tc>
          <w:tcPr>
            <w:tcW w:w="0" w:type="auto"/>
            <w:vAlign w:val="center"/>
          </w:tcPr>
          <w:p w:rsidR="00044B82" w:rsidRDefault="00044B82">
            <w:pPr>
              <w:snapToGrid w:val="0"/>
              <w:rPr>
                <w:rFonts w:ascii="仿宋_GB2312" w:eastAsia="仿宋_GB2312"/>
                <w:sz w:val="28"/>
              </w:rPr>
            </w:pPr>
          </w:p>
        </w:tc>
      </w:tr>
      <w:tr w:rsidR="00044B82">
        <w:trPr>
          <w:trHeight w:val="958"/>
        </w:trPr>
        <w:tc>
          <w:tcPr>
            <w:tcW w:w="0" w:type="auto"/>
            <w:vAlign w:val="center"/>
          </w:tcPr>
          <w:p w:rsidR="00044B82" w:rsidRDefault="001C1AF1">
            <w:pPr>
              <w:snapToGrid w:val="0"/>
              <w:rPr>
                <w:rFonts w:ascii="仿宋_GB2312" w:eastAsia="仿宋_GB2312"/>
                <w:sz w:val="28"/>
              </w:rPr>
            </w:pPr>
            <w:r>
              <w:rPr>
                <w:rFonts w:ascii="仿宋_GB2312" w:eastAsia="仿宋_GB2312" w:hint="eastAsia"/>
                <w:sz w:val="28"/>
              </w:rPr>
              <w:t>（4）经考核或培训合格的中级工以上技术工人（</w:t>
            </w:r>
            <w:proofErr w:type="gramStart"/>
            <w:r>
              <w:rPr>
                <w:rFonts w:ascii="仿宋_GB2312" w:eastAsia="仿宋_GB2312" w:hint="eastAsia"/>
                <w:sz w:val="28"/>
              </w:rPr>
              <w:t>含施工</w:t>
            </w:r>
            <w:proofErr w:type="gramEnd"/>
            <w:r>
              <w:rPr>
                <w:rFonts w:ascii="仿宋_GB2312" w:eastAsia="仿宋_GB2312" w:hint="eastAsia"/>
                <w:sz w:val="28"/>
              </w:rPr>
              <w:t>船员）不少于30人。</w:t>
            </w:r>
          </w:p>
        </w:tc>
        <w:tc>
          <w:tcPr>
            <w:tcW w:w="0" w:type="auto"/>
            <w:vAlign w:val="center"/>
          </w:tcPr>
          <w:p w:rsidR="00044B82" w:rsidRDefault="001C1AF1">
            <w:pPr>
              <w:snapToGrid w:val="0"/>
              <w:rPr>
                <w:rFonts w:ascii="仿宋_GB2312" w:eastAsia="仿宋_GB2312"/>
                <w:sz w:val="28"/>
              </w:rPr>
            </w:pPr>
            <w:r>
              <w:rPr>
                <w:rFonts w:ascii="仿宋_GB2312" w:eastAsia="仿宋_GB2312" w:hint="eastAsia"/>
                <w:sz w:val="28"/>
              </w:rPr>
              <w:t>中级工以上技术工人（</w:t>
            </w:r>
            <w:proofErr w:type="gramStart"/>
            <w:r>
              <w:rPr>
                <w:rFonts w:ascii="仿宋_GB2312" w:eastAsia="仿宋_GB2312" w:hint="eastAsia"/>
                <w:sz w:val="28"/>
              </w:rPr>
              <w:t>含施工</w:t>
            </w:r>
            <w:proofErr w:type="gramEnd"/>
            <w:r>
              <w:rPr>
                <w:rFonts w:ascii="仿宋_GB2312" w:eastAsia="仿宋_GB2312" w:hint="eastAsia"/>
                <w:sz w:val="28"/>
              </w:rPr>
              <w:t>船员）30人</w:t>
            </w:r>
            <w:r w:rsidR="00C46659">
              <w:rPr>
                <w:rFonts w:ascii="仿宋_GB2312" w:eastAsia="仿宋_GB2312" w:hint="eastAsia"/>
                <w:sz w:val="28"/>
              </w:rPr>
              <w:t>。</w:t>
            </w:r>
          </w:p>
        </w:tc>
        <w:tc>
          <w:tcPr>
            <w:tcW w:w="0" w:type="auto"/>
            <w:vAlign w:val="center"/>
          </w:tcPr>
          <w:p w:rsidR="00044B82" w:rsidRDefault="00C46659">
            <w:pPr>
              <w:snapToGrid w:val="0"/>
              <w:jc w:val="center"/>
              <w:rPr>
                <w:rFonts w:ascii="仿宋_GB2312" w:eastAsia="仿宋_GB2312"/>
                <w:sz w:val="28"/>
              </w:rPr>
            </w:pPr>
            <w:r>
              <w:rPr>
                <w:rFonts w:ascii="仿宋_GB2312" w:eastAsia="仿宋_GB2312" w:hint="eastAsia"/>
                <w:b/>
                <w:sz w:val="28"/>
              </w:rPr>
              <w:t>是</w:t>
            </w:r>
            <w:r>
              <w:rPr>
                <w:rFonts w:ascii="仿宋_GB2312" w:eastAsia="仿宋_GB2312" w:hint="eastAsia"/>
                <w:sz w:val="28"/>
              </w:rPr>
              <w:sym w:font="Wingdings 2" w:char="F052"/>
            </w:r>
          </w:p>
        </w:tc>
        <w:tc>
          <w:tcPr>
            <w:tcW w:w="0" w:type="auto"/>
            <w:vAlign w:val="center"/>
          </w:tcPr>
          <w:p w:rsidR="00044B82" w:rsidRDefault="00044B82">
            <w:pPr>
              <w:snapToGrid w:val="0"/>
              <w:rPr>
                <w:rFonts w:ascii="仿宋_GB2312" w:eastAsia="仿宋_GB2312"/>
                <w:sz w:val="28"/>
              </w:rPr>
            </w:pPr>
          </w:p>
        </w:tc>
      </w:tr>
      <w:tr w:rsidR="00044B82">
        <w:tc>
          <w:tcPr>
            <w:tcW w:w="0" w:type="auto"/>
            <w:vAlign w:val="center"/>
          </w:tcPr>
          <w:p w:rsidR="00044B82" w:rsidRDefault="001C1AF1">
            <w:pPr>
              <w:snapToGrid w:val="0"/>
              <w:rPr>
                <w:rFonts w:ascii="仿宋_GB2312" w:eastAsia="仿宋_GB2312"/>
                <w:sz w:val="28"/>
              </w:rPr>
            </w:pPr>
            <w:r>
              <w:rPr>
                <w:rFonts w:ascii="仿宋_GB2312" w:eastAsia="仿宋_GB2312" w:hint="eastAsia"/>
                <w:sz w:val="28"/>
              </w:rPr>
              <w:lastRenderedPageBreak/>
              <w:t>（5）技术负责人（或注册建造师）主持完成过本类别资质二级以上标准要求的工程业绩不少于2项。</w:t>
            </w:r>
          </w:p>
        </w:tc>
        <w:tc>
          <w:tcPr>
            <w:tcW w:w="0" w:type="auto"/>
            <w:vAlign w:val="center"/>
          </w:tcPr>
          <w:p w:rsidR="00DF64BF" w:rsidRDefault="00DF64BF" w:rsidP="00DF64BF">
            <w:pPr>
              <w:widowControl/>
              <w:snapToGrid w:val="0"/>
              <w:spacing w:line="240" w:lineRule="atLeast"/>
              <w:jc w:val="left"/>
              <w:rPr>
                <w:rFonts w:ascii="仿宋_GB2312" w:eastAsia="仿宋_GB2312"/>
                <w:sz w:val="28"/>
              </w:rPr>
            </w:pPr>
            <w:r>
              <w:rPr>
                <w:rFonts w:ascii="仿宋_GB2312" w:eastAsia="仿宋_GB2312" w:hint="eastAsia"/>
                <w:sz w:val="28"/>
              </w:rPr>
              <w:t>申报资料中该企业提供了</w:t>
            </w:r>
            <w:r w:rsidR="00BF5C34">
              <w:rPr>
                <w:rFonts w:ascii="仿宋_GB2312" w:eastAsia="仿宋_GB2312" w:hint="eastAsia"/>
                <w:sz w:val="28"/>
              </w:rPr>
              <w:t>相关</w:t>
            </w:r>
            <w:r>
              <w:rPr>
                <w:rFonts w:ascii="仿宋_GB2312" w:eastAsia="仿宋_GB2312" w:hint="eastAsia"/>
                <w:sz w:val="28"/>
              </w:rPr>
              <w:t>证明材料，</w:t>
            </w:r>
            <w:proofErr w:type="gramStart"/>
            <w:r>
              <w:rPr>
                <w:rFonts w:ascii="仿宋_GB2312" w:eastAsia="仿宋_GB2312" w:hint="eastAsia"/>
                <w:sz w:val="28"/>
              </w:rPr>
              <w:t>拟证明</w:t>
            </w:r>
            <w:proofErr w:type="gramEnd"/>
            <w:r>
              <w:rPr>
                <w:rFonts w:ascii="仿宋_GB2312" w:eastAsia="仿宋_GB2312" w:hint="eastAsia"/>
                <w:sz w:val="28"/>
              </w:rPr>
              <w:t>申报材料中的技术负责人姜剑峰主持完成过</w:t>
            </w:r>
            <w:r w:rsidR="001C1AF1">
              <w:rPr>
                <w:rFonts w:ascii="仿宋_GB2312" w:eastAsia="仿宋_GB2312" w:hint="eastAsia"/>
                <w:sz w:val="28"/>
              </w:rPr>
              <w:t>湘江2000吨级航道一期工程（株洲-城陵矶）第十合同段施工</w:t>
            </w:r>
            <w:r w:rsidR="00BF5C34">
              <w:rPr>
                <w:rFonts w:ascii="仿宋_GB2312" w:eastAsia="仿宋_GB2312" w:hint="eastAsia"/>
                <w:sz w:val="28"/>
              </w:rPr>
              <w:t>、澧水石门至澧县航道建设工程新建青山澧水特大桥（主桥）</w:t>
            </w:r>
            <w:proofErr w:type="gramStart"/>
            <w:r w:rsidR="00BF5C34">
              <w:rPr>
                <w:rFonts w:ascii="仿宋_GB2312" w:eastAsia="仿宋_GB2312" w:hint="eastAsia"/>
                <w:sz w:val="28"/>
              </w:rPr>
              <w:t>改建艳洲大桥</w:t>
            </w:r>
            <w:proofErr w:type="gramEnd"/>
            <w:r w:rsidR="00BF5C34">
              <w:rPr>
                <w:rFonts w:ascii="仿宋_GB2312" w:eastAsia="仿宋_GB2312" w:hint="eastAsia"/>
                <w:sz w:val="28"/>
              </w:rPr>
              <w:t>——含航道疏浚和炸礁工程</w:t>
            </w:r>
            <w:r w:rsidR="001C1AF1">
              <w:rPr>
                <w:rFonts w:ascii="仿宋_GB2312" w:eastAsia="仿宋_GB2312" w:hint="eastAsia"/>
                <w:sz w:val="28"/>
              </w:rPr>
              <w:t>。</w:t>
            </w:r>
            <w:r w:rsidR="00BF5C34">
              <w:rPr>
                <w:rFonts w:ascii="仿宋_GB2312" w:eastAsia="仿宋_GB2312" w:hint="eastAsia"/>
                <w:sz w:val="28"/>
              </w:rPr>
              <w:t>我处对相关申报材料进行了核实，并组织人员赴现场进行了核实。具体情况如下：</w:t>
            </w:r>
          </w:p>
          <w:p w:rsidR="00476B56" w:rsidRDefault="00BF5C34" w:rsidP="0011343F">
            <w:pPr>
              <w:widowControl/>
              <w:snapToGrid w:val="0"/>
              <w:spacing w:line="240" w:lineRule="atLeast"/>
              <w:jc w:val="left"/>
              <w:rPr>
                <w:rFonts w:ascii="仿宋_GB2312" w:eastAsia="仿宋_GB2312"/>
                <w:sz w:val="28"/>
              </w:rPr>
            </w:pPr>
            <w:r w:rsidRPr="00BF5C34">
              <w:rPr>
                <w:rFonts w:ascii="仿宋_GB2312" w:eastAsia="仿宋_GB2312" w:hint="eastAsia"/>
                <w:sz w:val="28"/>
              </w:rPr>
              <w:t>1.关于湘江2000吨级航道一期工程（株洲-城陵矶）第十合同段施工业绩。</w:t>
            </w:r>
            <w:r>
              <w:rPr>
                <w:rFonts w:ascii="仿宋_GB2312" w:eastAsia="仿宋_GB2312" w:hint="eastAsia"/>
                <w:sz w:val="28"/>
              </w:rPr>
              <w:t>5月13日上午，</w:t>
            </w:r>
            <w:r w:rsidR="00DF64BF">
              <w:rPr>
                <w:rFonts w:ascii="仿宋_GB2312" w:eastAsia="仿宋_GB2312" w:hint="eastAsia"/>
                <w:sz w:val="28"/>
              </w:rPr>
              <w:t>我处</w:t>
            </w:r>
            <w:r>
              <w:rPr>
                <w:rFonts w:ascii="仿宋_GB2312" w:eastAsia="仿宋_GB2312" w:hint="eastAsia"/>
                <w:sz w:val="28"/>
              </w:rPr>
              <w:t>卢本坤、刘子龙同志会同省水运投（该项目业主）相关人员</w:t>
            </w:r>
            <w:r w:rsidR="00DF64BF">
              <w:rPr>
                <w:rFonts w:ascii="仿宋_GB2312" w:eastAsia="仿宋_GB2312" w:hint="eastAsia"/>
                <w:sz w:val="28"/>
              </w:rPr>
              <w:t>赴长沙水上服务区</w:t>
            </w:r>
            <w:r>
              <w:rPr>
                <w:rFonts w:ascii="仿宋_GB2312" w:eastAsia="仿宋_GB2312" w:hint="eastAsia"/>
                <w:sz w:val="28"/>
              </w:rPr>
              <w:t>查询了该标段施工过程中的所有资料（含</w:t>
            </w:r>
            <w:r w:rsidR="001C1AF1">
              <w:rPr>
                <w:rFonts w:ascii="仿宋_GB2312" w:eastAsia="仿宋_GB2312" w:hint="eastAsia"/>
                <w:sz w:val="28"/>
              </w:rPr>
              <w:t>该标段合同协议书、施工管理组织机构图、安全生产管理体系框图</w:t>
            </w:r>
            <w:r w:rsidR="00476B56">
              <w:rPr>
                <w:rFonts w:ascii="仿宋_GB2312" w:eastAsia="仿宋_GB2312" w:hint="eastAsia"/>
                <w:sz w:val="28"/>
              </w:rPr>
              <w:t>、</w:t>
            </w:r>
            <w:r>
              <w:rPr>
                <w:rFonts w:ascii="仿宋_GB2312" w:eastAsia="仿宋_GB2312" w:hint="eastAsia"/>
                <w:sz w:val="28"/>
              </w:rPr>
              <w:t>施工单位</w:t>
            </w:r>
            <w:r w:rsidR="0011343F">
              <w:rPr>
                <w:rFonts w:ascii="仿宋_GB2312" w:eastAsia="仿宋_GB2312" w:hint="eastAsia"/>
                <w:sz w:val="28"/>
              </w:rPr>
              <w:t>项目部人员</w:t>
            </w:r>
            <w:r w:rsidR="00E9370C">
              <w:rPr>
                <w:rFonts w:ascii="仿宋_GB2312" w:eastAsia="仿宋_GB2312" w:hint="eastAsia"/>
                <w:sz w:val="28"/>
              </w:rPr>
              <w:t>名册</w:t>
            </w:r>
            <w:r w:rsidR="009E109E">
              <w:rPr>
                <w:rFonts w:ascii="仿宋_GB2312" w:eastAsia="仿宋_GB2312" w:hint="eastAsia"/>
                <w:sz w:val="28"/>
              </w:rPr>
              <w:t>、施工人员造册登记表</w:t>
            </w:r>
            <w:r w:rsidR="001C1AF1">
              <w:rPr>
                <w:rFonts w:ascii="仿宋_GB2312" w:eastAsia="仿宋_GB2312" w:hint="eastAsia"/>
                <w:sz w:val="28"/>
              </w:rPr>
              <w:t>、</w:t>
            </w:r>
            <w:r>
              <w:rPr>
                <w:rFonts w:ascii="仿宋_GB2312" w:eastAsia="仿宋_GB2312" w:hint="eastAsia"/>
                <w:sz w:val="28"/>
              </w:rPr>
              <w:t>历次</w:t>
            </w:r>
            <w:r w:rsidR="001C1AF1">
              <w:rPr>
                <w:rFonts w:ascii="仿宋_GB2312" w:eastAsia="仿宋_GB2312" w:hint="eastAsia"/>
                <w:sz w:val="28"/>
              </w:rPr>
              <w:t>会议纪要及人员签到</w:t>
            </w:r>
            <w:r>
              <w:rPr>
                <w:rFonts w:ascii="仿宋_GB2312" w:eastAsia="仿宋_GB2312" w:hint="eastAsia"/>
                <w:sz w:val="28"/>
              </w:rPr>
              <w:t>表</w:t>
            </w:r>
            <w:r w:rsidR="001C1AF1">
              <w:rPr>
                <w:rFonts w:ascii="仿宋_GB2312" w:eastAsia="仿宋_GB2312" w:hint="eastAsia"/>
                <w:sz w:val="28"/>
              </w:rPr>
              <w:t>、交工验收证书等</w:t>
            </w:r>
            <w:r>
              <w:rPr>
                <w:rFonts w:ascii="仿宋_GB2312" w:eastAsia="仿宋_GB2312" w:hint="eastAsia"/>
                <w:sz w:val="28"/>
              </w:rPr>
              <w:t>）。发现申报资料中的证明材料不属实。一是</w:t>
            </w:r>
            <w:r w:rsidR="009E109E">
              <w:rPr>
                <w:rFonts w:ascii="仿宋_GB2312" w:eastAsia="仿宋_GB2312" w:hint="eastAsia"/>
                <w:sz w:val="28"/>
              </w:rPr>
              <w:t>省航务公司在该合同段项目经理部组建中，没有设立项目副经理岗位，同时在所有的施工单位归档的文件中，没有发现姜剑锋的签字记录；二是经</w:t>
            </w:r>
            <w:proofErr w:type="gramStart"/>
            <w:r w:rsidR="00C81CB9">
              <w:rPr>
                <w:rFonts w:ascii="仿宋_GB2312" w:eastAsia="仿宋_GB2312" w:hint="eastAsia"/>
                <w:sz w:val="28"/>
              </w:rPr>
              <w:t>请示</w:t>
            </w:r>
            <w:r w:rsidR="009E109E">
              <w:rPr>
                <w:rFonts w:ascii="仿宋_GB2312" w:eastAsia="仿宋_GB2312" w:hint="eastAsia"/>
                <w:sz w:val="28"/>
              </w:rPr>
              <w:t>部水运局</w:t>
            </w:r>
            <w:proofErr w:type="gramEnd"/>
            <w:r w:rsidR="009E109E">
              <w:rPr>
                <w:rFonts w:ascii="仿宋_GB2312" w:eastAsia="仿宋_GB2312" w:hint="eastAsia"/>
                <w:sz w:val="28"/>
              </w:rPr>
              <w:t>市场处，主持完成的须为项目经理或技术负责人</w:t>
            </w:r>
            <w:r w:rsidR="00C81CB9">
              <w:rPr>
                <w:rFonts w:ascii="仿宋_GB2312" w:eastAsia="仿宋_GB2312" w:hint="eastAsia"/>
                <w:sz w:val="28"/>
              </w:rPr>
              <w:t>的业绩</w:t>
            </w:r>
            <w:r w:rsidR="009E109E">
              <w:rPr>
                <w:rFonts w:ascii="仿宋_GB2312" w:eastAsia="仿宋_GB2312" w:hint="eastAsia"/>
                <w:sz w:val="28"/>
              </w:rPr>
              <w:t>。</w:t>
            </w:r>
          </w:p>
          <w:p w:rsidR="00044B82" w:rsidRDefault="009E109E" w:rsidP="00215CB6">
            <w:pPr>
              <w:widowControl/>
              <w:snapToGrid w:val="0"/>
              <w:spacing w:line="240" w:lineRule="atLeast"/>
              <w:jc w:val="left"/>
              <w:rPr>
                <w:rFonts w:ascii="仿宋_GB2312" w:eastAsia="仿宋_GB2312"/>
                <w:sz w:val="28"/>
              </w:rPr>
            </w:pPr>
            <w:r>
              <w:rPr>
                <w:rFonts w:ascii="仿宋_GB2312" w:eastAsia="仿宋_GB2312" w:hint="eastAsia"/>
                <w:sz w:val="28"/>
              </w:rPr>
              <w:t>2.关于澧水石门至澧县航道建设工程新建青山澧水特大桥（主桥）</w:t>
            </w:r>
            <w:proofErr w:type="gramStart"/>
            <w:r>
              <w:rPr>
                <w:rFonts w:ascii="仿宋_GB2312" w:eastAsia="仿宋_GB2312" w:hint="eastAsia"/>
                <w:sz w:val="28"/>
              </w:rPr>
              <w:t>改建艳洲大桥</w:t>
            </w:r>
            <w:proofErr w:type="gramEnd"/>
            <w:r>
              <w:rPr>
                <w:rFonts w:ascii="仿宋_GB2312" w:eastAsia="仿宋_GB2312" w:hint="eastAsia"/>
                <w:sz w:val="28"/>
              </w:rPr>
              <w:t>——含</w:t>
            </w:r>
            <w:bookmarkStart w:id="0" w:name="OLE_LINK5"/>
            <w:r>
              <w:rPr>
                <w:rFonts w:ascii="仿宋_GB2312" w:eastAsia="仿宋_GB2312" w:hint="eastAsia"/>
                <w:sz w:val="28"/>
              </w:rPr>
              <w:t>航道疏浚和炸礁工程施工</w:t>
            </w:r>
            <w:bookmarkEnd w:id="0"/>
            <w:r>
              <w:rPr>
                <w:rFonts w:ascii="仿宋_GB2312" w:eastAsia="仿宋_GB2312" w:hint="eastAsia"/>
                <w:sz w:val="28"/>
              </w:rPr>
              <w:t>业绩</w:t>
            </w:r>
            <w:r w:rsidR="001C1AF1">
              <w:rPr>
                <w:rFonts w:ascii="仿宋_GB2312" w:eastAsia="仿宋_GB2312" w:hint="eastAsia"/>
                <w:sz w:val="28"/>
              </w:rPr>
              <w:t>。</w:t>
            </w:r>
            <w:r w:rsidR="00BE37DD">
              <w:rPr>
                <w:rFonts w:ascii="仿宋_GB2312" w:eastAsia="仿宋_GB2312" w:hint="eastAsia"/>
                <w:sz w:val="28"/>
              </w:rPr>
              <w:t>该标段中的航道疏浚和炸礁工程施工由湖南</w:t>
            </w:r>
            <w:r w:rsidR="00BE37DD">
              <w:rPr>
                <w:rFonts w:ascii="仿宋_GB2312" w:eastAsia="仿宋_GB2312" w:hint="eastAsia"/>
                <w:sz w:val="28"/>
              </w:rPr>
              <w:lastRenderedPageBreak/>
              <w:t>路桥建设有限公司专业分包给湖南航务工程有限公司施工。</w:t>
            </w:r>
            <w:r w:rsidR="00C81CB9" w:rsidRPr="00C81CB9">
              <w:rPr>
                <w:rFonts w:ascii="仿宋_GB2312" w:eastAsia="仿宋_GB2312" w:hint="eastAsia"/>
                <w:sz w:val="28"/>
              </w:rPr>
              <w:t>根据《中华人民共和国建筑法》第二十九条，建筑工程总承包单位可以将承包工程中的部分工程发包给具有相应资质条件的分包单位，但分包单位必须按照分包合同的约定对总承包单位负责。分包单位与总包单位之间是合同关系，分包单位的业绩属于其自身，与总</w:t>
            </w:r>
            <w:proofErr w:type="gramStart"/>
            <w:r w:rsidR="00C81CB9" w:rsidRPr="00C81CB9">
              <w:rPr>
                <w:rFonts w:ascii="仿宋_GB2312" w:eastAsia="仿宋_GB2312" w:hint="eastAsia"/>
                <w:sz w:val="28"/>
              </w:rPr>
              <w:t>包人员</w:t>
            </w:r>
            <w:proofErr w:type="gramEnd"/>
            <w:r w:rsidR="00C81CB9" w:rsidRPr="00C81CB9">
              <w:rPr>
                <w:rFonts w:ascii="仿宋_GB2312" w:eastAsia="仿宋_GB2312" w:hint="eastAsia"/>
                <w:sz w:val="28"/>
              </w:rPr>
              <w:t>个人无关。</w:t>
            </w:r>
            <w:r w:rsidR="00C8114E">
              <w:rPr>
                <w:rFonts w:ascii="仿宋_GB2312" w:eastAsia="仿宋_GB2312" w:hint="eastAsia"/>
                <w:sz w:val="28"/>
              </w:rPr>
              <w:t>说明</w:t>
            </w:r>
            <w:r w:rsidR="00C81CB9" w:rsidRPr="00C81CB9">
              <w:rPr>
                <w:rFonts w:ascii="仿宋_GB2312" w:eastAsia="仿宋_GB2312" w:hint="eastAsia"/>
                <w:sz w:val="28"/>
              </w:rPr>
              <w:t>分包单位作为独立责任主体的地位，其业绩不能算作总</w:t>
            </w:r>
            <w:proofErr w:type="gramStart"/>
            <w:r w:rsidR="00C81CB9" w:rsidRPr="00C81CB9">
              <w:rPr>
                <w:rFonts w:ascii="仿宋_GB2312" w:eastAsia="仿宋_GB2312" w:hint="eastAsia"/>
                <w:sz w:val="28"/>
              </w:rPr>
              <w:t>包人员</w:t>
            </w:r>
            <w:proofErr w:type="gramEnd"/>
            <w:r w:rsidR="00C81CB9" w:rsidRPr="00C81CB9">
              <w:rPr>
                <w:rFonts w:ascii="仿宋_GB2312" w:eastAsia="仿宋_GB2312" w:hint="eastAsia"/>
                <w:sz w:val="28"/>
              </w:rPr>
              <w:t>的个人业绩。</w:t>
            </w:r>
          </w:p>
        </w:tc>
        <w:tc>
          <w:tcPr>
            <w:tcW w:w="0" w:type="auto"/>
            <w:vAlign w:val="center"/>
          </w:tcPr>
          <w:p w:rsidR="00044B82" w:rsidRDefault="00C46659" w:rsidP="00AA6E5C">
            <w:pPr>
              <w:snapToGrid w:val="0"/>
              <w:jc w:val="center"/>
              <w:rPr>
                <w:rFonts w:ascii="仿宋_GB2312" w:eastAsia="仿宋_GB2312"/>
                <w:sz w:val="28"/>
              </w:rPr>
            </w:pPr>
            <w:r>
              <w:rPr>
                <w:rFonts w:ascii="仿宋_GB2312" w:eastAsia="仿宋_GB2312" w:hint="eastAsia"/>
                <w:b/>
                <w:sz w:val="28"/>
              </w:rPr>
              <w:lastRenderedPageBreak/>
              <w:t>否</w:t>
            </w:r>
            <w:r>
              <w:rPr>
                <w:rFonts w:ascii="仿宋_GB2312" w:eastAsia="仿宋_GB2312" w:hint="eastAsia"/>
                <w:b/>
                <w:sz w:val="28"/>
              </w:rPr>
              <w:sym w:font="Wingdings 2" w:char="F053"/>
            </w:r>
          </w:p>
        </w:tc>
        <w:tc>
          <w:tcPr>
            <w:tcW w:w="0" w:type="auto"/>
            <w:vAlign w:val="center"/>
          </w:tcPr>
          <w:p w:rsidR="00044B82" w:rsidRDefault="00044B82">
            <w:pPr>
              <w:snapToGrid w:val="0"/>
              <w:rPr>
                <w:rFonts w:ascii="仿宋_GB2312" w:eastAsia="仿宋_GB2312"/>
                <w:sz w:val="28"/>
              </w:rPr>
            </w:pPr>
          </w:p>
        </w:tc>
      </w:tr>
      <w:tr w:rsidR="00044B82">
        <w:trPr>
          <w:trHeight w:val="196"/>
        </w:trPr>
        <w:tc>
          <w:tcPr>
            <w:tcW w:w="0" w:type="auto"/>
            <w:gridSpan w:val="4"/>
          </w:tcPr>
          <w:p w:rsidR="00044B82" w:rsidRDefault="001C1AF1">
            <w:pPr>
              <w:snapToGrid w:val="0"/>
              <w:rPr>
                <w:rFonts w:ascii="仿宋_GB2312" w:eastAsia="仿宋_GB2312"/>
                <w:sz w:val="28"/>
              </w:rPr>
            </w:pPr>
            <w:r>
              <w:rPr>
                <w:rFonts w:ascii="仿宋_GB2312" w:eastAsia="仿宋_GB2312" w:hint="eastAsia"/>
                <w:sz w:val="28"/>
              </w:rPr>
              <w:lastRenderedPageBreak/>
              <w:t>3、技术装备</w:t>
            </w:r>
          </w:p>
        </w:tc>
      </w:tr>
      <w:tr w:rsidR="00044B82">
        <w:trPr>
          <w:trHeight w:val="161"/>
        </w:trPr>
        <w:tc>
          <w:tcPr>
            <w:tcW w:w="0" w:type="auto"/>
            <w:vAlign w:val="center"/>
          </w:tcPr>
          <w:p w:rsidR="00044B82" w:rsidRDefault="001C1AF1">
            <w:pPr>
              <w:snapToGrid w:val="0"/>
              <w:rPr>
                <w:rFonts w:ascii="仿宋_GB2312" w:eastAsia="仿宋_GB2312"/>
                <w:sz w:val="28"/>
              </w:rPr>
            </w:pPr>
            <w:r>
              <w:rPr>
                <w:rFonts w:ascii="仿宋_GB2312" w:eastAsia="仿宋_GB2312"/>
                <w:sz w:val="28"/>
              </w:rPr>
              <w:t>具有下列</w:t>
            </w:r>
            <w:r>
              <w:rPr>
                <w:rFonts w:ascii="仿宋_GB2312" w:eastAsia="仿宋_GB2312" w:hint="eastAsia"/>
                <w:sz w:val="28"/>
              </w:rPr>
              <w:t>4</w:t>
            </w:r>
            <w:r>
              <w:rPr>
                <w:rFonts w:ascii="仿宋_GB2312" w:eastAsia="仿宋_GB2312"/>
                <w:sz w:val="28"/>
              </w:rPr>
              <w:t>项中的</w:t>
            </w:r>
            <w:r>
              <w:rPr>
                <w:rFonts w:ascii="仿宋_GB2312" w:eastAsia="仿宋_GB2312" w:hint="eastAsia"/>
                <w:sz w:val="28"/>
              </w:rPr>
              <w:t>2</w:t>
            </w:r>
            <w:r>
              <w:rPr>
                <w:rFonts w:ascii="仿宋_GB2312" w:eastAsia="仿宋_GB2312"/>
                <w:sz w:val="28"/>
              </w:rPr>
              <w:t xml:space="preserve">项施工机械设备： </w:t>
            </w:r>
            <w:r>
              <w:rPr>
                <w:rFonts w:ascii="仿宋_GB2312" w:eastAsia="仿宋_GB2312" w:hint="eastAsia"/>
                <w:sz w:val="28"/>
              </w:rPr>
              <w:t>（1）</w:t>
            </w:r>
            <w:r>
              <w:rPr>
                <w:rFonts w:ascii="仿宋_GB2312" w:eastAsia="仿宋_GB2312"/>
                <w:sz w:val="28"/>
              </w:rPr>
              <w:t>打桩船；</w:t>
            </w:r>
            <w:r w:rsidRPr="00E152D3">
              <w:rPr>
                <w:rFonts w:ascii="仿宋_GB2312" w:eastAsia="仿宋_GB2312" w:hint="eastAsia"/>
                <w:b/>
                <w:sz w:val="28"/>
              </w:rPr>
              <w:t>（2）</w:t>
            </w:r>
            <w:r w:rsidRPr="00E152D3">
              <w:rPr>
                <w:rFonts w:ascii="仿宋_GB2312" w:eastAsia="仿宋_GB2312"/>
                <w:b/>
                <w:sz w:val="28"/>
              </w:rPr>
              <w:t>起重船</w:t>
            </w:r>
            <w:r>
              <w:rPr>
                <w:rFonts w:ascii="仿宋_GB2312" w:eastAsia="仿宋_GB2312"/>
                <w:sz w:val="28"/>
              </w:rPr>
              <w:t>；</w:t>
            </w:r>
            <w:r w:rsidRPr="00E152D3">
              <w:rPr>
                <w:rFonts w:ascii="仿宋_GB2312" w:eastAsia="仿宋_GB2312" w:hint="eastAsia"/>
                <w:b/>
                <w:sz w:val="28"/>
              </w:rPr>
              <w:t>（3）</w:t>
            </w:r>
            <w:r w:rsidRPr="00E152D3">
              <w:rPr>
                <w:rFonts w:ascii="仿宋_GB2312" w:eastAsia="仿宋_GB2312"/>
                <w:b/>
                <w:sz w:val="28"/>
              </w:rPr>
              <w:t xml:space="preserve">总装机功率 1200 </w:t>
            </w:r>
            <w:proofErr w:type="gramStart"/>
            <w:r w:rsidRPr="00E152D3">
              <w:rPr>
                <w:rFonts w:ascii="仿宋_GB2312" w:eastAsia="仿宋_GB2312"/>
                <w:b/>
                <w:sz w:val="28"/>
              </w:rPr>
              <w:t>千瓦以上</w:t>
            </w:r>
            <w:proofErr w:type="gramEnd"/>
            <w:r w:rsidRPr="00E152D3">
              <w:rPr>
                <w:rFonts w:ascii="仿宋_GB2312" w:eastAsia="仿宋_GB2312"/>
                <w:b/>
                <w:sz w:val="28"/>
              </w:rPr>
              <w:t>挖泥船</w:t>
            </w:r>
            <w:r>
              <w:rPr>
                <w:rFonts w:ascii="仿宋_GB2312" w:eastAsia="仿宋_GB2312"/>
                <w:sz w:val="28"/>
              </w:rPr>
              <w:t>；</w:t>
            </w:r>
            <w:r>
              <w:rPr>
                <w:rFonts w:ascii="仿宋_GB2312" w:eastAsia="仿宋_GB2312" w:hint="eastAsia"/>
                <w:sz w:val="28"/>
              </w:rPr>
              <w:t>（4）</w:t>
            </w:r>
            <w:r w:rsidR="007E433B">
              <w:rPr>
                <w:rFonts w:ascii="仿宋_GB2312" w:eastAsia="仿宋_GB2312" w:hint="eastAsia"/>
                <w:sz w:val="28"/>
              </w:rPr>
              <w:t>2</w:t>
            </w:r>
            <w:r>
              <w:rPr>
                <w:rFonts w:ascii="仿宋_GB2312" w:eastAsia="仿宋_GB2312"/>
                <w:sz w:val="28"/>
              </w:rPr>
              <w:t>立方米</w:t>
            </w:r>
            <w:proofErr w:type="gramStart"/>
            <w:r>
              <w:rPr>
                <w:rFonts w:ascii="仿宋_GB2312" w:eastAsia="仿宋_GB2312"/>
                <w:sz w:val="28"/>
              </w:rPr>
              <w:t>以上斗容挖泥船</w:t>
            </w:r>
            <w:proofErr w:type="gramEnd"/>
            <w:r>
              <w:rPr>
                <w:rFonts w:ascii="仿宋_GB2312" w:eastAsia="仿宋_GB2312"/>
                <w:sz w:val="28"/>
              </w:rPr>
              <w:t>。</w:t>
            </w:r>
          </w:p>
        </w:tc>
        <w:tc>
          <w:tcPr>
            <w:tcW w:w="0" w:type="auto"/>
            <w:vAlign w:val="center"/>
          </w:tcPr>
          <w:p w:rsidR="00044B82" w:rsidRDefault="00E152D3" w:rsidP="008127AC">
            <w:pPr>
              <w:snapToGrid w:val="0"/>
              <w:rPr>
                <w:rFonts w:ascii="仿宋_GB2312" w:eastAsia="仿宋_GB2312"/>
                <w:sz w:val="28"/>
              </w:rPr>
            </w:pPr>
            <w:r>
              <w:rPr>
                <w:rFonts w:ascii="仿宋_GB2312" w:eastAsia="仿宋_GB2312" w:hint="eastAsia"/>
                <w:sz w:val="28"/>
              </w:rPr>
              <w:t>申报资料中</w:t>
            </w:r>
            <w:r w:rsidR="001C1AF1">
              <w:rPr>
                <w:rFonts w:ascii="仿宋_GB2312" w:eastAsia="仿宋_GB2312" w:hint="eastAsia"/>
                <w:sz w:val="28"/>
              </w:rPr>
              <w:t>共</w:t>
            </w:r>
            <w:r w:rsidR="008127AC">
              <w:rPr>
                <w:rFonts w:ascii="仿宋_GB2312" w:eastAsia="仿宋_GB2312" w:hint="eastAsia"/>
                <w:sz w:val="28"/>
              </w:rPr>
              <w:t>提供了2艘</w:t>
            </w:r>
            <w:r w:rsidR="001C1AF1">
              <w:rPr>
                <w:rFonts w:ascii="仿宋_GB2312" w:eastAsia="仿宋_GB2312" w:hint="eastAsia"/>
                <w:sz w:val="28"/>
              </w:rPr>
              <w:t>工程船舶</w:t>
            </w:r>
            <w:r w:rsidR="008127AC">
              <w:rPr>
                <w:rFonts w:ascii="仿宋_GB2312" w:eastAsia="仿宋_GB2312" w:hint="eastAsia"/>
                <w:sz w:val="28"/>
              </w:rPr>
              <w:t>资料（含船舶所有权登记证书、检验合格证书等）</w:t>
            </w:r>
            <w:r w:rsidR="001C1AF1">
              <w:rPr>
                <w:rFonts w:ascii="仿宋_GB2312" w:eastAsia="仿宋_GB2312" w:hint="eastAsia"/>
                <w:sz w:val="28"/>
              </w:rPr>
              <w:t>。分别为：1.湘长沙工0001（起重船）、2.洞庭1号（绞吸式挖泥船）。</w:t>
            </w:r>
            <w:r w:rsidR="008127AC">
              <w:rPr>
                <w:rFonts w:ascii="仿宋_GB2312" w:eastAsia="仿宋_GB2312" w:hint="eastAsia"/>
                <w:sz w:val="28"/>
              </w:rPr>
              <w:t>但</w:t>
            </w:r>
            <w:r w:rsidR="001C1AF1">
              <w:rPr>
                <w:rFonts w:ascii="仿宋_GB2312" w:eastAsia="仿宋_GB2312" w:hint="eastAsia"/>
                <w:sz w:val="28"/>
              </w:rPr>
              <w:t>洞庭1号船检资料中</w:t>
            </w:r>
            <w:r w:rsidR="008127AC">
              <w:rPr>
                <w:rFonts w:ascii="仿宋_GB2312" w:eastAsia="仿宋_GB2312" w:hint="eastAsia"/>
                <w:sz w:val="28"/>
              </w:rPr>
              <w:t>没有</w:t>
            </w:r>
            <w:r w:rsidR="001C1AF1">
              <w:rPr>
                <w:rFonts w:ascii="仿宋_GB2312" w:eastAsia="仿宋_GB2312"/>
                <w:sz w:val="28"/>
              </w:rPr>
              <w:t>总装机功率</w:t>
            </w:r>
            <w:r w:rsidR="008127AC">
              <w:rPr>
                <w:rFonts w:ascii="仿宋_GB2312" w:eastAsia="仿宋_GB2312" w:hint="eastAsia"/>
                <w:sz w:val="28"/>
              </w:rPr>
              <w:t>指标</w:t>
            </w:r>
            <w:r w:rsidR="001C1AF1">
              <w:rPr>
                <w:rFonts w:ascii="仿宋_GB2312" w:eastAsia="仿宋_GB2312" w:hint="eastAsia"/>
                <w:sz w:val="28"/>
              </w:rPr>
              <w:t>。</w:t>
            </w:r>
          </w:p>
        </w:tc>
        <w:tc>
          <w:tcPr>
            <w:tcW w:w="0" w:type="auto"/>
            <w:vAlign w:val="center"/>
          </w:tcPr>
          <w:p w:rsidR="00044B82" w:rsidRDefault="00AA6E5C">
            <w:pPr>
              <w:snapToGrid w:val="0"/>
              <w:jc w:val="center"/>
              <w:rPr>
                <w:rFonts w:ascii="仿宋_GB2312" w:eastAsia="仿宋_GB2312"/>
                <w:sz w:val="28"/>
              </w:rPr>
            </w:pPr>
            <w:r>
              <w:rPr>
                <w:rFonts w:ascii="仿宋_GB2312" w:eastAsia="仿宋_GB2312" w:hint="eastAsia"/>
                <w:b/>
                <w:sz w:val="28"/>
              </w:rPr>
              <w:t>否</w:t>
            </w:r>
            <w:r>
              <w:rPr>
                <w:rFonts w:ascii="仿宋_GB2312" w:eastAsia="仿宋_GB2312" w:hint="eastAsia"/>
                <w:b/>
                <w:sz w:val="28"/>
              </w:rPr>
              <w:sym w:font="Wingdings 2" w:char="F053"/>
            </w:r>
          </w:p>
        </w:tc>
        <w:tc>
          <w:tcPr>
            <w:tcW w:w="0" w:type="auto"/>
            <w:vAlign w:val="center"/>
          </w:tcPr>
          <w:p w:rsidR="00044B82" w:rsidRDefault="00044B82">
            <w:pPr>
              <w:snapToGrid w:val="0"/>
              <w:rPr>
                <w:rFonts w:ascii="仿宋_GB2312" w:eastAsia="仿宋_GB2312"/>
                <w:sz w:val="28"/>
              </w:rPr>
            </w:pPr>
          </w:p>
        </w:tc>
      </w:tr>
      <w:tr w:rsidR="00044B82">
        <w:trPr>
          <w:trHeight w:val="1488"/>
        </w:trPr>
        <w:tc>
          <w:tcPr>
            <w:tcW w:w="0" w:type="auto"/>
            <w:gridSpan w:val="4"/>
          </w:tcPr>
          <w:p w:rsidR="003C3F75" w:rsidRDefault="003C3F75" w:rsidP="003C3F75">
            <w:pPr>
              <w:snapToGrid w:val="0"/>
              <w:ind w:firstLineChars="200" w:firstLine="560"/>
              <w:rPr>
                <w:rFonts w:ascii="仿宋_GB2312" w:eastAsia="仿宋_GB2312" w:hint="eastAsia"/>
                <w:sz w:val="28"/>
              </w:rPr>
            </w:pPr>
          </w:p>
          <w:p w:rsidR="00044B82" w:rsidRDefault="001C1AF1" w:rsidP="003C3F75">
            <w:pPr>
              <w:snapToGrid w:val="0"/>
              <w:ind w:firstLineChars="200" w:firstLine="560"/>
            </w:pPr>
            <w:bookmarkStart w:id="1" w:name="_GoBack"/>
            <w:bookmarkEnd w:id="1"/>
            <w:r>
              <w:rPr>
                <w:rFonts w:ascii="仿宋_GB2312" w:eastAsia="仿宋_GB2312" w:hint="eastAsia"/>
                <w:sz w:val="28"/>
              </w:rPr>
              <w:t>审核意见：经审核申报资料，不符合《住房和城乡建设部关于印发建设工程企业资质管理制度改革方案的通知》（建市〔2020〕94号）关于港口与航道工程施工总承包贰级各项要求，审核不通过。</w:t>
            </w:r>
          </w:p>
        </w:tc>
      </w:tr>
    </w:tbl>
    <w:p w:rsidR="00044B82" w:rsidRDefault="00044B82">
      <w:pPr>
        <w:snapToGrid w:val="0"/>
        <w:spacing w:line="660" w:lineRule="exact"/>
        <w:jc w:val="center"/>
        <w:rPr>
          <w:rFonts w:ascii="仿宋_GB2312" w:eastAsia="仿宋_GB2312"/>
          <w:sz w:val="28"/>
        </w:rPr>
      </w:pPr>
    </w:p>
    <w:sectPr w:rsidR="00044B82">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CE7" w:rsidRDefault="00B24CE7" w:rsidP="0031303B">
      <w:r>
        <w:separator/>
      </w:r>
    </w:p>
  </w:endnote>
  <w:endnote w:type="continuationSeparator" w:id="0">
    <w:p w:rsidR="00B24CE7" w:rsidRDefault="00B24CE7" w:rsidP="0031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CE7" w:rsidRDefault="00B24CE7" w:rsidP="0031303B">
      <w:r>
        <w:separator/>
      </w:r>
    </w:p>
  </w:footnote>
  <w:footnote w:type="continuationSeparator" w:id="0">
    <w:p w:rsidR="00B24CE7" w:rsidRDefault="00B24CE7" w:rsidP="00313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ZjRjYWJjNDExOGUwMjkyMjVlODFkNGFmNmFjNjkifQ=="/>
  </w:docVars>
  <w:rsids>
    <w:rsidRoot w:val="0014711C"/>
    <w:rsid w:val="BF3D2953"/>
    <w:rsid w:val="0002360D"/>
    <w:rsid w:val="00041AFB"/>
    <w:rsid w:val="00044B82"/>
    <w:rsid w:val="00052447"/>
    <w:rsid w:val="000630EA"/>
    <w:rsid w:val="00070BE7"/>
    <w:rsid w:val="00094693"/>
    <w:rsid w:val="000E1AFB"/>
    <w:rsid w:val="000E3830"/>
    <w:rsid w:val="000F5C3A"/>
    <w:rsid w:val="00112277"/>
    <w:rsid w:val="00112CAB"/>
    <w:rsid w:val="0011343F"/>
    <w:rsid w:val="0014711C"/>
    <w:rsid w:val="00157DA1"/>
    <w:rsid w:val="001711CE"/>
    <w:rsid w:val="001B010A"/>
    <w:rsid w:val="001B212B"/>
    <w:rsid w:val="001B2DB5"/>
    <w:rsid w:val="001C12DE"/>
    <w:rsid w:val="001C1AF1"/>
    <w:rsid w:val="001D0EBD"/>
    <w:rsid w:val="00205D1C"/>
    <w:rsid w:val="00214F18"/>
    <w:rsid w:val="00215CB6"/>
    <w:rsid w:val="0022278A"/>
    <w:rsid w:val="0022685A"/>
    <w:rsid w:val="0023134B"/>
    <w:rsid w:val="00254587"/>
    <w:rsid w:val="0025531D"/>
    <w:rsid w:val="00271D33"/>
    <w:rsid w:val="002737E7"/>
    <w:rsid w:val="002D1C33"/>
    <w:rsid w:val="002E51C1"/>
    <w:rsid w:val="00304380"/>
    <w:rsid w:val="0031303B"/>
    <w:rsid w:val="003178C6"/>
    <w:rsid w:val="00323B41"/>
    <w:rsid w:val="00364609"/>
    <w:rsid w:val="003910DA"/>
    <w:rsid w:val="003B4B36"/>
    <w:rsid w:val="003C3F75"/>
    <w:rsid w:val="003E4076"/>
    <w:rsid w:val="003F12E3"/>
    <w:rsid w:val="00403989"/>
    <w:rsid w:val="00420762"/>
    <w:rsid w:val="00471B5A"/>
    <w:rsid w:val="00476147"/>
    <w:rsid w:val="00476B56"/>
    <w:rsid w:val="004E40CD"/>
    <w:rsid w:val="005030A8"/>
    <w:rsid w:val="005138DD"/>
    <w:rsid w:val="0051441D"/>
    <w:rsid w:val="0054590A"/>
    <w:rsid w:val="0055646D"/>
    <w:rsid w:val="00566207"/>
    <w:rsid w:val="00585DF6"/>
    <w:rsid w:val="00596FD7"/>
    <w:rsid w:val="005D2F99"/>
    <w:rsid w:val="005F6376"/>
    <w:rsid w:val="006324D0"/>
    <w:rsid w:val="0063439B"/>
    <w:rsid w:val="00640157"/>
    <w:rsid w:val="00643DFF"/>
    <w:rsid w:val="00657E37"/>
    <w:rsid w:val="0066350D"/>
    <w:rsid w:val="00676AC0"/>
    <w:rsid w:val="00684051"/>
    <w:rsid w:val="00693D96"/>
    <w:rsid w:val="006E370F"/>
    <w:rsid w:val="00710296"/>
    <w:rsid w:val="00733EA6"/>
    <w:rsid w:val="007A5A60"/>
    <w:rsid w:val="007B0501"/>
    <w:rsid w:val="007E433B"/>
    <w:rsid w:val="007E6CEA"/>
    <w:rsid w:val="00804142"/>
    <w:rsid w:val="008127AC"/>
    <w:rsid w:val="008401AD"/>
    <w:rsid w:val="00856AB6"/>
    <w:rsid w:val="0086112C"/>
    <w:rsid w:val="0086519A"/>
    <w:rsid w:val="00872F8C"/>
    <w:rsid w:val="00872FB6"/>
    <w:rsid w:val="008B1CCF"/>
    <w:rsid w:val="008D507A"/>
    <w:rsid w:val="008E1294"/>
    <w:rsid w:val="008E2DC2"/>
    <w:rsid w:val="00906CB1"/>
    <w:rsid w:val="00933568"/>
    <w:rsid w:val="00936BF0"/>
    <w:rsid w:val="00967190"/>
    <w:rsid w:val="0098302E"/>
    <w:rsid w:val="0098636D"/>
    <w:rsid w:val="009B4FF1"/>
    <w:rsid w:val="009C06EA"/>
    <w:rsid w:val="009E109E"/>
    <w:rsid w:val="009E41CA"/>
    <w:rsid w:val="009F4FB9"/>
    <w:rsid w:val="009F58AE"/>
    <w:rsid w:val="00A73EBA"/>
    <w:rsid w:val="00A75CE5"/>
    <w:rsid w:val="00A828C3"/>
    <w:rsid w:val="00A914C4"/>
    <w:rsid w:val="00AA6E5C"/>
    <w:rsid w:val="00AB16A5"/>
    <w:rsid w:val="00AB2352"/>
    <w:rsid w:val="00AC3C15"/>
    <w:rsid w:val="00AC699D"/>
    <w:rsid w:val="00B20FFA"/>
    <w:rsid w:val="00B24CE7"/>
    <w:rsid w:val="00B8265D"/>
    <w:rsid w:val="00BB151D"/>
    <w:rsid w:val="00BE37DD"/>
    <w:rsid w:val="00BF59E2"/>
    <w:rsid w:val="00BF5C34"/>
    <w:rsid w:val="00C46659"/>
    <w:rsid w:val="00C727A9"/>
    <w:rsid w:val="00C8114E"/>
    <w:rsid w:val="00C81CB9"/>
    <w:rsid w:val="00C8303C"/>
    <w:rsid w:val="00C979E2"/>
    <w:rsid w:val="00CA68E9"/>
    <w:rsid w:val="00CA7CDA"/>
    <w:rsid w:val="00D1203E"/>
    <w:rsid w:val="00D1287F"/>
    <w:rsid w:val="00D47603"/>
    <w:rsid w:val="00DF64BF"/>
    <w:rsid w:val="00E152D3"/>
    <w:rsid w:val="00E761AB"/>
    <w:rsid w:val="00E81586"/>
    <w:rsid w:val="00E84D65"/>
    <w:rsid w:val="00E90A14"/>
    <w:rsid w:val="00E9370C"/>
    <w:rsid w:val="00EC5D90"/>
    <w:rsid w:val="00ED7424"/>
    <w:rsid w:val="00EE448D"/>
    <w:rsid w:val="00EE6900"/>
    <w:rsid w:val="00EF66D1"/>
    <w:rsid w:val="00F01E81"/>
    <w:rsid w:val="00F32DA3"/>
    <w:rsid w:val="00F35B26"/>
    <w:rsid w:val="00F4564A"/>
    <w:rsid w:val="00F52527"/>
    <w:rsid w:val="00F575E3"/>
    <w:rsid w:val="00F76109"/>
    <w:rsid w:val="00F903F5"/>
    <w:rsid w:val="00F96469"/>
    <w:rsid w:val="00FC320A"/>
    <w:rsid w:val="00FC5A7D"/>
    <w:rsid w:val="00FD20BD"/>
    <w:rsid w:val="01396E1E"/>
    <w:rsid w:val="01F80A87"/>
    <w:rsid w:val="105772C0"/>
    <w:rsid w:val="1F3C1A67"/>
    <w:rsid w:val="2A5D55EF"/>
    <w:rsid w:val="2DF71667"/>
    <w:rsid w:val="418C2076"/>
    <w:rsid w:val="46222FA9"/>
    <w:rsid w:val="47503B46"/>
    <w:rsid w:val="4D6B16DA"/>
    <w:rsid w:val="51DC4954"/>
    <w:rsid w:val="79705240"/>
    <w:rsid w:val="7BDC4AFD"/>
    <w:rsid w:val="7D07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400" w:lineRule="exact"/>
    </w:pPr>
    <w:rPr>
      <w:rFonts w:ascii="仿宋_GB2312"/>
      <w:spacing w:val="6"/>
      <w:sz w:val="26"/>
    </w:rPr>
  </w:style>
  <w:style w:type="paragraph" w:styleId="a4">
    <w:name w:val="header"/>
    <w:basedOn w:val="a"/>
    <w:next w:val="a5"/>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Quote"/>
    <w:basedOn w:val="a"/>
    <w:next w:val="a"/>
    <w:uiPriority w:val="99"/>
    <w:qFormat/>
    <w:pPr>
      <w:ind w:left="864" w:right="864"/>
      <w:jc w:val="center"/>
    </w:pPr>
    <w:rPr>
      <w:rFonts w:ascii="Times New Roman" w:hAnsi="Times New Roman" w:cs="Times New Roman"/>
      <w:i/>
      <w:iCs/>
      <w:color w:val="404040"/>
      <w:szCs w:val="21"/>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1"/>
    <w:link w:val="a4"/>
    <w:uiPriority w:val="99"/>
    <w:qFormat/>
    <w:rPr>
      <w:sz w:val="18"/>
      <w:szCs w:val="18"/>
    </w:rPr>
  </w:style>
  <w:style w:type="character" w:customStyle="1" w:styleId="Char1">
    <w:name w:val="页脚 Char"/>
    <w:basedOn w:val="a1"/>
    <w:link w:val="a7"/>
    <w:uiPriority w:val="99"/>
    <w:qFormat/>
    <w:rPr>
      <w:sz w:val="18"/>
      <w:szCs w:val="18"/>
    </w:rPr>
  </w:style>
  <w:style w:type="character" w:customStyle="1" w:styleId="Char0">
    <w:name w:val="批注框文本 Char"/>
    <w:basedOn w:val="a1"/>
    <w:link w:val="a6"/>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400" w:lineRule="exact"/>
    </w:pPr>
    <w:rPr>
      <w:rFonts w:ascii="仿宋_GB2312"/>
      <w:spacing w:val="6"/>
      <w:sz w:val="26"/>
    </w:rPr>
  </w:style>
  <w:style w:type="paragraph" w:styleId="a4">
    <w:name w:val="header"/>
    <w:basedOn w:val="a"/>
    <w:next w:val="a5"/>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Quote"/>
    <w:basedOn w:val="a"/>
    <w:next w:val="a"/>
    <w:uiPriority w:val="99"/>
    <w:qFormat/>
    <w:pPr>
      <w:ind w:left="864" w:right="864"/>
      <w:jc w:val="center"/>
    </w:pPr>
    <w:rPr>
      <w:rFonts w:ascii="Times New Roman" w:hAnsi="Times New Roman" w:cs="Times New Roman"/>
      <w:i/>
      <w:iCs/>
      <w:color w:val="404040"/>
      <w:szCs w:val="21"/>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1"/>
    <w:link w:val="a4"/>
    <w:uiPriority w:val="99"/>
    <w:qFormat/>
    <w:rPr>
      <w:sz w:val="18"/>
      <w:szCs w:val="18"/>
    </w:rPr>
  </w:style>
  <w:style w:type="character" w:customStyle="1" w:styleId="Char1">
    <w:name w:val="页脚 Char"/>
    <w:basedOn w:val="a1"/>
    <w:link w:val="a7"/>
    <w:uiPriority w:val="99"/>
    <w:qFormat/>
    <w:rPr>
      <w:sz w:val="18"/>
      <w:szCs w:val="18"/>
    </w:rPr>
  </w:style>
  <w:style w:type="character" w:customStyle="1" w:styleId="Char0">
    <w:name w:val="批注框文本 Char"/>
    <w:basedOn w:val="a1"/>
    <w:link w:val="a6"/>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1358</Characters>
  <Application>Microsoft Office Word</Application>
  <DocSecurity>0</DocSecurity>
  <Lines>11</Lines>
  <Paragraphs>3</Paragraphs>
  <ScaleCrop>false</ScaleCrop>
  <Company>Microsoft</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卢本坤</dc:creator>
  <cp:lastModifiedBy>卢本坤</cp:lastModifiedBy>
  <cp:revision>2</cp:revision>
  <cp:lastPrinted>2025-05-14T09:36:00Z</cp:lastPrinted>
  <dcterms:created xsi:type="dcterms:W3CDTF">2025-05-21T02:31:00Z</dcterms:created>
  <dcterms:modified xsi:type="dcterms:W3CDTF">2025-05-21T02:31:00Z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B71B334BEB584E4D9FF72009F54A4C77_12</vt:lpwstr>
  </property>
</Properties>
</file>