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38443">
      <w:pPr>
        <w:pStyle w:val="15"/>
        <w:spacing w:line="440" w:lineRule="exact"/>
        <w:jc w:val="center"/>
        <w:rPr>
          <w:rStyle w:val="13"/>
          <w:rFonts w:hint="eastAsia" w:ascii="宋体" w:hAnsi="宋体" w:eastAsia="宋体" w:cs="宋体"/>
          <w:b/>
          <w:bCs/>
          <w:color w:val="auto"/>
          <w:sz w:val="28"/>
          <w:szCs w:val="28"/>
          <w:highlight w:val="none"/>
          <w:lang w:val="en-US" w:eastAsia="zh-CN"/>
        </w:rPr>
      </w:pPr>
      <w:r>
        <w:rPr>
          <w:rStyle w:val="13"/>
          <w:rFonts w:hint="eastAsia" w:ascii="宋体" w:hAnsi="宋体" w:eastAsia="宋体" w:cs="宋体"/>
          <w:b/>
          <w:bCs/>
          <w:color w:val="auto"/>
          <w:sz w:val="28"/>
          <w:szCs w:val="28"/>
          <w:highlight w:val="none"/>
          <w:lang w:val="en-US" w:eastAsia="zh-CN"/>
        </w:rPr>
        <w:t>许广高速茶亭互通至长沙绕城高速公路项目</w:t>
      </w:r>
    </w:p>
    <w:p w14:paraId="714AA2B2">
      <w:pPr>
        <w:pStyle w:val="15"/>
        <w:spacing w:line="440" w:lineRule="exact"/>
        <w:jc w:val="center"/>
        <w:rPr>
          <w:rStyle w:val="13"/>
          <w:rFonts w:hint="eastAsia" w:ascii="宋体" w:hAnsi="宋体" w:eastAsia="宋体" w:cs="宋体"/>
          <w:b/>
          <w:bCs/>
          <w:color w:val="auto"/>
          <w:sz w:val="28"/>
          <w:szCs w:val="28"/>
          <w:highlight w:val="none"/>
          <w:lang w:val="en-US" w:eastAsia="zh-CN"/>
        </w:rPr>
      </w:pPr>
      <w:r>
        <w:rPr>
          <w:rStyle w:val="13"/>
          <w:rFonts w:hint="eastAsia" w:ascii="宋体" w:hAnsi="宋体" w:eastAsia="宋体" w:cs="宋体"/>
          <w:color w:val="auto"/>
          <w:sz w:val="31"/>
          <w:szCs w:val="31"/>
          <w:highlight w:val="none"/>
          <w:u w:val="none"/>
          <w:lang w:val="en-US" w:eastAsia="zh-CN"/>
        </w:rPr>
        <w:t>CRJL2</w:t>
      </w:r>
      <w:r>
        <w:rPr>
          <w:rStyle w:val="13"/>
          <w:rFonts w:hint="eastAsia" w:ascii="宋体" w:hAnsi="宋体" w:eastAsia="宋体" w:cs="宋体"/>
          <w:b/>
          <w:bCs/>
          <w:color w:val="auto"/>
          <w:sz w:val="28"/>
          <w:szCs w:val="28"/>
          <w:highlight w:val="none"/>
        </w:rPr>
        <w:t>标段</w:t>
      </w:r>
      <w:r>
        <w:rPr>
          <w:rStyle w:val="13"/>
          <w:rFonts w:hint="eastAsia" w:ascii="宋体" w:hAnsi="宋体" w:eastAsia="宋体" w:cs="宋体"/>
          <w:b/>
          <w:bCs/>
          <w:color w:val="auto"/>
          <w:sz w:val="28"/>
          <w:szCs w:val="28"/>
          <w:highlight w:val="none"/>
          <w:lang w:val="en-US" w:eastAsia="zh-CN"/>
        </w:rPr>
        <w:t>施工监理</w:t>
      </w:r>
    </w:p>
    <w:p w14:paraId="3EE701EE">
      <w:pPr>
        <w:pStyle w:val="15"/>
        <w:spacing w:line="440" w:lineRule="exact"/>
        <w:jc w:val="center"/>
        <w:rPr>
          <w:rStyle w:val="13"/>
          <w:rFonts w:hint="eastAsia" w:ascii="宋体" w:hAnsi="宋体" w:eastAsia="宋体" w:cs="宋体"/>
          <w:b/>
          <w:bCs/>
          <w:color w:val="auto"/>
          <w:sz w:val="28"/>
          <w:szCs w:val="28"/>
          <w:highlight w:val="none"/>
        </w:rPr>
      </w:pPr>
      <w:r>
        <w:rPr>
          <w:rStyle w:val="13"/>
          <w:rFonts w:hint="eastAsia" w:ascii="宋体" w:hAnsi="宋体" w:eastAsia="宋体" w:cs="宋体"/>
          <w:b/>
          <w:bCs/>
          <w:color w:val="auto"/>
          <w:sz w:val="28"/>
          <w:szCs w:val="28"/>
          <w:highlight w:val="none"/>
        </w:rPr>
        <w:t>招标公告</w:t>
      </w:r>
      <w:bookmarkStart w:id="161" w:name="_GoBack"/>
      <w:bookmarkEnd w:id="161"/>
    </w:p>
    <w:p w14:paraId="6F254A72">
      <w:pPr>
        <w:pStyle w:val="15"/>
        <w:spacing w:line="440" w:lineRule="exact"/>
        <w:outlineLvl w:val="1"/>
        <w:rPr>
          <w:rStyle w:val="13"/>
          <w:rFonts w:hint="eastAsia" w:ascii="宋体" w:hAnsi="宋体" w:eastAsia="宋体" w:cs="宋体"/>
          <w:b/>
          <w:bCs/>
          <w:color w:val="auto"/>
          <w:sz w:val="24"/>
          <w:szCs w:val="24"/>
          <w:highlight w:val="none"/>
          <w:lang w:val="zh-CN"/>
        </w:rPr>
      </w:pPr>
      <w:bookmarkStart w:id="0" w:name="_Toc256000002"/>
      <w:bookmarkStart w:id="1" w:name="_Toc256000003"/>
      <w:bookmarkStart w:id="2" w:name="_Toc18225"/>
      <w:bookmarkStart w:id="3" w:name="_Toc256000016"/>
      <w:bookmarkStart w:id="4" w:name="_Toc503235714"/>
      <w:bookmarkStart w:id="5" w:name="_Toc510015649"/>
      <w:r>
        <w:rPr>
          <w:rStyle w:val="13"/>
          <w:rFonts w:hint="eastAsia" w:ascii="宋体" w:hAnsi="宋体" w:eastAsia="宋体" w:cs="宋体"/>
          <w:b/>
          <w:bCs/>
          <w:color w:val="auto"/>
          <w:sz w:val="24"/>
          <w:szCs w:val="24"/>
          <w:highlight w:val="none"/>
          <w:lang w:val="zh-CN"/>
        </w:rPr>
        <w:t>1.招标条件</w:t>
      </w:r>
      <w:bookmarkEnd w:id="0"/>
      <w:bookmarkEnd w:id="1"/>
      <w:bookmarkEnd w:id="2"/>
      <w:bookmarkEnd w:id="3"/>
      <w:bookmarkEnd w:id="4"/>
      <w:bookmarkEnd w:id="5"/>
    </w:p>
    <w:p w14:paraId="52E57F1A">
      <w:pPr>
        <w:pStyle w:val="15"/>
        <w:spacing w:line="440" w:lineRule="exact"/>
        <w:ind w:firstLine="420" w:firstLineChars="200"/>
        <w:rPr>
          <w:rStyle w:val="13"/>
          <w:rFonts w:hint="eastAsia" w:ascii="宋体" w:hAnsi="宋体" w:eastAsia="宋体" w:cs="宋体"/>
          <w:color w:val="auto"/>
          <w:sz w:val="24"/>
          <w:szCs w:val="24"/>
          <w:highlight w:val="none"/>
        </w:rPr>
      </w:pPr>
      <w:r>
        <w:rPr>
          <w:rStyle w:val="13"/>
          <w:rFonts w:hint="eastAsia" w:ascii="宋体" w:hAnsi="宋体" w:eastAsia="宋体" w:cs="宋体"/>
          <w:color w:val="auto"/>
          <w:szCs w:val="24"/>
          <w:highlight w:val="none"/>
        </w:rPr>
        <w:t>本招标项目</w:t>
      </w:r>
      <w:r>
        <w:rPr>
          <w:rStyle w:val="13"/>
          <w:rFonts w:hint="eastAsia" w:ascii="宋体" w:hAnsi="宋体" w:eastAsia="宋体" w:cs="宋体"/>
          <w:color w:val="auto"/>
          <w:szCs w:val="24"/>
          <w:highlight w:val="none"/>
          <w:u w:val="single"/>
        </w:rPr>
        <w:t>许广高速茶亭互通至长沙绕城高速公路项目（以下统称“本项目”）</w:t>
      </w:r>
      <w:r>
        <w:rPr>
          <w:rStyle w:val="13"/>
          <w:rFonts w:hint="eastAsia" w:ascii="宋体" w:hAnsi="宋体" w:eastAsia="宋体" w:cs="宋体"/>
          <w:color w:val="auto"/>
          <w:szCs w:val="24"/>
          <w:highlight w:val="none"/>
        </w:rPr>
        <w:t>已由</w:t>
      </w:r>
      <w:r>
        <w:rPr>
          <w:rStyle w:val="13"/>
          <w:rFonts w:hint="eastAsia" w:ascii="宋体" w:hAnsi="宋体" w:eastAsia="宋体" w:cs="宋体"/>
          <w:color w:val="auto"/>
          <w:szCs w:val="24"/>
          <w:highlight w:val="none"/>
          <w:u w:val="single"/>
        </w:rPr>
        <w:t>湖南省发展和改革委员会</w:t>
      </w:r>
      <w:r>
        <w:rPr>
          <w:rStyle w:val="13"/>
          <w:rFonts w:hint="eastAsia" w:ascii="宋体" w:hAnsi="宋体" w:eastAsia="宋体" w:cs="宋体"/>
          <w:color w:val="auto"/>
          <w:szCs w:val="24"/>
          <w:highlight w:val="none"/>
        </w:rPr>
        <w:t>以</w:t>
      </w:r>
      <w:r>
        <w:rPr>
          <w:rStyle w:val="13"/>
          <w:rFonts w:hint="eastAsia" w:ascii="宋体" w:hAnsi="宋体" w:eastAsia="宋体" w:cs="宋体"/>
          <w:color w:val="auto"/>
          <w:szCs w:val="24"/>
          <w:highlight w:val="none"/>
          <w:u w:val="single"/>
          <w:lang w:val="en-US" w:eastAsia="zh-CN"/>
        </w:rPr>
        <w:t>湘发改基础【2023】807号文</w:t>
      </w:r>
      <w:r>
        <w:rPr>
          <w:rStyle w:val="13"/>
          <w:rFonts w:hint="eastAsia" w:ascii="宋体" w:hAnsi="宋体" w:eastAsia="宋体" w:cs="宋体"/>
          <w:color w:val="auto"/>
          <w:szCs w:val="24"/>
          <w:highlight w:val="none"/>
        </w:rPr>
        <w:t>批准建设，初步设计已由</w:t>
      </w:r>
      <w:r>
        <w:rPr>
          <w:rStyle w:val="13"/>
          <w:rFonts w:hint="eastAsia" w:ascii="宋体" w:hAnsi="宋体" w:eastAsia="宋体" w:cs="宋体"/>
          <w:color w:val="auto"/>
          <w:szCs w:val="24"/>
          <w:highlight w:val="none"/>
          <w:u w:val="single"/>
        </w:rPr>
        <w:t xml:space="preserve">湖南省交通运输厅 </w:t>
      </w:r>
      <w:r>
        <w:rPr>
          <w:rStyle w:val="13"/>
          <w:rFonts w:hint="eastAsia" w:ascii="宋体" w:hAnsi="宋体" w:eastAsia="宋体" w:cs="宋体"/>
          <w:color w:val="auto"/>
          <w:szCs w:val="24"/>
          <w:highlight w:val="none"/>
        </w:rPr>
        <w:t>以</w:t>
      </w:r>
      <w:r>
        <w:rPr>
          <w:rStyle w:val="13"/>
          <w:rFonts w:hint="eastAsia" w:ascii="宋体" w:hAnsi="宋体" w:eastAsia="宋体" w:cs="宋体"/>
          <w:color w:val="auto"/>
          <w:szCs w:val="24"/>
          <w:highlight w:val="none"/>
          <w:u w:val="single"/>
          <w:lang w:val="en-US" w:eastAsia="zh-CN"/>
        </w:rPr>
        <w:t>湘交批【2023】177号文</w:t>
      </w:r>
      <w:r>
        <w:rPr>
          <w:rStyle w:val="13"/>
          <w:rFonts w:hint="eastAsia" w:ascii="宋体" w:hAnsi="宋体" w:eastAsia="宋体" w:cs="宋体"/>
          <w:color w:val="auto"/>
          <w:szCs w:val="24"/>
          <w:highlight w:val="none"/>
        </w:rPr>
        <w:t>批准，项目业主为</w:t>
      </w:r>
      <w:r>
        <w:rPr>
          <w:rStyle w:val="13"/>
          <w:rFonts w:hint="eastAsia" w:ascii="宋体" w:hAnsi="宋体" w:eastAsia="宋体" w:cs="宋体"/>
          <w:color w:val="auto"/>
          <w:szCs w:val="24"/>
          <w:highlight w:val="none"/>
          <w:u w:val="single"/>
        </w:rPr>
        <w:t>湖南省茶江高速公路建设开发有限公司</w:t>
      </w:r>
      <w:r>
        <w:rPr>
          <w:rStyle w:val="13"/>
          <w:rFonts w:hint="eastAsia" w:ascii="宋体" w:hAnsi="宋体" w:eastAsia="宋体" w:cs="宋体"/>
          <w:color w:val="auto"/>
          <w:szCs w:val="24"/>
          <w:highlight w:val="none"/>
        </w:rPr>
        <w:t>，建设资金来自</w:t>
      </w:r>
      <w:r>
        <w:rPr>
          <w:rStyle w:val="13"/>
          <w:rFonts w:hint="eastAsia" w:ascii="宋体" w:hAnsi="宋体" w:eastAsia="宋体" w:cs="宋体"/>
          <w:color w:val="auto"/>
          <w:szCs w:val="24"/>
          <w:highlight w:val="none"/>
          <w:u w:val="single"/>
        </w:rPr>
        <w:t>企业自筹和银行贷款</w:t>
      </w:r>
      <w:r>
        <w:rPr>
          <w:rStyle w:val="13"/>
          <w:rFonts w:hint="eastAsia" w:ascii="宋体" w:hAnsi="宋体" w:eastAsia="宋体" w:cs="宋体"/>
          <w:color w:val="auto"/>
          <w:szCs w:val="24"/>
          <w:highlight w:val="none"/>
        </w:rPr>
        <w:t>，出资比例为</w:t>
      </w:r>
      <w:r>
        <w:rPr>
          <w:rStyle w:val="13"/>
          <w:rFonts w:hint="eastAsia" w:ascii="宋体" w:hAnsi="宋体" w:eastAsia="宋体" w:cs="宋体"/>
          <w:color w:val="auto"/>
          <w:szCs w:val="24"/>
          <w:highlight w:val="none"/>
          <w:u w:val="single"/>
        </w:rPr>
        <w:t>企业自筹20%、银行贷款80%</w:t>
      </w:r>
      <w:r>
        <w:rPr>
          <w:rStyle w:val="13"/>
          <w:rFonts w:hint="eastAsia" w:ascii="宋体" w:hAnsi="宋体" w:eastAsia="宋体" w:cs="宋体"/>
          <w:color w:val="auto"/>
          <w:szCs w:val="24"/>
          <w:highlight w:val="none"/>
        </w:rPr>
        <w:t>，招标人为</w:t>
      </w:r>
      <w:r>
        <w:rPr>
          <w:rStyle w:val="13"/>
          <w:rFonts w:hint="eastAsia" w:ascii="宋体" w:hAnsi="宋体" w:eastAsia="宋体" w:cs="宋体"/>
          <w:color w:val="auto"/>
          <w:szCs w:val="24"/>
          <w:highlight w:val="none"/>
          <w:u w:val="single"/>
        </w:rPr>
        <w:t>湖南省茶江高速公路建设开发有限公司</w:t>
      </w:r>
      <w:r>
        <w:rPr>
          <w:rStyle w:val="13"/>
          <w:rFonts w:hint="eastAsia" w:ascii="宋体" w:hAnsi="宋体" w:eastAsia="宋体" w:cs="宋体"/>
          <w:color w:val="auto"/>
          <w:szCs w:val="24"/>
          <w:highlight w:val="none"/>
        </w:rPr>
        <w:t>。项目已具备招标条件，现对该项目的</w:t>
      </w:r>
      <w:r>
        <w:rPr>
          <w:rStyle w:val="13"/>
          <w:rFonts w:hint="eastAsia" w:ascii="宋体" w:hAnsi="宋体" w:eastAsia="宋体" w:cs="宋体"/>
          <w:color w:val="auto"/>
          <w:szCs w:val="24"/>
          <w:highlight w:val="none"/>
          <w:u w:val="single"/>
        </w:rPr>
        <w:t>施工监理CRJL2</w:t>
      </w:r>
      <w:r>
        <w:rPr>
          <w:rStyle w:val="13"/>
          <w:rFonts w:hint="eastAsia" w:ascii="宋体" w:hAnsi="宋体" w:eastAsia="宋体" w:cs="宋体"/>
          <w:color w:val="auto"/>
          <w:szCs w:val="24"/>
          <w:highlight w:val="none"/>
          <w:u w:val="single"/>
          <w:lang w:val="en-US" w:eastAsia="zh-CN"/>
        </w:rPr>
        <w:t>标段</w:t>
      </w:r>
      <w:r>
        <w:rPr>
          <w:rStyle w:val="13"/>
          <w:rFonts w:hint="eastAsia" w:ascii="宋体" w:hAnsi="宋体" w:eastAsia="宋体" w:cs="宋体"/>
          <w:color w:val="auto"/>
          <w:szCs w:val="24"/>
          <w:highlight w:val="none"/>
        </w:rPr>
        <w:t>进行公开招标。</w:t>
      </w:r>
      <w:r>
        <w:rPr>
          <w:rStyle w:val="13"/>
          <w:rFonts w:hint="eastAsia" w:ascii="宋体" w:hAnsi="宋体" w:eastAsia="宋体" w:cs="宋体"/>
          <w:color w:val="auto"/>
          <w:sz w:val="24"/>
          <w:szCs w:val="24"/>
          <w:highlight w:val="none"/>
        </w:rPr>
        <w:t xml:space="preserve"> </w:t>
      </w:r>
    </w:p>
    <w:p w14:paraId="5EB83CA9">
      <w:pPr>
        <w:pStyle w:val="15"/>
        <w:spacing w:line="440" w:lineRule="exact"/>
        <w:outlineLvl w:val="1"/>
        <w:rPr>
          <w:rStyle w:val="13"/>
          <w:rFonts w:hint="eastAsia" w:ascii="宋体" w:hAnsi="宋体" w:eastAsia="宋体" w:cs="宋体"/>
          <w:b/>
          <w:bCs/>
          <w:color w:val="auto"/>
          <w:sz w:val="24"/>
          <w:szCs w:val="24"/>
          <w:highlight w:val="none"/>
          <w:lang w:val="zh-CN"/>
        </w:rPr>
      </w:pPr>
      <w:bookmarkStart w:id="6" w:name="_Toc503235715"/>
      <w:bookmarkStart w:id="7" w:name="_Toc20546"/>
      <w:bookmarkStart w:id="8" w:name="_Toc510015650"/>
      <w:bookmarkStart w:id="9" w:name="_Toc256000013"/>
      <w:bookmarkStart w:id="10" w:name="_Toc256000017"/>
      <w:bookmarkStart w:id="11" w:name="_Toc256000004"/>
      <w:r>
        <w:rPr>
          <w:rStyle w:val="13"/>
          <w:rFonts w:hint="eastAsia" w:ascii="宋体" w:hAnsi="宋体" w:eastAsia="宋体" w:cs="宋体"/>
          <w:b/>
          <w:bCs/>
          <w:color w:val="auto"/>
          <w:sz w:val="24"/>
          <w:szCs w:val="24"/>
          <w:highlight w:val="none"/>
          <w:lang w:val="zh-CN"/>
        </w:rPr>
        <w:t>2.项目概况与招标范围</w:t>
      </w:r>
      <w:bookmarkEnd w:id="6"/>
      <w:bookmarkEnd w:id="7"/>
      <w:bookmarkEnd w:id="8"/>
      <w:bookmarkEnd w:id="9"/>
      <w:bookmarkEnd w:id="10"/>
      <w:bookmarkEnd w:id="11"/>
    </w:p>
    <w:p w14:paraId="2592CFD1">
      <w:pPr>
        <w:pStyle w:val="15"/>
        <w:widowControl/>
        <w:spacing w:line="440" w:lineRule="exact"/>
        <w:ind w:firstLine="422" w:firstLineChars="200"/>
        <w:rPr>
          <w:rStyle w:val="13"/>
          <w:rFonts w:hint="eastAsia" w:ascii="宋体" w:hAnsi="宋体" w:eastAsia="宋体" w:cs="宋体"/>
          <w:bCs/>
          <w:color w:val="auto"/>
          <w:szCs w:val="21"/>
          <w:highlight w:val="none"/>
        </w:rPr>
      </w:pPr>
      <w:r>
        <w:rPr>
          <w:rStyle w:val="13"/>
          <w:rFonts w:hint="eastAsia" w:ascii="宋体" w:hAnsi="宋体" w:eastAsia="宋体" w:cs="宋体"/>
          <w:b/>
          <w:color w:val="auto"/>
          <w:szCs w:val="21"/>
          <w:highlight w:val="none"/>
        </w:rPr>
        <w:t>2.1建设地点：</w:t>
      </w:r>
      <w:r>
        <w:rPr>
          <w:rStyle w:val="13"/>
          <w:rFonts w:hint="eastAsia" w:ascii="宋体" w:hAnsi="宋体" w:eastAsia="宋体" w:cs="宋体"/>
          <w:bCs/>
          <w:color w:val="auto"/>
          <w:szCs w:val="21"/>
          <w:highlight w:val="none"/>
        </w:rPr>
        <w:t>湖南省长沙市境内。</w:t>
      </w:r>
    </w:p>
    <w:p w14:paraId="11F5B83D">
      <w:pPr>
        <w:pStyle w:val="15"/>
        <w:widowControl/>
        <w:spacing w:line="440" w:lineRule="exact"/>
        <w:ind w:firstLine="422" w:firstLineChars="200"/>
        <w:rPr>
          <w:rStyle w:val="13"/>
          <w:rFonts w:hint="eastAsia" w:ascii="宋体" w:hAnsi="宋体" w:eastAsia="宋体" w:cs="宋体"/>
          <w:bCs/>
          <w:color w:val="auto"/>
          <w:szCs w:val="21"/>
          <w:highlight w:val="none"/>
        </w:rPr>
      </w:pPr>
      <w:r>
        <w:rPr>
          <w:rStyle w:val="13"/>
          <w:rFonts w:hint="eastAsia" w:ascii="宋体" w:hAnsi="宋体" w:eastAsia="宋体" w:cs="宋体"/>
          <w:b/>
          <w:color w:val="auto"/>
          <w:szCs w:val="21"/>
          <w:highlight w:val="none"/>
        </w:rPr>
        <w:t>2.2项目概况</w:t>
      </w:r>
      <w:r>
        <w:rPr>
          <w:rStyle w:val="13"/>
          <w:rFonts w:hint="eastAsia" w:ascii="宋体" w:hAnsi="宋体" w:eastAsia="宋体" w:cs="宋体"/>
          <w:b/>
          <w:color w:val="auto"/>
          <w:szCs w:val="21"/>
          <w:highlight w:val="none"/>
          <w:lang w:eastAsia="zh-CN"/>
        </w:rPr>
        <w:t>：</w:t>
      </w:r>
    </w:p>
    <w:p w14:paraId="649D5436">
      <w:pPr>
        <w:pStyle w:val="15"/>
        <w:spacing w:line="440" w:lineRule="exact"/>
        <w:ind w:firstLine="420" w:firstLineChars="200"/>
        <w:rPr>
          <w:rStyle w:val="13"/>
          <w:rFonts w:hint="eastAsia" w:ascii="宋体" w:hAnsi="宋体" w:eastAsia="宋体" w:cs="宋体"/>
          <w:b/>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湖南省许广高速茶亭互通至长沙绕城高速公路，主线起于许广高速（岳望段）茶亭互通，经过桥驿镇，在长湖州南部上跨沙河及京广铁路，经新源社区、天胜社区、群力社区后沿现有中青路设高架桥，止于捞刀河枢纽互通，与长沙绕城高速相接，全长约23.3公里。全线共设置茶亭（枢纽）、桥驿、青竹湖、捞刀河（枢纽）共4处互通式立交，另设置桥驿连接约2.2公里，同步建设必要的交通工程和沿线设施。项目主线采用双向六车道高速公路标准建设，设计速度采用120公里/小时，路基宽度34米，桥涵设计汽车荷载等级采用公路-Ⅰ级，桥驿连接线采用二级公路标准建设，设计速度采用60公里/小时，路基宽度12米（跨京广铁路桥宽17米）。</w:t>
      </w:r>
    </w:p>
    <w:p w14:paraId="47E43E96">
      <w:pPr>
        <w:pStyle w:val="15"/>
        <w:spacing w:line="440" w:lineRule="exact"/>
        <w:ind w:firstLine="422" w:firstLineChars="200"/>
        <w:rPr>
          <w:rStyle w:val="13"/>
          <w:rFonts w:hint="eastAsia" w:ascii="宋体" w:hAnsi="宋体" w:eastAsia="宋体" w:cs="宋体"/>
          <w:b/>
          <w:color w:val="auto"/>
          <w:szCs w:val="21"/>
          <w:highlight w:val="none"/>
        </w:rPr>
      </w:pPr>
      <w:r>
        <w:rPr>
          <w:rStyle w:val="13"/>
          <w:rFonts w:hint="eastAsia" w:ascii="宋体" w:hAnsi="宋体" w:eastAsia="宋体" w:cs="宋体"/>
          <w:b/>
          <w:color w:val="auto"/>
          <w:szCs w:val="21"/>
          <w:highlight w:val="none"/>
        </w:rPr>
        <w:t>2.3标段划分</w:t>
      </w:r>
      <w:r>
        <w:rPr>
          <w:rStyle w:val="13"/>
          <w:rFonts w:hint="eastAsia" w:ascii="宋体" w:hAnsi="宋体" w:eastAsia="宋体" w:cs="宋体"/>
          <w:b/>
          <w:color w:val="auto"/>
          <w:szCs w:val="21"/>
          <w:highlight w:val="none"/>
          <w:lang w:val="en-US" w:eastAsia="zh-CN"/>
        </w:rPr>
        <w:t>及招标范围</w:t>
      </w:r>
      <w:r>
        <w:rPr>
          <w:rStyle w:val="13"/>
          <w:rFonts w:hint="eastAsia" w:ascii="宋体" w:hAnsi="宋体" w:eastAsia="宋体" w:cs="宋体"/>
          <w:b/>
          <w:color w:val="auto"/>
          <w:szCs w:val="21"/>
          <w:highlight w:val="none"/>
        </w:rPr>
        <w:t>：本项目施工监理机构为总监理工程师办公室，本招标</w:t>
      </w:r>
      <w:r>
        <w:rPr>
          <w:rStyle w:val="13"/>
          <w:rFonts w:hint="eastAsia" w:ascii="宋体" w:hAnsi="宋体" w:eastAsia="宋体" w:cs="宋体"/>
          <w:b/>
          <w:color w:val="auto"/>
          <w:szCs w:val="21"/>
          <w:highlight w:val="none"/>
          <w:lang w:val="en-US" w:eastAsia="zh-CN"/>
        </w:rPr>
        <w:t>项目</w:t>
      </w:r>
      <w:r>
        <w:rPr>
          <w:rStyle w:val="13"/>
          <w:rFonts w:hint="eastAsia" w:ascii="宋体" w:hAnsi="宋体" w:eastAsia="宋体" w:cs="宋体"/>
          <w:b/>
          <w:color w:val="auto"/>
          <w:szCs w:val="21"/>
          <w:highlight w:val="none"/>
        </w:rPr>
        <w:t>共分为</w:t>
      </w:r>
      <w:r>
        <w:rPr>
          <w:rStyle w:val="13"/>
          <w:rFonts w:hint="eastAsia" w:ascii="宋体" w:hAnsi="宋体" w:eastAsia="宋体" w:cs="宋体"/>
          <w:b/>
          <w:color w:val="auto"/>
          <w:szCs w:val="21"/>
          <w:highlight w:val="none"/>
          <w:u w:val="single"/>
          <w:lang w:val="en-US" w:eastAsia="zh-CN"/>
        </w:rPr>
        <w:t>2</w:t>
      </w:r>
      <w:r>
        <w:rPr>
          <w:rStyle w:val="13"/>
          <w:rFonts w:hint="eastAsia" w:ascii="宋体" w:hAnsi="宋体" w:eastAsia="宋体" w:cs="宋体"/>
          <w:b/>
          <w:color w:val="auto"/>
          <w:szCs w:val="21"/>
          <w:highlight w:val="none"/>
        </w:rPr>
        <w:t>个标段。其标段划分及</w:t>
      </w:r>
      <w:r>
        <w:rPr>
          <w:rStyle w:val="13"/>
          <w:rFonts w:hint="eastAsia" w:ascii="宋体" w:hAnsi="宋体" w:eastAsia="宋体" w:cs="宋体"/>
          <w:b/>
          <w:color w:val="auto"/>
          <w:szCs w:val="21"/>
          <w:highlight w:val="none"/>
          <w:lang w:val="en-US" w:eastAsia="zh-CN"/>
        </w:rPr>
        <w:t>招标范围</w:t>
      </w:r>
      <w:r>
        <w:rPr>
          <w:rStyle w:val="13"/>
          <w:rFonts w:hint="eastAsia" w:ascii="宋体" w:hAnsi="宋体" w:eastAsia="宋体" w:cs="宋体"/>
          <w:b/>
          <w:color w:val="auto"/>
          <w:szCs w:val="21"/>
          <w:highlight w:val="none"/>
        </w:rPr>
        <w:t>见下表：</w:t>
      </w:r>
    </w:p>
    <w:tbl>
      <w:tblPr>
        <w:tblStyle w:val="16"/>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592"/>
        <w:gridCol w:w="1284"/>
        <w:gridCol w:w="4200"/>
        <w:gridCol w:w="637"/>
      </w:tblGrid>
      <w:tr w14:paraId="4EF2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866" w:type="dxa"/>
            <w:noWrap w:val="0"/>
            <w:vAlign w:val="center"/>
          </w:tcPr>
          <w:p w14:paraId="2743D5FC">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rPr>
              <w:t>标段号</w:t>
            </w:r>
          </w:p>
        </w:tc>
        <w:tc>
          <w:tcPr>
            <w:tcW w:w="1592" w:type="dxa"/>
            <w:noWrap w:val="0"/>
            <w:vAlign w:val="center"/>
          </w:tcPr>
          <w:p w14:paraId="23C72A4B">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lang w:val="en-US" w:eastAsia="zh-CN"/>
              </w:rPr>
              <w:t>起讫</w:t>
            </w:r>
            <w:r>
              <w:rPr>
                <w:rStyle w:val="13"/>
                <w:rFonts w:hint="eastAsia" w:ascii="宋体" w:hAnsi="宋体" w:eastAsia="宋体" w:cs="宋体"/>
                <w:b/>
                <w:bCs/>
                <w:color w:val="auto"/>
                <w:kern w:val="0"/>
                <w:sz w:val="20"/>
                <w:szCs w:val="20"/>
                <w:highlight w:val="none"/>
                <w:shd w:val="clear" w:color="auto" w:fill="FFFFFF"/>
              </w:rPr>
              <w:t>桩号</w:t>
            </w:r>
          </w:p>
        </w:tc>
        <w:tc>
          <w:tcPr>
            <w:tcW w:w="1284" w:type="dxa"/>
            <w:noWrap w:val="0"/>
            <w:vAlign w:val="center"/>
          </w:tcPr>
          <w:p w14:paraId="644A2A34">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rPr>
              <w:t>长度</w:t>
            </w:r>
            <w:r>
              <w:rPr>
                <w:rStyle w:val="13"/>
                <w:rFonts w:hint="eastAsia" w:ascii="宋体" w:hAnsi="宋体" w:eastAsia="宋体" w:cs="宋体"/>
                <w:b/>
                <w:bCs/>
                <w:color w:val="auto"/>
                <w:kern w:val="0"/>
                <w:sz w:val="20"/>
                <w:szCs w:val="20"/>
                <w:highlight w:val="none"/>
              </w:rPr>
              <w:t>（Km）</w:t>
            </w:r>
          </w:p>
        </w:tc>
        <w:tc>
          <w:tcPr>
            <w:tcW w:w="4200" w:type="dxa"/>
            <w:noWrap w:val="0"/>
            <w:vAlign w:val="center"/>
          </w:tcPr>
          <w:p w14:paraId="3859584B">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lang w:val="en-US" w:eastAsia="zh-CN"/>
              </w:rPr>
              <w:t>招标</w:t>
            </w:r>
            <w:r>
              <w:rPr>
                <w:rStyle w:val="13"/>
                <w:rFonts w:hint="eastAsia" w:ascii="宋体" w:hAnsi="宋体" w:eastAsia="宋体" w:cs="宋体"/>
                <w:b/>
                <w:bCs/>
                <w:color w:val="auto"/>
                <w:kern w:val="0"/>
                <w:sz w:val="20"/>
                <w:szCs w:val="20"/>
                <w:highlight w:val="none"/>
                <w:shd w:val="clear" w:color="auto" w:fill="FFFFFF"/>
              </w:rPr>
              <w:t>范围</w:t>
            </w:r>
          </w:p>
        </w:tc>
        <w:tc>
          <w:tcPr>
            <w:tcW w:w="637" w:type="dxa"/>
            <w:noWrap w:val="0"/>
            <w:vAlign w:val="center"/>
          </w:tcPr>
          <w:p w14:paraId="01EC7A3E">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rPr>
              <w:t>备注</w:t>
            </w:r>
          </w:p>
        </w:tc>
      </w:tr>
      <w:tr w14:paraId="5FFC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noWrap w:val="0"/>
            <w:vAlign w:val="center"/>
          </w:tcPr>
          <w:p w14:paraId="794AB8E3">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eastAsia="zh-CN"/>
              </w:rPr>
            </w:pPr>
            <w:r>
              <w:rPr>
                <w:rStyle w:val="13"/>
                <w:rFonts w:hint="eastAsia" w:ascii="宋体" w:hAnsi="宋体" w:eastAsia="宋体" w:cs="宋体"/>
                <w:color w:val="auto"/>
                <w:kern w:val="0"/>
                <w:sz w:val="20"/>
                <w:szCs w:val="20"/>
                <w:highlight w:val="none"/>
                <w:shd w:val="clear" w:color="auto" w:fill="FFFFFF"/>
                <w:lang w:val="en-US" w:eastAsia="zh-CN"/>
              </w:rPr>
              <w:t>CRJL1</w:t>
            </w:r>
          </w:p>
        </w:tc>
        <w:tc>
          <w:tcPr>
            <w:tcW w:w="1592" w:type="dxa"/>
            <w:noWrap w:val="0"/>
            <w:vAlign w:val="center"/>
          </w:tcPr>
          <w:p w14:paraId="2C25C976">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K0+000-K</w:t>
            </w:r>
            <w:r>
              <w:rPr>
                <w:rStyle w:val="13"/>
                <w:rFonts w:hint="eastAsia" w:ascii="宋体" w:hAnsi="宋体" w:eastAsia="宋体" w:cs="宋体"/>
                <w:color w:val="auto"/>
                <w:kern w:val="0"/>
                <w:sz w:val="20"/>
                <w:szCs w:val="20"/>
                <w:highlight w:val="none"/>
                <w:lang w:val="en-US" w:eastAsia="zh-CN"/>
              </w:rPr>
              <w:t>15</w:t>
            </w: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600及连接线（土建工程）</w:t>
            </w:r>
          </w:p>
          <w:p w14:paraId="61772FBB">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K0+000-K</w:t>
            </w:r>
            <w:r>
              <w:rPr>
                <w:rStyle w:val="13"/>
                <w:rFonts w:hint="eastAsia" w:ascii="宋体" w:hAnsi="宋体" w:eastAsia="宋体" w:cs="宋体"/>
                <w:color w:val="auto"/>
                <w:kern w:val="0"/>
                <w:sz w:val="20"/>
                <w:szCs w:val="20"/>
                <w:highlight w:val="none"/>
                <w:lang w:val="en-US" w:eastAsia="zh-CN"/>
              </w:rPr>
              <w:t>23+163及连接线（路面、交安工程）</w:t>
            </w:r>
          </w:p>
          <w:p w14:paraId="5AA322B1">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K0+000-K</w:t>
            </w:r>
            <w:r>
              <w:rPr>
                <w:rStyle w:val="13"/>
                <w:rFonts w:hint="eastAsia" w:ascii="宋体" w:hAnsi="宋体" w:eastAsia="宋体" w:cs="宋体"/>
                <w:color w:val="auto"/>
                <w:kern w:val="0"/>
                <w:sz w:val="20"/>
                <w:szCs w:val="20"/>
                <w:highlight w:val="none"/>
                <w:lang w:val="en-US" w:eastAsia="zh-CN"/>
              </w:rPr>
              <w:t>23+163（房建工程）</w:t>
            </w:r>
          </w:p>
          <w:p w14:paraId="453E042A">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rPr>
            </w:pPr>
          </w:p>
        </w:tc>
        <w:tc>
          <w:tcPr>
            <w:tcW w:w="1284" w:type="dxa"/>
            <w:noWrap w:val="0"/>
            <w:vAlign w:val="center"/>
          </w:tcPr>
          <w:p w14:paraId="5816F4D7">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15.6    （土建）</w:t>
            </w:r>
          </w:p>
          <w:p w14:paraId="55A49E40">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23.185   （路面、交安）</w:t>
            </w:r>
          </w:p>
          <w:p w14:paraId="63CB20BD">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rPr>
            </w:pPr>
            <w:r>
              <w:rPr>
                <w:rStyle w:val="13"/>
                <w:rFonts w:hint="eastAsia" w:ascii="宋体" w:hAnsi="宋体" w:eastAsia="宋体" w:cs="宋体"/>
                <w:color w:val="auto"/>
                <w:kern w:val="0"/>
                <w:sz w:val="20"/>
                <w:szCs w:val="20"/>
                <w:highlight w:val="none"/>
                <w:lang w:val="en-US" w:eastAsia="zh-CN"/>
              </w:rPr>
              <w:t>23.185   （房建）</w:t>
            </w:r>
          </w:p>
        </w:tc>
        <w:tc>
          <w:tcPr>
            <w:tcW w:w="4200" w:type="dxa"/>
            <w:noWrap w:val="0"/>
            <w:vAlign w:val="center"/>
          </w:tcPr>
          <w:p w14:paraId="6A7B9229">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相应起讫桩号范围括号（及连接线）内注明的工程和相关变更工程以及附属工程（如进场道路、外接电等）的施工准备阶段、施工阶段、交工验收与缺陷责任期阶段的施工监理，其中：</w:t>
            </w:r>
          </w:p>
          <w:p w14:paraId="4FBAF69F">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土建工程：包括路基（含管理、养护、服务设施等场区的场地平整与土石方）、桥梁涵洞、桥涵接（改）线路面、隧道、绿化及环境保护等工程。</w:t>
            </w:r>
          </w:p>
          <w:p w14:paraId="377FC102">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路面工程：包括主线、匝道、停车区（服务区）和互通连接线等路面工程。</w:t>
            </w:r>
          </w:p>
          <w:p w14:paraId="09F2F5F1">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交安工程：包括主线、匝道、停车区（服务区）和互通连接线等交安工程。</w:t>
            </w:r>
          </w:p>
          <w:p w14:paraId="366B1907">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lang w:val="en-US" w:eastAsia="zh-CN"/>
              </w:rPr>
              <w:t>房建工程：收费站、停车区（服务区）、管理用房、隧道变电所及泵房等房建工程及附属工程。</w:t>
            </w:r>
          </w:p>
        </w:tc>
        <w:tc>
          <w:tcPr>
            <w:tcW w:w="637" w:type="dxa"/>
            <w:noWrap w:val="0"/>
            <w:vAlign w:val="center"/>
          </w:tcPr>
          <w:p w14:paraId="0993749C">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eastAsia="zh-CN"/>
              </w:rPr>
            </w:pPr>
          </w:p>
        </w:tc>
      </w:tr>
      <w:tr w14:paraId="4131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noWrap w:val="0"/>
            <w:vAlign w:val="center"/>
          </w:tcPr>
          <w:p w14:paraId="06ABED94">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eastAsia="zh-CN" w:bidi="ar-SA"/>
              </w:rPr>
            </w:pPr>
            <w:r>
              <w:rPr>
                <w:rStyle w:val="13"/>
                <w:rFonts w:hint="eastAsia" w:ascii="宋体" w:hAnsi="宋体" w:eastAsia="宋体" w:cs="宋体"/>
                <w:color w:val="auto"/>
                <w:kern w:val="0"/>
                <w:sz w:val="20"/>
                <w:szCs w:val="20"/>
                <w:highlight w:val="none"/>
                <w:shd w:val="clear" w:color="auto" w:fill="FFFFFF"/>
                <w:lang w:val="en-US" w:eastAsia="zh-CN"/>
              </w:rPr>
              <w:t>CRJL2</w:t>
            </w:r>
          </w:p>
        </w:tc>
        <w:tc>
          <w:tcPr>
            <w:tcW w:w="1592" w:type="dxa"/>
            <w:noWrap w:val="0"/>
            <w:vAlign w:val="center"/>
          </w:tcPr>
          <w:p w14:paraId="4923A472">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bidi="ar-SA"/>
              </w:rPr>
            </w:pPr>
            <w:r>
              <w:rPr>
                <w:rStyle w:val="13"/>
                <w:rFonts w:hint="eastAsia" w:ascii="宋体" w:hAnsi="宋体" w:eastAsia="宋体" w:cs="宋体"/>
                <w:color w:val="auto"/>
                <w:kern w:val="0"/>
                <w:sz w:val="20"/>
                <w:szCs w:val="20"/>
                <w:highlight w:val="none"/>
              </w:rPr>
              <w:t>K</w:t>
            </w:r>
            <w:r>
              <w:rPr>
                <w:rStyle w:val="13"/>
                <w:rFonts w:hint="eastAsia" w:ascii="宋体" w:hAnsi="宋体" w:eastAsia="宋体" w:cs="宋体"/>
                <w:color w:val="auto"/>
                <w:kern w:val="0"/>
                <w:sz w:val="20"/>
                <w:szCs w:val="20"/>
                <w:highlight w:val="none"/>
                <w:lang w:val="en-US" w:eastAsia="zh-CN"/>
              </w:rPr>
              <w:t>15</w:t>
            </w: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600</w:t>
            </w:r>
            <w:r>
              <w:rPr>
                <w:rStyle w:val="13"/>
                <w:rFonts w:hint="eastAsia" w:ascii="宋体" w:hAnsi="宋体" w:eastAsia="宋体" w:cs="宋体"/>
                <w:color w:val="auto"/>
                <w:kern w:val="0"/>
                <w:sz w:val="20"/>
                <w:szCs w:val="20"/>
                <w:highlight w:val="none"/>
              </w:rPr>
              <w:t>-K23+</w:t>
            </w:r>
            <w:r>
              <w:rPr>
                <w:rStyle w:val="13"/>
                <w:rFonts w:hint="eastAsia" w:ascii="宋体" w:hAnsi="宋体" w:eastAsia="宋体" w:cs="宋体"/>
                <w:color w:val="auto"/>
                <w:kern w:val="0"/>
                <w:sz w:val="20"/>
                <w:szCs w:val="20"/>
                <w:highlight w:val="none"/>
                <w:lang w:val="en-US" w:eastAsia="zh-CN"/>
              </w:rPr>
              <w:t>163（土建工程）</w:t>
            </w:r>
          </w:p>
        </w:tc>
        <w:tc>
          <w:tcPr>
            <w:tcW w:w="1284" w:type="dxa"/>
            <w:noWrap w:val="0"/>
            <w:vAlign w:val="center"/>
          </w:tcPr>
          <w:p w14:paraId="6F7F8D0C">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7.563</w:t>
            </w:r>
          </w:p>
          <w:p w14:paraId="1F4D8337">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bidi="ar-SA"/>
              </w:rPr>
            </w:pPr>
            <w:r>
              <w:rPr>
                <w:rStyle w:val="13"/>
                <w:rFonts w:hint="eastAsia" w:ascii="宋体" w:hAnsi="宋体" w:eastAsia="宋体" w:cs="宋体"/>
                <w:color w:val="auto"/>
                <w:kern w:val="0"/>
                <w:sz w:val="20"/>
                <w:szCs w:val="20"/>
                <w:highlight w:val="none"/>
                <w:lang w:val="en-US" w:eastAsia="zh-CN"/>
              </w:rPr>
              <w:t>（土建）</w:t>
            </w:r>
          </w:p>
        </w:tc>
        <w:tc>
          <w:tcPr>
            <w:tcW w:w="4200" w:type="dxa"/>
            <w:noWrap w:val="0"/>
            <w:vAlign w:val="center"/>
          </w:tcPr>
          <w:p w14:paraId="74C88A8E">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相应起讫桩号范围括号内注明的工程和相关变更工程以及附属工程（如进场道路、外接电等）的施工准备阶段、施工阶段、交工验收与缺陷责任期阶段的施工监理，其中：</w:t>
            </w:r>
          </w:p>
          <w:p w14:paraId="5C4D6630">
            <w:pPr>
              <w:pStyle w:val="11"/>
              <w:autoSpaceDE w:val="0"/>
              <w:autoSpaceDN w:val="0"/>
              <w:adjustRightInd w:val="0"/>
              <w:ind w:firstLine="400" w:firstLineChars="200"/>
              <w:jc w:val="left"/>
              <w:rPr>
                <w:rStyle w:val="13"/>
                <w:rFonts w:hint="eastAsia" w:ascii="宋体" w:hAnsi="宋体" w:eastAsia="宋体" w:cs="宋体"/>
                <w:color w:val="auto"/>
                <w:kern w:val="2"/>
                <w:sz w:val="20"/>
                <w:szCs w:val="20"/>
                <w:highlight w:val="none"/>
                <w:lang w:val="en-US" w:eastAsia="zh-CN" w:bidi="ar-SA"/>
              </w:rPr>
            </w:pPr>
            <w:r>
              <w:rPr>
                <w:rStyle w:val="13"/>
                <w:rFonts w:hint="eastAsia" w:ascii="宋体" w:hAnsi="宋体" w:eastAsia="宋体" w:cs="宋体"/>
                <w:color w:val="auto"/>
                <w:kern w:val="0"/>
                <w:sz w:val="20"/>
                <w:szCs w:val="20"/>
                <w:highlight w:val="none"/>
                <w:lang w:val="en-US" w:eastAsia="zh-CN"/>
              </w:rPr>
              <w:t>土建工程：包括路基（含管理、养护、服务设施等场区的场地平整与土石方）、桥梁涵洞、桥涵接（改）线路面、隧道、绿化及环境保护、中青路还建等工程。</w:t>
            </w:r>
          </w:p>
        </w:tc>
        <w:tc>
          <w:tcPr>
            <w:tcW w:w="637" w:type="dxa"/>
            <w:noWrap w:val="0"/>
            <w:vAlign w:val="center"/>
          </w:tcPr>
          <w:p w14:paraId="384AF3F5">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eastAsia="zh-CN"/>
              </w:rPr>
            </w:pPr>
          </w:p>
        </w:tc>
      </w:tr>
    </w:tbl>
    <w:p w14:paraId="2D1374E3">
      <w:pPr>
        <w:pStyle w:val="15"/>
        <w:spacing w:line="440" w:lineRule="exact"/>
        <w:ind w:firstLine="422" w:firstLineChars="200"/>
        <w:rPr>
          <w:rStyle w:val="13"/>
          <w:rFonts w:hint="eastAsia" w:ascii="宋体" w:hAnsi="宋体" w:eastAsia="宋体" w:cs="宋体"/>
          <w:b/>
          <w:bCs/>
          <w:color w:val="auto"/>
          <w:szCs w:val="24"/>
          <w:highlight w:val="none"/>
          <w:lang w:val="en-US" w:eastAsia="zh-CN"/>
        </w:rPr>
      </w:pPr>
      <w:r>
        <w:rPr>
          <w:rStyle w:val="13"/>
          <w:rFonts w:hint="eastAsia" w:ascii="宋体" w:hAnsi="宋体" w:eastAsia="宋体" w:cs="宋体"/>
          <w:b/>
          <w:bCs/>
          <w:color w:val="auto"/>
          <w:szCs w:val="24"/>
          <w:highlight w:val="none"/>
          <w:lang w:val="en-US" w:eastAsia="zh-CN"/>
        </w:rPr>
        <w:t>备注：起点及终点桩号以最终施工标段划分为准。</w:t>
      </w:r>
    </w:p>
    <w:p w14:paraId="51CB8C3F">
      <w:pPr>
        <w:pStyle w:val="15"/>
        <w:spacing w:line="440" w:lineRule="exact"/>
        <w:ind w:firstLine="474" w:firstLineChars="225"/>
        <w:rPr>
          <w:rStyle w:val="13"/>
          <w:rFonts w:hint="eastAsia" w:ascii="宋体" w:hAnsi="宋体" w:eastAsia="宋体" w:cs="宋体"/>
          <w:b w:val="0"/>
          <w:bCs w:val="0"/>
          <w:color w:val="auto"/>
          <w:szCs w:val="24"/>
          <w:highlight w:val="none"/>
        </w:rPr>
      </w:pPr>
      <w:r>
        <w:rPr>
          <w:rStyle w:val="13"/>
          <w:rFonts w:hint="eastAsia" w:ascii="宋体" w:hAnsi="宋体" w:eastAsia="宋体" w:cs="宋体"/>
          <w:b/>
          <w:bCs/>
          <w:color w:val="auto"/>
          <w:szCs w:val="24"/>
          <w:highlight w:val="none"/>
        </w:rPr>
        <w:t>2.</w:t>
      </w:r>
      <w:r>
        <w:rPr>
          <w:rStyle w:val="13"/>
          <w:rFonts w:hint="eastAsia" w:ascii="宋体" w:hAnsi="宋体" w:eastAsia="宋体" w:cs="宋体"/>
          <w:b/>
          <w:bCs/>
          <w:color w:val="auto"/>
          <w:szCs w:val="24"/>
          <w:highlight w:val="none"/>
          <w:lang w:val="en-US" w:eastAsia="zh-CN"/>
        </w:rPr>
        <w:t>4</w:t>
      </w:r>
      <w:r>
        <w:rPr>
          <w:rStyle w:val="13"/>
          <w:rFonts w:hint="eastAsia" w:ascii="宋体" w:hAnsi="宋体" w:eastAsia="宋体" w:cs="宋体"/>
          <w:b/>
          <w:bCs/>
          <w:color w:val="auto"/>
          <w:szCs w:val="24"/>
          <w:highlight w:val="none"/>
        </w:rPr>
        <w:t>监理服务期：</w:t>
      </w:r>
      <w:bookmarkStart w:id="12" w:name="_Toc510015651"/>
      <w:bookmarkStart w:id="13" w:name="_Toc503235716"/>
      <w:r>
        <w:rPr>
          <w:rStyle w:val="13"/>
          <w:rFonts w:hint="eastAsia" w:ascii="宋体" w:hAnsi="宋体" w:eastAsia="宋体" w:cs="宋体"/>
          <w:b w:val="0"/>
          <w:bCs w:val="0"/>
          <w:color w:val="auto"/>
          <w:szCs w:val="24"/>
          <w:highlight w:val="none"/>
        </w:rPr>
        <w:t>本次招标施工监理服务期限：暂定</w:t>
      </w:r>
      <w:r>
        <w:rPr>
          <w:rStyle w:val="13"/>
          <w:rFonts w:hint="eastAsia" w:ascii="宋体" w:hAnsi="宋体" w:eastAsia="宋体" w:cs="宋体"/>
          <w:b w:val="0"/>
          <w:bCs w:val="0"/>
          <w:color w:val="auto"/>
          <w:szCs w:val="24"/>
          <w:highlight w:val="none"/>
          <w:u w:val="single"/>
          <w:lang w:val="en-US" w:eastAsia="zh-CN"/>
        </w:rPr>
        <w:t>75</w:t>
      </w:r>
      <w:r>
        <w:rPr>
          <w:rStyle w:val="13"/>
          <w:rFonts w:hint="eastAsia" w:ascii="宋体" w:hAnsi="宋体" w:eastAsia="宋体" w:cs="宋体"/>
          <w:b w:val="0"/>
          <w:bCs w:val="0"/>
          <w:color w:val="auto"/>
          <w:szCs w:val="24"/>
          <w:highlight w:val="none"/>
        </w:rPr>
        <w:t>个月，其中：施工准备阶段监理服务期</w:t>
      </w:r>
      <w:r>
        <w:rPr>
          <w:rStyle w:val="13"/>
          <w:rFonts w:hint="eastAsia" w:ascii="宋体" w:hAnsi="宋体" w:eastAsia="宋体" w:cs="宋体"/>
          <w:b w:val="0"/>
          <w:bCs w:val="0"/>
          <w:color w:val="auto"/>
          <w:szCs w:val="24"/>
          <w:highlight w:val="none"/>
          <w:u w:val="single"/>
          <w:lang w:val="en-US" w:eastAsia="zh-CN"/>
        </w:rPr>
        <w:t>3</w:t>
      </w:r>
      <w:r>
        <w:rPr>
          <w:rStyle w:val="13"/>
          <w:rFonts w:hint="eastAsia" w:ascii="宋体" w:hAnsi="宋体" w:eastAsia="宋体" w:cs="宋体"/>
          <w:b w:val="0"/>
          <w:bCs w:val="0"/>
          <w:color w:val="auto"/>
          <w:szCs w:val="24"/>
          <w:highlight w:val="none"/>
        </w:rPr>
        <w:t>个月，施工阶段</w:t>
      </w:r>
      <w:r>
        <w:rPr>
          <w:rStyle w:val="13"/>
          <w:rFonts w:hint="eastAsia" w:ascii="宋体" w:hAnsi="宋体" w:eastAsia="宋体" w:cs="宋体"/>
          <w:b w:val="0"/>
          <w:bCs w:val="0"/>
          <w:color w:val="auto"/>
          <w:szCs w:val="24"/>
          <w:highlight w:val="none"/>
          <w:u w:val="single"/>
          <w:lang w:val="en-US" w:eastAsia="zh-CN"/>
        </w:rPr>
        <w:t>48</w:t>
      </w:r>
      <w:r>
        <w:rPr>
          <w:rStyle w:val="13"/>
          <w:rFonts w:hint="eastAsia" w:ascii="宋体" w:hAnsi="宋体" w:eastAsia="宋体" w:cs="宋体"/>
          <w:b w:val="0"/>
          <w:bCs w:val="0"/>
          <w:color w:val="auto"/>
          <w:szCs w:val="24"/>
          <w:highlight w:val="none"/>
        </w:rPr>
        <w:t>个月，交工验收与缺陷责任期监理服务期</w:t>
      </w:r>
      <w:r>
        <w:rPr>
          <w:rStyle w:val="13"/>
          <w:rFonts w:hint="eastAsia" w:ascii="宋体" w:hAnsi="宋体" w:eastAsia="宋体" w:cs="宋体"/>
          <w:b w:val="0"/>
          <w:bCs w:val="0"/>
          <w:color w:val="auto"/>
          <w:szCs w:val="24"/>
          <w:highlight w:val="none"/>
          <w:u w:val="single"/>
          <w:lang w:val="en-US" w:eastAsia="zh-CN"/>
        </w:rPr>
        <w:t>24</w:t>
      </w:r>
      <w:r>
        <w:rPr>
          <w:rStyle w:val="13"/>
          <w:rFonts w:hint="eastAsia" w:ascii="宋体" w:hAnsi="宋体" w:eastAsia="宋体" w:cs="宋体"/>
          <w:b w:val="0"/>
          <w:bCs w:val="0"/>
          <w:color w:val="auto"/>
          <w:szCs w:val="24"/>
          <w:highlight w:val="none"/>
        </w:rPr>
        <w:t>个月。</w:t>
      </w:r>
    </w:p>
    <w:p w14:paraId="7B10A0D8">
      <w:pPr>
        <w:pStyle w:val="15"/>
        <w:keepNext w:val="0"/>
        <w:keepLines w:val="0"/>
        <w:pageBreakBefore w:val="0"/>
        <w:widowControl w:val="0"/>
        <w:kinsoku/>
        <w:wordWrap/>
        <w:overflowPunct/>
        <w:topLinePunct w:val="0"/>
        <w:autoSpaceDE/>
        <w:autoSpaceDN/>
        <w:bidi w:val="0"/>
        <w:adjustRightInd/>
        <w:snapToGrid/>
        <w:spacing w:line="430" w:lineRule="exact"/>
        <w:textAlignment w:val="auto"/>
        <w:outlineLvl w:val="1"/>
        <w:rPr>
          <w:rStyle w:val="13"/>
          <w:rFonts w:hint="eastAsia" w:ascii="宋体" w:hAnsi="宋体" w:eastAsia="宋体" w:cs="宋体"/>
          <w:b/>
          <w:bCs/>
          <w:color w:val="auto"/>
          <w:sz w:val="24"/>
          <w:szCs w:val="24"/>
          <w:highlight w:val="none"/>
          <w:lang w:val="zh-CN"/>
        </w:rPr>
      </w:pPr>
      <w:bookmarkStart w:id="14" w:name="_Toc256000005"/>
      <w:bookmarkStart w:id="15" w:name="_Toc256000023"/>
      <w:bookmarkStart w:id="16" w:name="_Toc21235"/>
      <w:bookmarkStart w:id="17" w:name="_Toc256000014"/>
      <w:r>
        <w:rPr>
          <w:rStyle w:val="13"/>
          <w:rFonts w:hint="eastAsia" w:ascii="宋体" w:hAnsi="宋体" w:eastAsia="宋体" w:cs="宋体"/>
          <w:b/>
          <w:bCs/>
          <w:color w:val="auto"/>
          <w:sz w:val="24"/>
          <w:szCs w:val="24"/>
          <w:highlight w:val="none"/>
          <w:lang w:val="zh-CN"/>
        </w:rPr>
        <w:t>3.投标人资格要求</w:t>
      </w:r>
      <w:bookmarkEnd w:id="12"/>
      <w:bookmarkEnd w:id="13"/>
      <w:bookmarkEnd w:id="14"/>
      <w:bookmarkEnd w:id="15"/>
      <w:bookmarkEnd w:id="16"/>
      <w:bookmarkEnd w:id="17"/>
    </w:p>
    <w:p w14:paraId="18DCC488">
      <w:pPr>
        <w:pStyle w:val="15"/>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Style w:val="13"/>
          <w:rFonts w:hint="eastAsia" w:ascii="宋体" w:hAnsi="宋体" w:eastAsia="宋体" w:cs="宋体"/>
          <w:color w:val="auto"/>
          <w:szCs w:val="21"/>
          <w:highlight w:val="none"/>
        </w:rPr>
      </w:pPr>
      <w:r>
        <w:rPr>
          <w:rStyle w:val="13"/>
          <w:rFonts w:hint="eastAsia" w:ascii="宋体" w:hAnsi="宋体" w:eastAsia="宋体" w:cs="宋体"/>
          <w:color w:val="auto"/>
          <w:szCs w:val="21"/>
          <w:highlight w:val="none"/>
        </w:rPr>
        <w:t>3.1 本次招标要求投标人持有工商行政管理部门核发的有效企业法人营业执照，</w:t>
      </w:r>
      <w:r>
        <w:rPr>
          <w:rStyle w:val="13"/>
          <w:rFonts w:hint="eastAsia" w:ascii="宋体" w:hAnsi="宋体" w:eastAsia="宋体" w:cs="宋体"/>
          <w:b/>
          <w:bCs/>
          <w:color w:val="auto"/>
          <w:szCs w:val="21"/>
          <w:highlight w:val="none"/>
          <w:u w:val="single"/>
        </w:rPr>
        <w:t>投标人须知附录1要求的资质、投标人须知附录2要求的业绩</w:t>
      </w:r>
      <w:r>
        <w:rPr>
          <w:rStyle w:val="13"/>
          <w:rFonts w:hint="eastAsia" w:ascii="宋体" w:hAnsi="宋体" w:eastAsia="宋体" w:cs="宋体"/>
          <w:color w:val="auto"/>
          <w:szCs w:val="21"/>
          <w:highlight w:val="none"/>
        </w:rPr>
        <w:t>，并在人员等方面具有相应的施工监理能力。</w:t>
      </w:r>
    </w:p>
    <w:p w14:paraId="0913F9AB">
      <w:pPr>
        <w:pStyle w:val="15"/>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Style w:val="13"/>
          <w:rFonts w:hint="eastAsia" w:ascii="宋体" w:hAnsi="宋体" w:eastAsia="宋体" w:cs="宋体"/>
          <w:color w:val="auto"/>
          <w:kern w:val="2"/>
          <w:sz w:val="21"/>
          <w:szCs w:val="21"/>
          <w:highlight w:val="none"/>
          <w:lang w:val="en-US" w:eastAsia="zh-CN" w:bidi="ar-SA"/>
        </w:rPr>
      </w:pPr>
      <w:r>
        <w:rPr>
          <w:rStyle w:val="13"/>
          <w:rFonts w:hint="eastAsia" w:ascii="宋体" w:hAnsi="宋体" w:eastAsia="宋体" w:cs="宋体"/>
          <w:color w:val="auto"/>
          <w:kern w:val="2"/>
          <w:sz w:val="21"/>
          <w:szCs w:val="21"/>
          <w:highlight w:val="none"/>
          <w:lang w:val="en-US" w:eastAsia="zh-CN" w:bidi="ar-SA"/>
        </w:rPr>
        <w:t>投标人应进入交通运输部“全国公路建设市场监督管理系统（https://hwdms.mot.gov.cn/BMWebSite/）”中的公路工程施工监理资质企业名录，且投标人名称和资质与该名录中的相应企业名称和资质完全一致。</w:t>
      </w:r>
      <w:r>
        <w:rPr>
          <w:rStyle w:val="13"/>
          <w:rFonts w:hint="eastAsia" w:ascii="宋体" w:hAnsi="宋体" w:eastAsia="宋体" w:cs="宋体"/>
          <w:color w:val="auto"/>
          <w:kern w:val="2"/>
          <w:sz w:val="24"/>
          <w:szCs w:val="24"/>
          <w:highlight w:val="none"/>
          <w:vertAlign w:val="superscript"/>
          <w:lang w:val="en-US" w:eastAsia="zh-CN" w:bidi="ar-SA"/>
        </w:rPr>
        <w:footnoteReference w:id="0"/>
      </w:r>
    </w:p>
    <w:p w14:paraId="151AE2F8">
      <w:pPr>
        <w:pStyle w:val="15"/>
        <w:spacing w:line="440" w:lineRule="exact"/>
        <w:ind w:firstLine="420" w:firstLineChars="200"/>
        <w:rPr>
          <w:rStyle w:val="13"/>
          <w:rFonts w:hint="eastAsia" w:ascii="宋体" w:hAnsi="宋体" w:eastAsia="宋体" w:cs="宋体"/>
          <w:color w:val="auto"/>
          <w:szCs w:val="21"/>
          <w:highlight w:val="none"/>
        </w:rPr>
      </w:pPr>
      <w:r>
        <w:rPr>
          <w:rStyle w:val="13"/>
          <w:rFonts w:hint="eastAsia" w:ascii="宋体" w:hAnsi="宋体" w:eastAsia="宋体" w:cs="宋体"/>
          <w:color w:val="auto"/>
          <w:szCs w:val="21"/>
          <w:highlight w:val="none"/>
        </w:rPr>
        <w:t xml:space="preserve">3.2 </w:t>
      </w:r>
      <w:r>
        <w:rPr>
          <w:rStyle w:val="13"/>
          <w:rFonts w:hint="eastAsia" w:ascii="宋体" w:hAnsi="宋体" w:eastAsia="宋体" w:cs="宋体"/>
          <w:b w:val="0"/>
          <w:bCs/>
          <w:color w:val="auto"/>
          <w:szCs w:val="21"/>
          <w:highlight w:val="none"/>
          <w:u w:val="none"/>
          <w:lang w:val="en-US" w:eastAsia="zh-CN"/>
        </w:rPr>
        <w:t>本次招标</w:t>
      </w:r>
      <w:r>
        <w:rPr>
          <w:rStyle w:val="13"/>
          <w:rFonts w:hint="eastAsia" w:ascii="宋体" w:hAnsi="宋体" w:eastAsia="宋体" w:cs="宋体"/>
          <w:b/>
          <w:bCs w:val="0"/>
          <w:color w:val="auto"/>
          <w:szCs w:val="21"/>
          <w:highlight w:val="none"/>
          <w:u w:val="single"/>
          <w:lang w:val="en-US" w:eastAsia="zh-CN"/>
        </w:rPr>
        <w:t>不接受</w:t>
      </w:r>
      <w:r>
        <w:rPr>
          <w:rStyle w:val="13"/>
          <w:rFonts w:hint="eastAsia" w:ascii="宋体" w:hAnsi="宋体" w:eastAsia="宋体" w:cs="宋体"/>
          <w:b w:val="0"/>
          <w:bCs/>
          <w:color w:val="auto"/>
          <w:szCs w:val="21"/>
          <w:highlight w:val="none"/>
          <w:u w:val="none"/>
          <w:lang w:val="en-US" w:eastAsia="zh-CN"/>
        </w:rPr>
        <w:t>联合体投标</w:t>
      </w:r>
      <w:r>
        <w:rPr>
          <w:rStyle w:val="13"/>
          <w:rFonts w:hint="eastAsia" w:ascii="宋体" w:hAnsi="宋体" w:eastAsia="宋体" w:cs="宋体"/>
          <w:color w:val="auto"/>
          <w:szCs w:val="21"/>
          <w:highlight w:val="none"/>
        </w:rPr>
        <w:t>。</w:t>
      </w:r>
    </w:p>
    <w:p w14:paraId="6FF85B9A">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13"/>
          <w:rFonts w:hint="eastAsia" w:ascii="宋体" w:hAnsi="宋体" w:eastAsia="宋体" w:cs="宋体"/>
          <w:b/>
          <w:bCs/>
          <w:color w:val="auto"/>
          <w:szCs w:val="21"/>
          <w:highlight w:val="none"/>
          <w:lang w:val="en-US" w:eastAsia="zh-CN"/>
        </w:rPr>
      </w:pPr>
      <w:bookmarkStart w:id="18" w:name="_Toc256000024"/>
      <w:bookmarkStart w:id="19" w:name="_Toc256000006"/>
      <w:bookmarkStart w:id="20" w:name="_Toc17056"/>
      <w:bookmarkStart w:id="21" w:name="_Toc503235718"/>
      <w:bookmarkStart w:id="22" w:name="_Toc510015652"/>
      <w:r>
        <w:rPr>
          <w:rStyle w:val="13"/>
          <w:rFonts w:hint="eastAsia" w:ascii="宋体" w:hAnsi="宋体" w:eastAsia="宋体" w:cs="宋体"/>
          <w:b/>
          <w:bCs/>
          <w:color w:val="auto"/>
          <w:szCs w:val="21"/>
          <w:highlight w:val="none"/>
          <w:lang w:val="en-US" w:eastAsia="zh-CN"/>
        </w:rPr>
        <w:t>3.3 每个投标人可在本次招标中对</w:t>
      </w:r>
      <w:r>
        <w:rPr>
          <w:rStyle w:val="13"/>
          <w:rFonts w:hint="eastAsia" w:ascii="宋体" w:hAnsi="宋体" w:eastAsia="宋体" w:cs="宋体"/>
          <w:b/>
          <w:bCs/>
          <w:color w:val="auto"/>
          <w:szCs w:val="21"/>
          <w:highlight w:val="none"/>
          <w:u w:val="single"/>
          <w:lang w:val="en-US" w:eastAsia="zh-CN"/>
        </w:rPr>
        <w:t>1</w:t>
      </w:r>
      <w:r>
        <w:rPr>
          <w:rStyle w:val="13"/>
          <w:rFonts w:hint="eastAsia" w:ascii="宋体" w:hAnsi="宋体" w:eastAsia="宋体" w:cs="宋体"/>
          <w:b/>
          <w:bCs/>
          <w:color w:val="auto"/>
          <w:szCs w:val="21"/>
          <w:highlight w:val="none"/>
          <w:lang w:val="en-US" w:eastAsia="zh-CN"/>
        </w:rPr>
        <w:t>个标段投标，被湖南省交通运输厅评为AA级的投标人， 可在本次招标中给予增加1个标段投标的奖励，奖励后的可投标段数不得超过本次招标工程类别的标段总数。每个投标人允许中</w:t>
      </w:r>
      <w:r>
        <w:rPr>
          <w:rStyle w:val="13"/>
          <w:rFonts w:hint="eastAsia" w:ascii="宋体" w:hAnsi="宋体" w:eastAsia="宋体" w:cs="宋体"/>
          <w:b/>
          <w:bCs/>
          <w:color w:val="auto"/>
          <w:szCs w:val="21"/>
          <w:highlight w:val="none"/>
          <w:u w:val="single"/>
          <w:lang w:val="en-US" w:eastAsia="zh-CN"/>
        </w:rPr>
        <w:t xml:space="preserve"> 1 </w:t>
      </w:r>
      <w:r>
        <w:rPr>
          <w:rStyle w:val="13"/>
          <w:rFonts w:hint="eastAsia" w:ascii="宋体" w:hAnsi="宋体" w:eastAsia="宋体" w:cs="宋体"/>
          <w:b/>
          <w:bCs/>
          <w:color w:val="auto"/>
          <w:szCs w:val="21"/>
          <w:highlight w:val="none"/>
          <w:lang w:val="en-US" w:eastAsia="zh-CN"/>
        </w:rPr>
        <w:t>个标。被湖南省交通运输厅评为C级的投标人，减少1个标段中标的机会。对投标人信用等级的认定条件为：</w:t>
      </w:r>
      <w:r>
        <w:rPr>
          <w:rStyle w:val="13"/>
          <w:rFonts w:hint="eastAsia" w:ascii="宋体" w:hAnsi="宋体" w:eastAsia="宋体" w:cs="宋体"/>
          <w:b/>
          <w:bCs/>
          <w:color w:val="auto"/>
          <w:szCs w:val="21"/>
          <w:highlight w:val="none"/>
          <w:u w:val="single"/>
          <w:lang w:val="en-US" w:eastAsia="zh-CN"/>
        </w:rPr>
        <w:t>投标截止之日前湖南省交通运输厅发布的最新年度信用等级结果</w:t>
      </w:r>
      <w:r>
        <w:rPr>
          <w:rStyle w:val="13"/>
          <w:rFonts w:hint="eastAsia" w:ascii="宋体" w:hAnsi="宋体" w:eastAsia="宋体" w:cs="宋体"/>
          <w:b/>
          <w:bCs/>
          <w:color w:val="auto"/>
          <w:szCs w:val="21"/>
          <w:highlight w:val="none"/>
          <w:lang w:val="en-US" w:eastAsia="zh-CN"/>
        </w:rPr>
        <w:t>。</w:t>
      </w:r>
    </w:p>
    <w:p w14:paraId="7357F7A9">
      <w:pPr>
        <w:pStyle w:val="15"/>
        <w:spacing w:line="440" w:lineRule="exact"/>
        <w:ind w:firstLine="422" w:firstLineChars="200"/>
        <w:rPr>
          <w:rStyle w:val="13"/>
          <w:rFonts w:hint="eastAsia" w:ascii="宋体" w:hAnsi="宋体" w:eastAsia="宋体" w:cs="宋体"/>
          <w:b/>
          <w:bCs/>
          <w:color w:val="auto"/>
          <w:szCs w:val="21"/>
          <w:highlight w:val="none"/>
          <w:u w:val="none"/>
          <w:lang w:val="en-US" w:eastAsia="zh-CN"/>
        </w:rPr>
      </w:pPr>
      <w:r>
        <w:rPr>
          <w:rStyle w:val="13"/>
          <w:rFonts w:hint="eastAsia" w:ascii="宋体" w:hAnsi="宋体" w:eastAsia="宋体" w:cs="宋体"/>
          <w:b/>
          <w:bCs/>
          <w:color w:val="auto"/>
          <w:szCs w:val="21"/>
          <w:highlight w:val="none"/>
          <w:u w:val="none"/>
          <w:lang w:val="en-US" w:eastAsia="zh-CN"/>
        </w:rPr>
        <w:t>3.4 为保证项目质量，确保如期完工，本项目不接受正在我单位施工的浏阳至江背高速公路项目JL1标段中标人的投标。</w:t>
      </w:r>
    </w:p>
    <w:p w14:paraId="0A0C250B">
      <w:pPr>
        <w:pStyle w:val="15"/>
        <w:spacing w:line="440" w:lineRule="exact"/>
        <w:ind w:firstLine="420" w:firstLineChars="200"/>
        <w:rPr>
          <w:rStyle w:val="13"/>
          <w:rFonts w:hint="eastAsia" w:ascii="宋体" w:hAnsi="宋体" w:eastAsia="宋体" w:cs="宋体"/>
          <w:color w:val="auto"/>
          <w:szCs w:val="21"/>
          <w:highlight w:val="none"/>
        </w:rPr>
      </w:pPr>
      <w:r>
        <w:rPr>
          <w:rStyle w:val="13"/>
          <w:rFonts w:hint="eastAsia" w:ascii="宋体" w:hAnsi="宋体" w:eastAsia="宋体" w:cs="宋体"/>
          <w:color w:val="auto"/>
          <w:szCs w:val="21"/>
          <w:highlight w:val="none"/>
          <w:lang w:val="en-US" w:eastAsia="zh-CN"/>
        </w:rPr>
        <w:t xml:space="preserve">3.5 </w:t>
      </w:r>
      <w:r>
        <w:rPr>
          <w:rStyle w:val="13"/>
          <w:rFonts w:hint="eastAsia" w:ascii="宋体" w:hAnsi="宋体" w:eastAsia="宋体" w:cs="宋体"/>
          <w:color w:val="auto"/>
          <w:szCs w:val="21"/>
          <w:highlight w:val="none"/>
        </w:rPr>
        <w:t>与招标人存在利害关系且可能影响招标公正性的单位，不得参加投标。单位负责人</w:t>
      </w:r>
      <w:r>
        <w:rPr>
          <w:rStyle w:val="13"/>
          <w:rFonts w:hint="eastAsia" w:ascii="宋体" w:hAnsi="宋体" w:eastAsia="宋体" w:cs="宋体"/>
          <w:color w:val="auto"/>
          <w:sz w:val="24"/>
          <w:szCs w:val="24"/>
          <w:highlight w:val="none"/>
          <w:vertAlign w:val="superscript"/>
        </w:rPr>
        <w:footnoteReference w:id="1"/>
      </w:r>
      <w:r>
        <w:rPr>
          <w:rStyle w:val="13"/>
          <w:rFonts w:hint="eastAsia" w:ascii="宋体" w:hAnsi="宋体" w:eastAsia="宋体" w:cs="宋体"/>
          <w:color w:val="auto"/>
          <w:szCs w:val="21"/>
          <w:highlight w:val="none"/>
        </w:rPr>
        <w:t>为同一人或者存在控股</w:t>
      </w:r>
      <w:r>
        <w:rPr>
          <w:rStyle w:val="13"/>
          <w:rFonts w:hint="eastAsia" w:ascii="宋体" w:hAnsi="宋体" w:eastAsia="宋体" w:cs="宋体"/>
          <w:color w:val="auto"/>
          <w:sz w:val="24"/>
          <w:szCs w:val="24"/>
          <w:highlight w:val="none"/>
          <w:vertAlign w:val="superscript"/>
        </w:rPr>
        <w:footnoteReference w:id="2"/>
      </w:r>
      <w:r>
        <w:rPr>
          <w:rStyle w:val="13"/>
          <w:rFonts w:hint="eastAsia" w:ascii="宋体" w:hAnsi="宋体" w:eastAsia="宋体" w:cs="宋体"/>
          <w:color w:val="auto"/>
          <w:szCs w:val="21"/>
          <w:highlight w:val="none"/>
        </w:rPr>
        <w:t>、管理</w:t>
      </w:r>
      <w:r>
        <w:rPr>
          <w:rStyle w:val="13"/>
          <w:rFonts w:hint="eastAsia" w:ascii="宋体" w:hAnsi="宋体" w:eastAsia="宋体" w:cs="宋体"/>
          <w:color w:val="auto"/>
          <w:sz w:val="24"/>
          <w:szCs w:val="24"/>
          <w:highlight w:val="none"/>
          <w:vertAlign w:val="superscript"/>
        </w:rPr>
        <w:footnoteReference w:id="3"/>
      </w:r>
      <w:r>
        <w:rPr>
          <w:rStyle w:val="13"/>
          <w:rFonts w:hint="eastAsia" w:ascii="宋体" w:hAnsi="宋体" w:eastAsia="宋体" w:cs="宋体"/>
          <w:color w:val="auto"/>
          <w:szCs w:val="21"/>
          <w:highlight w:val="none"/>
        </w:rPr>
        <w:t>关系的不同单位，不得参加同一标段投标，否则，相关投标均无效。</w:t>
      </w:r>
    </w:p>
    <w:p w14:paraId="2EE24038">
      <w:pPr>
        <w:pStyle w:val="15"/>
        <w:spacing w:line="430" w:lineRule="exact"/>
        <w:ind w:firstLine="420" w:firstLineChars="200"/>
        <w:rPr>
          <w:rStyle w:val="13"/>
          <w:rFonts w:hint="eastAsia" w:ascii="宋体" w:hAnsi="宋体" w:eastAsia="宋体" w:cs="宋体"/>
          <w:color w:val="auto"/>
          <w:szCs w:val="21"/>
          <w:highlight w:val="none"/>
        </w:rPr>
      </w:pPr>
      <w:r>
        <w:rPr>
          <w:rStyle w:val="13"/>
          <w:rFonts w:hint="eastAsia" w:ascii="宋体" w:hAnsi="宋体" w:eastAsia="宋体" w:cs="宋体"/>
          <w:color w:val="auto"/>
          <w:szCs w:val="21"/>
          <w:highlight w:val="none"/>
        </w:rPr>
        <w:t>3.</w:t>
      </w:r>
      <w:r>
        <w:rPr>
          <w:rStyle w:val="13"/>
          <w:rFonts w:hint="eastAsia" w:ascii="宋体" w:hAnsi="宋体" w:eastAsia="宋体" w:cs="宋体"/>
          <w:color w:val="auto"/>
          <w:szCs w:val="21"/>
          <w:highlight w:val="none"/>
          <w:lang w:val="en-US" w:eastAsia="zh-CN"/>
        </w:rPr>
        <w:t xml:space="preserve">6 </w:t>
      </w:r>
      <w:r>
        <w:rPr>
          <w:rStyle w:val="13"/>
          <w:rFonts w:hint="eastAsia" w:ascii="宋体" w:hAnsi="宋体" w:eastAsia="宋体" w:cs="宋体"/>
          <w:color w:val="auto"/>
          <w:szCs w:val="21"/>
          <w:highlight w:val="none"/>
        </w:rPr>
        <w:t>招标人不接受被湖南省交通运输厅</w:t>
      </w:r>
      <w:r>
        <w:rPr>
          <w:rStyle w:val="13"/>
          <w:rFonts w:hint="eastAsia" w:ascii="宋体" w:hAnsi="宋体" w:eastAsia="宋体" w:cs="宋体"/>
          <w:color w:val="auto"/>
          <w:sz w:val="21"/>
          <w:szCs w:val="21"/>
          <w:highlight w:val="none"/>
          <w:vertAlign w:val="superscript"/>
        </w:rPr>
        <w:t>⑤</w:t>
      </w:r>
      <w:r>
        <w:rPr>
          <w:rStyle w:val="13"/>
          <w:rFonts w:hint="eastAsia" w:ascii="宋体" w:hAnsi="宋体" w:eastAsia="宋体" w:cs="宋体"/>
          <w:color w:val="auto"/>
          <w:szCs w:val="21"/>
          <w:highlight w:val="none"/>
        </w:rPr>
        <w:t>评为最近第一年度D 级、连续</w:t>
      </w:r>
      <w:r>
        <w:rPr>
          <w:rStyle w:val="13"/>
          <w:rFonts w:hint="eastAsia" w:ascii="宋体" w:hAnsi="宋体" w:eastAsia="宋体" w:cs="宋体"/>
          <w:color w:val="auto"/>
          <w:szCs w:val="21"/>
          <w:highlight w:val="none"/>
          <w:lang w:val="en-US" w:eastAsia="zh-CN"/>
        </w:rPr>
        <w:t>三</w:t>
      </w:r>
      <w:r>
        <w:rPr>
          <w:rStyle w:val="13"/>
          <w:rFonts w:hint="eastAsia" w:ascii="宋体" w:hAnsi="宋体" w:eastAsia="宋体" w:cs="宋体"/>
          <w:color w:val="auto"/>
          <w:szCs w:val="21"/>
          <w:highlight w:val="none"/>
        </w:rPr>
        <w:t>年（最近第三年、最近第二年和最近第一年）评为C级</w:t>
      </w:r>
      <w:r>
        <w:rPr>
          <w:rStyle w:val="13"/>
          <w:rFonts w:hint="eastAsia" w:ascii="宋体" w:hAnsi="宋体" w:eastAsia="宋体" w:cs="宋体"/>
          <w:color w:val="auto"/>
          <w:szCs w:val="21"/>
          <w:highlight w:val="none"/>
          <w:lang w:val="en-US" w:eastAsia="zh-CN"/>
        </w:rPr>
        <w:t>及以下</w:t>
      </w:r>
      <w:r>
        <w:rPr>
          <w:rStyle w:val="13"/>
          <w:rFonts w:hint="eastAsia" w:ascii="宋体" w:hAnsi="宋体" w:eastAsia="宋体" w:cs="宋体"/>
          <w:color w:val="auto"/>
          <w:szCs w:val="21"/>
          <w:highlight w:val="none"/>
        </w:rPr>
        <w:t>信用等级的投标人投标。</w:t>
      </w:r>
    </w:p>
    <w:p w14:paraId="7B93E031">
      <w:pPr>
        <w:pStyle w:val="15"/>
        <w:spacing w:line="430" w:lineRule="exact"/>
        <w:ind w:firstLine="420" w:firstLineChars="200"/>
        <w:rPr>
          <w:rStyle w:val="13"/>
          <w:rFonts w:hint="eastAsia" w:ascii="宋体" w:hAnsi="宋体" w:eastAsia="宋体" w:cs="宋体"/>
          <w:color w:val="auto"/>
          <w:highlight w:val="none"/>
        </w:rPr>
      </w:pPr>
      <w:r>
        <w:rPr>
          <w:rStyle w:val="13"/>
          <w:rFonts w:hint="eastAsia" w:ascii="宋体" w:hAnsi="宋体" w:eastAsia="宋体" w:cs="宋体"/>
          <w:color w:val="auto"/>
          <w:szCs w:val="21"/>
          <w:highlight w:val="none"/>
        </w:rPr>
        <w:t>3.</w:t>
      </w:r>
      <w:r>
        <w:rPr>
          <w:rStyle w:val="13"/>
          <w:rFonts w:hint="eastAsia" w:ascii="宋体" w:hAnsi="宋体" w:eastAsia="宋体" w:cs="宋体"/>
          <w:color w:val="auto"/>
          <w:szCs w:val="21"/>
          <w:highlight w:val="none"/>
          <w:lang w:val="en-US" w:eastAsia="zh-CN"/>
        </w:rPr>
        <w:t>7</w:t>
      </w:r>
      <w:r>
        <w:rPr>
          <w:rStyle w:val="13"/>
          <w:rFonts w:hint="eastAsia" w:ascii="宋体" w:hAnsi="宋体" w:eastAsia="宋体" w:cs="宋体"/>
          <w:color w:val="auto"/>
          <w:szCs w:val="21"/>
          <w:highlight w:val="none"/>
        </w:rPr>
        <w:t xml:space="preserve"> 招标人不接受在全国企业信用信息公示系统（http://www.gsxt.gov.cn）中被列入严重违法失信企业名单的或在“信用中国”网站（www.creditchina.gov.cn）中被列入失信被执行人名单的投标人投标。</w:t>
      </w:r>
    </w:p>
    <w:p w14:paraId="453B2818">
      <w:pPr>
        <w:pStyle w:val="15"/>
        <w:spacing w:line="430" w:lineRule="exact"/>
        <w:outlineLvl w:val="1"/>
        <w:rPr>
          <w:rStyle w:val="13"/>
          <w:rFonts w:hint="eastAsia" w:ascii="宋体" w:hAnsi="宋体" w:eastAsia="宋体" w:cs="宋体"/>
          <w:b/>
          <w:bCs/>
          <w:color w:val="auto"/>
          <w:sz w:val="24"/>
          <w:szCs w:val="24"/>
          <w:highlight w:val="none"/>
          <w:lang w:val="zh-CN"/>
        </w:rPr>
      </w:pPr>
      <w:bookmarkStart w:id="23" w:name="_Toc256000015"/>
      <w:r>
        <w:rPr>
          <w:rStyle w:val="13"/>
          <w:rFonts w:hint="eastAsia" w:ascii="宋体" w:hAnsi="宋体" w:eastAsia="宋体" w:cs="宋体"/>
          <w:b/>
          <w:bCs/>
          <w:color w:val="auto"/>
          <w:sz w:val="24"/>
          <w:szCs w:val="24"/>
          <w:highlight w:val="none"/>
          <w:lang w:val="zh-CN"/>
        </w:rPr>
        <w:t>4.招标文件的获取</w:t>
      </w:r>
      <w:bookmarkEnd w:id="18"/>
      <w:bookmarkEnd w:id="19"/>
      <w:bookmarkEnd w:id="20"/>
      <w:bookmarkEnd w:id="21"/>
      <w:bookmarkEnd w:id="22"/>
      <w:bookmarkEnd w:id="23"/>
    </w:p>
    <w:p w14:paraId="17AED85F">
      <w:pPr>
        <w:pStyle w:val="15"/>
        <w:keepNext w:val="0"/>
        <w:keepLines w:val="0"/>
        <w:pageBreakBefore w:val="0"/>
        <w:widowControl w:val="0"/>
        <w:kinsoku/>
        <w:wordWrap w:val="0"/>
        <w:overflowPunct/>
        <w:topLinePunct w:val="0"/>
        <w:autoSpaceDE/>
        <w:autoSpaceDN/>
        <w:bidi w:val="0"/>
        <w:adjustRightInd/>
        <w:snapToGrid/>
        <w:spacing w:line="430" w:lineRule="exact"/>
        <w:ind w:firstLine="420" w:firstLineChars="200"/>
        <w:textAlignment w:val="auto"/>
        <w:rPr>
          <w:rStyle w:val="13"/>
          <w:rFonts w:hint="eastAsia" w:ascii="宋体" w:hAnsi="宋体" w:eastAsia="宋体" w:cs="宋体"/>
          <w:color w:val="auto"/>
          <w:szCs w:val="21"/>
          <w:highlight w:val="none"/>
          <w:lang w:val="zh-CN"/>
        </w:rPr>
      </w:pPr>
      <w:bookmarkStart w:id="24" w:name="_Toc256000032"/>
      <w:bookmarkStart w:id="25" w:name="_Toc510015653"/>
      <w:bookmarkStart w:id="26" w:name="_Toc503235719"/>
      <w:bookmarkStart w:id="27" w:name="_Toc22539"/>
      <w:bookmarkStart w:id="28" w:name="_Toc256000007"/>
      <w:r>
        <w:rPr>
          <w:rStyle w:val="13"/>
          <w:rFonts w:hint="eastAsia" w:ascii="宋体" w:hAnsi="宋体" w:eastAsia="宋体" w:cs="宋体"/>
          <w:color w:val="auto"/>
          <w:szCs w:val="21"/>
          <w:highlight w:val="none"/>
          <w:lang w:val="zh-CN"/>
        </w:rPr>
        <w:t>4.1</w:t>
      </w:r>
      <w:r>
        <w:rPr>
          <w:rStyle w:val="13"/>
          <w:rFonts w:hint="eastAsia" w:ascii="宋体" w:hAnsi="宋体" w:eastAsia="宋体" w:cs="宋体"/>
          <w:color w:val="auto"/>
          <w:szCs w:val="21"/>
          <w:highlight w:val="none"/>
          <w:lang w:val="zh-CN" w:eastAsia="zh-CN"/>
        </w:rPr>
        <w:t>凡有意参加投标者，请登录湖南省公路建设市场信用信息管理系统（网址： http://218.76.40.80:8000/gljs）中注册、完善、公开本单位信息（详见湖南省交通运输厅《关于进一步规范湖南省公路建设市场信用信息管理系统企业信息录入及审核工作的通知》（湘交函〔2021〕116 号）办理），并在湖南省公共资源交易中心办理CA数字证书（具 体 流 程 参 见 网 址 ： https://casig n.hnsggzy.com:7080/ca-hunanplatform/operation/main）。投标人在办理 CA 数字证书时，自行填写利益相关企业，由电子招投标系统根据投标人填写的利益相关企业情况，在网上报名时自动提醒利益相关企业已报名（如利益相关企业报名数超过可投标段数的，自动禁止报名），随机分配标段时自动规避利益相关企业，如因企业未如实填写利益相关企业导致利益相关企业自动分配到同一标段的，按否决其投标处理</w:t>
      </w:r>
      <w:r>
        <w:rPr>
          <w:rStyle w:val="13"/>
          <w:rFonts w:hint="eastAsia" w:ascii="宋体" w:hAnsi="宋体" w:eastAsia="宋体" w:cs="宋体"/>
          <w:color w:val="auto"/>
          <w:szCs w:val="21"/>
          <w:highlight w:val="none"/>
          <w:lang w:val="zh-CN"/>
        </w:rPr>
        <w:t>。</w:t>
      </w:r>
    </w:p>
    <w:p w14:paraId="77A4F9BA">
      <w:pPr>
        <w:pStyle w:val="15"/>
        <w:spacing w:line="430" w:lineRule="exact"/>
        <w:ind w:firstLine="420" w:firstLineChars="200"/>
        <w:rPr>
          <w:rStyle w:val="13"/>
          <w:rFonts w:hint="eastAsia" w:ascii="宋体" w:hAnsi="宋体" w:eastAsia="宋体" w:cs="宋体"/>
          <w:color w:val="auto"/>
          <w:szCs w:val="21"/>
          <w:highlight w:val="none"/>
          <w:lang w:val="zh-CN"/>
        </w:rPr>
      </w:pPr>
      <w:r>
        <w:rPr>
          <w:rStyle w:val="13"/>
          <w:rFonts w:hint="eastAsia" w:ascii="宋体" w:hAnsi="宋体" w:eastAsia="宋体" w:cs="宋体"/>
          <w:color w:val="auto"/>
          <w:szCs w:val="21"/>
          <w:highlight w:val="none"/>
          <w:lang w:val="zh-CN"/>
        </w:rPr>
        <w:t>4.2</w:t>
      </w:r>
      <w:r>
        <w:rPr>
          <w:rStyle w:val="13"/>
          <w:rFonts w:hint="eastAsia" w:ascii="宋体" w:hAnsi="宋体" w:eastAsia="宋体" w:cs="宋体"/>
          <w:color w:val="auto"/>
          <w:szCs w:val="21"/>
          <w:highlight w:val="none"/>
          <w:lang w:val="en-US" w:eastAsia="zh-CN"/>
        </w:rPr>
        <w:t xml:space="preserve"> </w:t>
      </w:r>
      <w:r>
        <w:rPr>
          <w:rStyle w:val="13"/>
          <w:rFonts w:hint="eastAsia" w:ascii="宋体" w:hAnsi="宋体" w:eastAsia="宋体" w:cs="宋体"/>
          <w:color w:val="auto"/>
          <w:szCs w:val="21"/>
          <w:highlight w:val="none"/>
          <w:lang w:val="zh-CN"/>
        </w:rPr>
        <w:t>办理完成CA数字认证后，请于</w:t>
      </w:r>
      <w:r>
        <w:rPr>
          <w:rStyle w:val="13"/>
          <w:rFonts w:hint="eastAsia" w:ascii="宋体" w:hAnsi="宋体" w:eastAsia="宋体" w:cs="宋体"/>
          <w:b/>
          <w:bCs/>
          <w:color w:val="auto"/>
          <w:szCs w:val="21"/>
          <w:highlight w:val="none"/>
          <w:u w:val="single"/>
          <w:lang w:val="en-US" w:eastAsia="zh-CN"/>
        </w:rPr>
        <w:t>2025年6月11日</w:t>
      </w:r>
      <w:r>
        <w:rPr>
          <w:rStyle w:val="13"/>
          <w:rFonts w:hint="eastAsia" w:ascii="宋体" w:hAnsi="宋体" w:eastAsia="宋体" w:cs="宋体"/>
          <w:b/>
          <w:bCs/>
          <w:color w:val="auto"/>
          <w:szCs w:val="21"/>
          <w:highlight w:val="none"/>
          <w:u w:val="single"/>
        </w:rPr>
        <w:t>起至</w:t>
      </w:r>
      <w:r>
        <w:rPr>
          <w:rStyle w:val="13"/>
          <w:rFonts w:hint="eastAsia" w:ascii="宋体" w:hAnsi="宋体" w:eastAsia="宋体" w:cs="宋体"/>
          <w:b/>
          <w:bCs/>
          <w:color w:val="auto"/>
          <w:szCs w:val="21"/>
          <w:highlight w:val="none"/>
          <w:u w:val="single"/>
          <w:lang w:val="en-US" w:eastAsia="zh-CN"/>
        </w:rPr>
        <w:t>2025年7月7日</w:t>
      </w:r>
      <w:r>
        <w:rPr>
          <w:rStyle w:val="13"/>
          <w:rFonts w:hint="eastAsia" w:ascii="宋体" w:hAnsi="宋体" w:eastAsia="宋体" w:cs="宋体"/>
          <w:b/>
          <w:bCs/>
          <w:color w:val="auto"/>
          <w:szCs w:val="21"/>
          <w:highlight w:val="none"/>
          <w:u w:val="single"/>
        </w:rPr>
        <w:t>止</w:t>
      </w:r>
      <w:r>
        <w:rPr>
          <w:rStyle w:val="13"/>
          <w:rFonts w:hint="eastAsia" w:ascii="宋体" w:hAnsi="宋体" w:eastAsia="宋体" w:cs="宋体"/>
          <w:color w:val="auto"/>
          <w:szCs w:val="21"/>
          <w:highlight w:val="none"/>
          <w:lang w:val="zh-CN"/>
        </w:rPr>
        <w:t>（北京时间，下同），通过互联网使用CA数字证书登录湖南省公共资源交易中心进场交易系统（以下简称：“电子交易平台”，网址：http://222.240.80.75/tpbidder），进行报名后下载招标文件、图纸等相关资料，完成报名。联合体投标的，由联合体牵头人完成报名、招标文件等资料下载。</w:t>
      </w:r>
    </w:p>
    <w:p w14:paraId="78F77EB9">
      <w:pPr>
        <w:pStyle w:val="15"/>
        <w:spacing w:line="430" w:lineRule="exact"/>
        <w:ind w:firstLine="420" w:firstLineChars="200"/>
        <w:rPr>
          <w:rStyle w:val="13"/>
          <w:rFonts w:hint="eastAsia" w:ascii="宋体" w:hAnsi="宋体" w:eastAsia="宋体" w:cs="宋体"/>
          <w:color w:val="auto"/>
          <w:szCs w:val="21"/>
          <w:highlight w:val="none"/>
          <w:lang w:val="zh-CN"/>
        </w:rPr>
      </w:pPr>
      <w:r>
        <w:rPr>
          <w:rStyle w:val="13"/>
          <w:rFonts w:hint="eastAsia" w:ascii="宋体" w:hAnsi="宋体" w:eastAsia="宋体" w:cs="宋体"/>
          <w:color w:val="auto"/>
          <w:szCs w:val="21"/>
          <w:highlight w:val="none"/>
          <w:lang w:val="zh-CN"/>
        </w:rPr>
        <w:t>4.3投标人应及时关注网上相关招标信息，如有遗漏招标人概不负责，所造成的投标失败或损失由投标人自行负责。未按规定从湖南省公共资源交易中心进场交易系统下载招标文件的，招标人将拒收其投标。</w:t>
      </w:r>
    </w:p>
    <w:p w14:paraId="5C53E3AC">
      <w:pPr>
        <w:pStyle w:val="15"/>
        <w:spacing w:line="430" w:lineRule="exact"/>
        <w:outlineLvl w:val="1"/>
        <w:rPr>
          <w:rStyle w:val="13"/>
          <w:rFonts w:hint="eastAsia" w:ascii="宋体" w:hAnsi="宋体" w:eastAsia="宋体" w:cs="宋体"/>
          <w:b/>
          <w:bCs/>
          <w:color w:val="auto"/>
          <w:sz w:val="24"/>
          <w:szCs w:val="24"/>
          <w:highlight w:val="none"/>
          <w:lang w:val="zh-CN"/>
        </w:rPr>
      </w:pPr>
      <w:bookmarkStart w:id="29" w:name="_Toc256000038"/>
      <w:r>
        <w:rPr>
          <w:rStyle w:val="13"/>
          <w:rFonts w:hint="eastAsia" w:ascii="宋体" w:hAnsi="宋体" w:eastAsia="宋体" w:cs="宋体"/>
          <w:b/>
          <w:bCs/>
          <w:color w:val="auto"/>
          <w:sz w:val="24"/>
          <w:szCs w:val="24"/>
          <w:highlight w:val="none"/>
          <w:lang w:val="zh-CN"/>
        </w:rPr>
        <w:t>5.投标文件的递交及相关事宜</w:t>
      </w:r>
      <w:bookmarkEnd w:id="24"/>
      <w:bookmarkEnd w:id="25"/>
      <w:bookmarkEnd w:id="26"/>
      <w:bookmarkEnd w:id="27"/>
      <w:bookmarkEnd w:id="28"/>
      <w:bookmarkEnd w:id="29"/>
    </w:p>
    <w:p w14:paraId="3AFBBE54">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5.1招标人不组织工程现场踏勘及投标预备会。</w:t>
      </w:r>
    </w:p>
    <w:p w14:paraId="64AA6F76">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5.2投标文件递交截止时间（投标截止时间，下同）</w:t>
      </w:r>
      <w:r>
        <w:rPr>
          <w:rStyle w:val="13"/>
          <w:rFonts w:hint="eastAsia" w:ascii="宋体" w:hAnsi="宋体" w:eastAsia="宋体" w:cs="宋体"/>
          <w:color w:val="auto"/>
          <w:szCs w:val="24"/>
          <w:highlight w:val="none"/>
          <w:lang w:val="en-US" w:eastAsia="zh-CN"/>
        </w:rPr>
        <w:t>为</w:t>
      </w:r>
      <w:r>
        <w:rPr>
          <w:rStyle w:val="13"/>
          <w:rFonts w:hint="eastAsia" w:ascii="宋体" w:hAnsi="宋体" w:eastAsia="宋体" w:cs="宋体"/>
          <w:b/>
          <w:bCs/>
          <w:color w:val="auto"/>
          <w:kern w:val="2"/>
          <w:sz w:val="21"/>
          <w:szCs w:val="24"/>
          <w:u w:val="single"/>
          <w:lang w:val="en-US" w:eastAsia="zh-CN" w:bidi="ar-SA"/>
        </w:rPr>
        <w:t>2025年7月7日</w:t>
      </w:r>
      <w:r>
        <w:rPr>
          <w:rStyle w:val="13"/>
          <w:rFonts w:hint="eastAsia" w:ascii="宋体" w:hAnsi="宋体" w:eastAsia="宋体" w:cs="宋体"/>
          <w:b/>
          <w:bCs/>
          <w:color w:val="auto"/>
          <w:kern w:val="2"/>
          <w:sz w:val="21"/>
          <w:szCs w:val="24"/>
          <w:u w:val="single"/>
          <w:lang w:val="en-US" w:eastAsia="zh-CN" w:bidi="ar-SA"/>
        </w:rPr>
        <w:t>9时00分</w:t>
      </w:r>
      <w:r>
        <w:rPr>
          <w:rStyle w:val="13"/>
          <w:rFonts w:hint="eastAsia" w:ascii="宋体" w:hAnsi="宋体" w:eastAsia="宋体" w:cs="宋体"/>
          <w:color w:val="auto"/>
          <w:szCs w:val="24"/>
          <w:highlight w:val="none"/>
        </w:rPr>
        <w:t>。投标文件包括加密的投标文件和不加密的投标文件（U盘或设置密码的压缩文件形式）。投标文件递交的截止时间(投标截止时间，下同)为</w:t>
      </w:r>
      <w:r>
        <w:rPr>
          <w:rStyle w:val="13"/>
          <w:rFonts w:hint="eastAsia" w:ascii="宋体" w:hAnsi="宋体" w:eastAsia="宋体" w:cs="宋体"/>
          <w:color w:val="auto"/>
          <w:szCs w:val="24"/>
          <w:highlight w:val="none"/>
          <w:lang w:val="en-US" w:eastAsia="zh-CN"/>
        </w:rPr>
        <w:t>为</w:t>
      </w:r>
      <w:r>
        <w:rPr>
          <w:rStyle w:val="13"/>
          <w:rFonts w:hint="eastAsia" w:ascii="宋体" w:hAnsi="宋体" w:eastAsia="宋体" w:cs="宋体"/>
          <w:b/>
          <w:bCs/>
          <w:color w:val="auto"/>
          <w:kern w:val="2"/>
          <w:sz w:val="21"/>
          <w:szCs w:val="24"/>
          <w:u w:val="single"/>
          <w:lang w:val="en-US" w:eastAsia="zh-CN" w:bidi="ar-SA"/>
        </w:rPr>
        <w:t>2025年7月7日</w:t>
      </w:r>
      <w:r>
        <w:rPr>
          <w:rStyle w:val="13"/>
          <w:rFonts w:hint="eastAsia" w:ascii="宋体" w:hAnsi="宋体" w:eastAsia="宋体" w:cs="宋体"/>
          <w:b/>
          <w:bCs/>
          <w:color w:val="auto"/>
          <w:kern w:val="2"/>
          <w:sz w:val="21"/>
          <w:szCs w:val="24"/>
          <w:u w:val="single"/>
          <w:lang w:val="en-US" w:eastAsia="zh-CN" w:bidi="ar-SA"/>
        </w:rPr>
        <w:t>9时00分</w:t>
      </w:r>
      <w:r>
        <w:rPr>
          <w:rStyle w:val="13"/>
          <w:rFonts w:hint="eastAsia" w:ascii="宋体" w:hAnsi="宋体" w:eastAsia="宋体" w:cs="宋体"/>
          <w:color w:val="auto"/>
          <w:szCs w:val="24"/>
          <w:highlight w:val="none"/>
        </w:rPr>
        <w:t>,投标人应当在投标截止时间前，按下列两种方式同时递交投标文件：</w:t>
      </w:r>
    </w:p>
    <w:p w14:paraId="4203B5E6">
      <w:pPr>
        <w:pStyle w:val="15"/>
        <w:spacing w:line="430" w:lineRule="exact"/>
        <w:ind w:firstLine="420" w:firstLineChars="200"/>
        <w:rPr>
          <w:rStyle w:val="13"/>
          <w:rFonts w:hint="eastAsia" w:ascii="宋体" w:hAnsi="宋体" w:eastAsia="宋体" w:cs="宋体"/>
          <w:b w:val="0"/>
          <w:bCs w:val="0"/>
          <w:color w:val="auto"/>
          <w:szCs w:val="24"/>
          <w:highlight w:val="none"/>
        </w:rPr>
      </w:pPr>
      <w:r>
        <w:rPr>
          <w:rStyle w:val="13"/>
          <w:rFonts w:hint="eastAsia" w:ascii="宋体" w:hAnsi="宋体" w:eastAsia="宋体" w:cs="宋体"/>
          <w:color w:val="auto"/>
          <w:szCs w:val="24"/>
          <w:highlight w:val="none"/>
        </w:rPr>
        <w:t>网上递交：投标人应当在投标截止时间前，通过互联网使用CA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w:t>
      </w:r>
      <w:r>
        <w:rPr>
          <w:rStyle w:val="13"/>
          <w:rFonts w:hint="eastAsia" w:ascii="宋体" w:hAnsi="宋体" w:eastAsia="宋体" w:cs="宋体"/>
          <w:b w:val="0"/>
          <w:bCs w:val="0"/>
          <w:color w:val="auto"/>
          <w:szCs w:val="24"/>
          <w:highlight w:val="none"/>
        </w:rPr>
        <w:t>的投标文件，招标人不予接收。</w:t>
      </w:r>
    </w:p>
    <w:p w14:paraId="65332E6F">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原件等资料送达：</w:t>
      </w:r>
      <w:r>
        <w:rPr>
          <w:rStyle w:val="13"/>
          <w:rFonts w:hint="eastAsia" w:ascii="宋体" w:hAnsi="宋体" w:eastAsia="宋体" w:cs="宋体"/>
          <w:b/>
          <w:bCs/>
          <w:color w:val="auto"/>
          <w:szCs w:val="24"/>
          <w:highlight w:val="none"/>
        </w:rPr>
        <w:t>湖南省公共资源交易中心已全面启动</w:t>
      </w:r>
      <w:r>
        <w:rPr>
          <w:rStyle w:val="13"/>
          <w:rFonts w:hint="eastAsia" w:ascii="宋体" w:hAnsi="宋体" w:eastAsia="宋体" w:cs="宋体"/>
          <w:b/>
          <w:bCs/>
          <w:color w:val="auto"/>
          <w:szCs w:val="24"/>
          <w:highlight w:val="none"/>
          <w:lang w:val="en-US" w:eastAsia="zh-CN"/>
        </w:rPr>
        <w:t>全流程</w:t>
      </w:r>
      <w:r>
        <w:rPr>
          <w:rStyle w:val="13"/>
          <w:rFonts w:hint="eastAsia" w:ascii="宋体" w:hAnsi="宋体" w:eastAsia="宋体" w:cs="宋体"/>
          <w:b/>
          <w:bCs/>
          <w:color w:val="auto"/>
          <w:szCs w:val="24"/>
          <w:highlight w:val="none"/>
        </w:rPr>
        <w:t>电子化开评标系统</w:t>
      </w:r>
      <w:r>
        <w:rPr>
          <w:rStyle w:val="13"/>
          <w:rFonts w:hint="eastAsia" w:ascii="宋体" w:hAnsi="宋体" w:eastAsia="宋体" w:cs="宋体"/>
          <w:b/>
          <w:bCs/>
          <w:color w:val="auto"/>
          <w:szCs w:val="24"/>
          <w:highlight w:val="none"/>
          <w:lang w:eastAsia="zh-CN"/>
        </w:rPr>
        <w:t>，</w:t>
      </w:r>
      <w:r>
        <w:rPr>
          <w:rStyle w:val="13"/>
          <w:rFonts w:hint="eastAsia" w:ascii="宋体" w:hAnsi="宋体" w:eastAsia="宋体" w:cs="宋体"/>
          <w:b/>
          <w:bCs/>
          <w:color w:val="auto"/>
          <w:szCs w:val="24"/>
          <w:highlight w:val="none"/>
        </w:rPr>
        <w:t>本次招标实行网上解密和</w:t>
      </w:r>
      <w:r>
        <w:rPr>
          <w:rStyle w:val="13"/>
          <w:rFonts w:hint="eastAsia" w:ascii="宋体" w:hAnsi="宋体" w:eastAsia="宋体" w:cs="宋体"/>
          <w:b/>
          <w:bCs/>
          <w:color w:val="auto"/>
          <w:szCs w:val="24"/>
          <w:highlight w:val="none"/>
          <w:lang w:val="en-US" w:eastAsia="zh-CN"/>
        </w:rPr>
        <w:t>不见面</w:t>
      </w:r>
      <w:r>
        <w:rPr>
          <w:rStyle w:val="13"/>
          <w:rFonts w:hint="eastAsia" w:ascii="宋体" w:hAnsi="宋体" w:eastAsia="宋体" w:cs="宋体"/>
          <w:b/>
          <w:bCs/>
          <w:color w:val="auto"/>
          <w:szCs w:val="24"/>
          <w:highlight w:val="none"/>
        </w:rPr>
        <w:t>开标</w:t>
      </w:r>
      <w:r>
        <w:rPr>
          <w:rStyle w:val="13"/>
          <w:rFonts w:hint="eastAsia" w:ascii="宋体" w:hAnsi="宋体" w:eastAsia="宋体" w:cs="宋体"/>
          <w:b/>
          <w:bCs/>
          <w:color w:val="auto"/>
          <w:szCs w:val="24"/>
          <w:highlight w:val="none"/>
          <w:lang w:eastAsia="zh-CN"/>
        </w:rPr>
        <w:t>。</w:t>
      </w:r>
      <w:r>
        <w:rPr>
          <w:rStyle w:val="13"/>
          <w:rFonts w:hint="eastAsia" w:ascii="宋体" w:hAnsi="宋体" w:eastAsia="宋体" w:cs="宋体"/>
          <w:b/>
          <w:bCs/>
          <w:color w:val="auto"/>
          <w:szCs w:val="24"/>
          <w:highlight w:val="none"/>
        </w:rPr>
        <w:t>不见面开标项目无需</w:t>
      </w:r>
      <w:r>
        <w:rPr>
          <w:rStyle w:val="13"/>
          <w:rFonts w:hint="eastAsia" w:ascii="宋体" w:hAnsi="宋体" w:eastAsia="宋体" w:cs="宋体"/>
          <w:b/>
          <w:bCs/>
          <w:color w:val="auto"/>
          <w:szCs w:val="24"/>
          <w:highlight w:val="none"/>
          <w:lang w:val="en-US" w:eastAsia="zh-CN"/>
        </w:rPr>
        <w:t>投标人</w:t>
      </w:r>
      <w:r>
        <w:rPr>
          <w:rStyle w:val="13"/>
          <w:rFonts w:hint="eastAsia" w:ascii="宋体" w:hAnsi="宋体" w:eastAsia="宋体" w:cs="宋体"/>
          <w:b/>
          <w:bCs/>
          <w:color w:val="auto"/>
          <w:szCs w:val="24"/>
          <w:highlight w:val="none"/>
        </w:rPr>
        <w:t>现场参与，投标人可自行登录“不见面开标大厅”在线解密和收看开标现场</w:t>
      </w:r>
      <w:r>
        <w:rPr>
          <w:rStyle w:val="13"/>
          <w:rFonts w:hint="eastAsia" w:ascii="宋体" w:hAnsi="宋体" w:eastAsia="宋体" w:cs="宋体"/>
          <w:color w:val="auto"/>
          <w:szCs w:val="24"/>
          <w:highlight w:val="none"/>
        </w:rPr>
        <w:t>。开标过程中因招标文件规定的原因导致解密失败时，招标人可在开标现场直接导入投标人在投标截止时间前递交的不加密的投标文件（U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或招标代理机构）签收（以签收时间为准，不含节假日），邮寄地址：邮寄地址：湖南省长沙市雨花区洞井中路411号园康星都荟5栋1405房（联系人：汪女士收，联系电话0731-84215518）。若投标人自愿到达开标现场参加开标活动的，应当在开标当日投标截止时间之前，将不加密的投标文件(投标文件第一信封（商务和技术文件）和投标文件第二信封（报价文件）)（U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CA数字证书、笔记本电脑并自备可靠的网络连接。</w:t>
      </w:r>
    </w:p>
    <w:p w14:paraId="5C774309">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5.3逾期送达的、未送达指定地点的或不按照招标文件要求密封的投标文件，招标人将予以拒收。</w:t>
      </w:r>
    </w:p>
    <w:p w14:paraId="6A7583C5">
      <w:pPr>
        <w:pStyle w:val="15"/>
        <w:spacing w:line="430" w:lineRule="exact"/>
        <w:ind w:firstLine="422" w:firstLineChars="200"/>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5.4 投标保证金的递交：</w:t>
      </w:r>
    </w:p>
    <w:p w14:paraId="572EA7E2">
      <w:pPr>
        <w:pStyle w:val="15"/>
        <w:spacing w:line="430" w:lineRule="exact"/>
        <w:ind w:firstLine="422" w:firstLineChars="200"/>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投标保证金的金额：</w:t>
      </w:r>
      <w:r>
        <w:rPr>
          <w:rStyle w:val="13"/>
          <w:rFonts w:hint="eastAsia" w:ascii="宋体" w:hAnsi="宋体" w:eastAsia="宋体" w:cs="宋体"/>
          <w:b/>
          <w:bCs/>
          <w:color w:val="auto"/>
          <w:szCs w:val="24"/>
          <w:highlight w:val="none"/>
          <w:u w:val="single"/>
          <w:lang w:val="en-US" w:eastAsia="zh-CN"/>
        </w:rPr>
        <w:t>10</w:t>
      </w:r>
      <w:r>
        <w:rPr>
          <w:rStyle w:val="13"/>
          <w:rFonts w:hint="eastAsia" w:ascii="宋体" w:hAnsi="宋体" w:eastAsia="宋体" w:cs="宋体"/>
          <w:b/>
          <w:bCs/>
          <w:color w:val="auto"/>
          <w:szCs w:val="24"/>
          <w:highlight w:val="none"/>
          <w:u w:val="single"/>
        </w:rPr>
        <w:t xml:space="preserve"> </w:t>
      </w:r>
      <w:r>
        <w:rPr>
          <w:rStyle w:val="13"/>
          <w:rFonts w:hint="eastAsia" w:ascii="宋体" w:hAnsi="宋体" w:eastAsia="宋体" w:cs="宋体"/>
          <w:b/>
          <w:bCs/>
          <w:color w:val="auto"/>
          <w:szCs w:val="24"/>
          <w:highlight w:val="none"/>
        </w:rPr>
        <w:t>万元</w:t>
      </w:r>
    </w:p>
    <w:p w14:paraId="14AFF02E">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（1）</w:t>
      </w:r>
      <w:bookmarkStart w:id="30" w:name="_Hlk11941435"/>
      <w:r>
        <w:rPr>
          <w:rStyle w:val="13"/>
          <w:rFonts w:hint="eastAsia" w:ascii="宋体" w:hAnsi="宋体" w:eastAsia="宋体" w:cs="宋体"/>
          <w:color w:val="auto"/>
          <w:szCs w:val="24"/>
          <w:highlight w:val="none"/>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30"/>
      <w:r>
        <w:rPr>
          <w:rStyle w:val="13"/>
          <w:rFonts w:hint="eastAsia" w:ascii="宋体" w:hAnsi="宋体" w:eastAsia="宋体" w:cs="宋体"/>
          <w:color w:val="auto"/>
          <w:szCs w:val="24"/>
          <w:highlight w:val="none"/>
        </w:rPr>
        <w:t>。</w:t>
      </w:r>
    </w:p>
    <w:p w14:paraId="31BBF649">
      <w:pPr>
        <w:pStyle w:val="15"/>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Style w:val="13"/>
          <w:rFonts w:hint="eastAsia" w:ascii="宋体" w:hAnsi="宋体" w:eastAsia="宋体" w:cs="宋体"/>
          <w:color w:val="auto"/>
          <w:szCs w:val="24"/>
          <w:highlight w:val="none"/>
          <w:u w:val="single"/>
          <w:lang w:val="en-US" w:eastAsia="zh-CN"/>
        </w:rPr>
      </w:pPr>
      <w:r>
        <w:rPr>
          <w:rStyle w:val="13"/>
          <w:rFonts w:hint="eastAsia" w:ascii="宋体" w:hAnsi="宋体" w:eastAsia="宋体" w:cs="宋体"/>
          <w:color w:val="auto"/>
          <w:szCs w:val="24"/>
          <w:highlight w:val="none"/>
        </w:rPr>
        <w:t>招标标段：</w:t>
      </w:r>
      <w:r>
        <w:rPr>
          <w:rStyle w:val="13"/>
          <w:rFonts w:hint="eastAsia" w:ascii="宋体" w:hAnsi="宋体" w:eastAsia="宋体" w:cs="宋体"/>
          <w:color w:val="auto"/>
          <w:szCs w:val="24"/>
          <w:highlight w:val="none"/>
          <w:u w:val="single"/>
          <w:lang w:val="en-US" w:eastAsia="zh-CN"/>
        </w:rPr>
        <w:t xml:space="preserve">CRJL2标段 </w:t>
      </w:r>
    </w:p>
    <w:p w14:paraId="310DD476">
      <w:pPr>
        <w:pStyle w:val="15"/>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Style w:val="13"/>
          <w:rFonts w:hint="eastAsia" w:ascii="宋体" w:hAnsi="宋体" w:eastAsia="宋体" w:cs="宋体"/>
          <w:color w:val="auto"/>
          <w:szCs w:val="24"/>
          <w:highlight w:val="none"/>
          <w:u w:val="single"/>
        </w:rPr>
      </w:pPr>
      <w:r>
        <w:rPr>
          <w:rStyle w:val="13"/>
          <w:rFonts w:hint="eastAsia" w:ascii="宋体" w:hAnsi="宋体" w:eastAsia="宋体" w:cs="宋体"/>
          <w:color w:val="auto"/>
          <w:szCs w:val="24"/>
          <w:highlight w:val="none"/>
        </w:rPr>
        <w:t>户    名：</w:t>
      </w:r>
      <w:r>
        <w:rPr>
          <w:rStyle w:val="13"/>
          <w:rFonts w:hint="eastAsia" w:ascii="宋体" w:hAnsi="宋体" w:eastAsia="宋体" w:cs="宋体"/>
          <w:color w:val="auto"/>
          <w:szCs w:val="24"/>
          <w:highlight w:val="none"/>
          <w:u w:val="single"/>
        </w:rPr>
        <w:t>湖南省公共资源交易中心工程建设保证</w:t>
      </w:r>
      <w:r>
        <w:rPr>
          <w:rStyle w:val="13"/>
          <w:rFonts w:hint="eastAsia" w:ascii="宋体" w:hAnsi="宋体" w:eastAsia="宋体" w:cs="宋体"/>
          <w:color w:val="auto"/>
          <w:szCs w:val="24"/>
          <w:highlight w:val="none"/>
        </w:rPr>
        <w:t>户</w:t>
      </w:r>
    </w:p>
    <w:p w14:paraId="02E0BF66">
      <w:pPr>
        <w:pStyle w:val="15"/>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开户银行：</w:t>
      </w:r>
      <w:r>
        <w:rPr>
          <w:rStyle w:val="13"/>
          <w:rFonts w:hint="eastAsia" w:ascii="宋体" w:hAnsi="宋体" w:eastAsia="宋体" w:cs="宋体"/>
          <w:color w:val="auto"/>
          <w:szCs w:val="24"/>
          <w:highlight w:val="none"/>
          <w:u w:val="single"/>
        </w:rPr>
        <w:t>中国农业银行股份有限公司长沙芙蓉区支行</w:t>
      </w:r>
    </w:p>
    <w:p w14:paraId="1CCB7571">
      <w:pPr>
        <w:pStyle w:val="15"/>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Style w:val="13"/>
          <w:rFonts w:hint="eastAsia" w:ascii="宋体" w:hAnsi="宋体" w:eastAsia="宋体" w:cs="宋体"/>
          <w:color w:val="auto"/>
          <w:szCs w:val="24"/>
          <w:highlight w:val="none"/>
          <w:u w:val="single"/>
        </w:rPr>
      </w:pPr>
      <w:r>
        <w:rPr>
          <w:rStyle w:val="13"/>
          <w:rFonts w:hint="eastAsia" w:ascii="宋体" w:hAnsi="宋体" w:eastAsia="宋体" w:cs="宋体"/>
          <w:color w:val="auto"/>
          <w:szCs w:val="24"/>
          <w:highlight w:val="none"/>
        </w:rPr>
        <w:t>账    号：</w:t>
      </w:r>
      <w:r>
        <w:rPr>
          <w:rStyle w:val="13"/>
          <w:rFonts w:hint="eastAsia" w:ascii="宋体" w:hAnsi="宋体" w:eastAsia="宋体" w:cs="宋体"/>
          <w:color w:val="auto"/>
          <w:szCs w:val="24"/>
          <w:highlight w:val="none"/>
          <w:u w:val="single"/>
        </w:rPr>
        <w:t>180619010400118220010001315</w:t>
      </w:r>
    </w:p>
    <w:p w14:paraId="6E5D4D4A">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（2）采用银行保函时，应由投标人开立基本账户的银行出具（联合体投标的，由牵头人开立基本账户的银行出具）保函，与银行查询授权书原件一并在投标截止时间前交招标人。</w:t>
      </w:r>
    </w:p>
    <w:p w14:paraId="3630F4FF">
      <w:pPr>
        <w:pStyle w:val="15"/>
        <w:keepNext w:val="0"/>
        <w:keepLines w:val="0"/>
        <w:pageBreakBefore w:val="0"/>
        <w:widowControl w:val="0"/>
        <w:kinsoku/>
        <w:wordWrap/>
        <w:overflowPunct/>
        <w:topLinePunct w:val="0"/>
        <w:autoSpaceDE/>
        <w:autoSpaceDN/>
        <w:bidi w:val="0"/>
        <w:adjustRightInd/>
        <w:snapToGrid/>
        <w:spacing w:line="400" w:lineRule="exact"/>
        <w:textAlignment w:val="auto"/>
        <w:outlineLvl w:val="1"/>
        <w:rPr>
          <w:rStyle w:val="13"/>
          <w:rFonts w:hint="eastAsia" w:ascii="宋体" w:hAnsi="宋体" w:eastAsia="宋体" w:cs="宋体"/>
          <w:b/>
          <w:bCs/>
          <w:color w:val="auto"/>
          <w:sz w:val="24"/>
          <w:szCs w:val="24"/>
          <w:highlight w:val="none"/>
          <w:lang w:val="zh-CN"/>
        </w:rPr>
      </w:pPr>
      <w:bookmarkStart w:id="31" w:name="_Toc256000008"/>
      <w:bookmarkStart w:id="32" w:name="_Toc256000033"/>
      <w:bookmarkStart w:id="33" w:name="_Toc256000039"/>
      <w:bookmarkStart w:id="34" w:name="_Toc517377022"/>
      <w:bookmarkStart w:id="35" w:name="_Toc18275"/>
      <w:r>
        <w:rPr>
          <w:rStyle w:val="13"/>
          <w:rFonts w:hint="eastAsia" w:ascii="宋体" w:hAnsi="宋体" w:eastAsia="宋体" w:cs="宋体"/>
          <w:b/>
          <w:bCs/>
          <w:color w:val="auto"/>
          <w:sz w:val="24"/>
          <w:szCs w:val="24"/>
          <w:highlight w:val="none"/>
          <w:lang w:val="zh-CN"/>
        </w:rPr>
        <w:t>6．评标办法</w:t>
      </w:r>
      <w:bookmarkEnd w:id="31"/>
      <w:bookmarkEnd w:id="32"/>
      <w:bookmarkEnd w:id="33"/>
      <w:bookmarkEnd w:id="34"/>
      <w:bookmarkEnd w:id="35"/>
    </w:p>
    <w:p w14:paraId="1E1E8B96">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本项目评标办法采用</w:t>
      </w:r>
      <w:r>
        <w:rPr>
          <w:rStyle w:val="13"/>
          <w:rFonts w:hint="eastAsia" w:ascii="宋体" w:hAnsi="宋体" w:eastAsia="宋体" w:cs="宋体"/>
          <w:b/>
          <w:bCs/>
          <w:color w:val="auto"/>
          <w:szCs w:val="24"/>
          <w:highlight w:val="none"/>
        </w:rPr>
        <w:t>综合评估法</w:t>
      </w:r>
      <w:r>
        <w:rPr>
          <w:rStyle w:val="13"/>
          <w:rFonts w:hint="eastAsia" w:ascii="宋体" w:hAnsi="宋体" w:eastAsia="宋体" w:cs="宋体"/>
          <w:color w:val="auto"/>
          <w:szCs w:val="24"/>
          <w:highlight w:val="none"/>
        </w:rPr>
        <w:t>。</w:t>
      </w:r>
    </w:p>
    <w:p w14:paraId="19FFA9D0">
      <w:pPr>
        <w:pStyle w:val="15"/>
        <w:keepNext w:val="0"/>
        <w:keepLines w:val="0"/>
        <w:pageBreakBefore w:val="0"/>
        <w:widowControl w:val="0"/>
        <w:kinsoku/>
        <w:wordWrap/>
        <w:overflowPunct/>
        <w:topLinePunct w:val="0"/>
        <w:autoSpaceDE/>
        <w:autoSpaceDN/>
        <w:bidi w:val="0"/>
        <w:adjustRightInd/>
        <w:snapToGrid/>
        <w:spacing w:line="400" w:lineRule="exact"/>
        <w:textAlignment w:val="auto"/>
        <w:outlineLvl w:val="1"/>
        <w:rPr>
          <w:rStyle w:val="13"/>
          <w:rFonts w:hint="eastAsia" w:ascii="宋体" w:hAnsi="宋体" w:eastAsia="宋体" w:cs="宋体"/>
          <w:b/>
          <w:bCs/>
          <w:color w:val="auto"/>
          <w:sz w:val="24"/>
          <w:szCs w:val="24"/>
          <w:highlight w:val="none"/>
        </w:rPr>
      </w:pPr>
      <w:bookmarkStart w:id="36" w:name="_Toc256000040"/>
      <w:bookmarkStart w:id="37" w:name="_Toc256000034"/>
      <w:bookmarkStart w:id="38" w:name="_Toc510015654"/>
      <w:bookmarkStart w:id="39" w:name="_Toc5059"/>
      <w:bookmarkStart w:id="40" w:name="_Toc256000009"/>
      <w:bookmarkStart w:id="41" w:name="_Toc503235720"/>
      <w:r>
        <w:rPr>
          <w:rStyle w:val="13"/>
          <w:rFonts w:hint="eastAsia" w:ascii="宋体" w:hAnsi="宋体" w:eastAsia="宋体" w:cs="宋体"/>
          <w:b/>
          <w:bCs/>
          <w:color w:val="auto"/>
          <w:sz w:val="24"/>
          <w:szCs w:val="24"/>
          <w:highlight w:val="none"/>
        </w:rPr>
        <w:t xml:space="preserve">7. </w:t>
      </w:r>
      <w:r>
        <w:rPr>
          <w:rStyle w:val="13"/>
          <w:rFonts w:hint="eastAsia" w:ascii="宋体" w:hAnsi="宋体" w:eastAsia="宋体" w:cs="宋体"/>
          <w:b/>
          <w:bCs/>
          <w:color w:val="auto"/>
          <w:sz w:val="24"/>
          <w:szCs w:val="24"/>
          <w:highlight w:val="none"/>
          <w:lang w:val="zh-CN"/>
        </w:rPr>
        <w:t>发布公告的媒介</w:t>
      </w:r>
      <w:bookmarkEnd w:id="36"/>
      <w:bookmarkEnd w:id="37"/>
      <w:bookmarkEnd w:id="38"/>
      <w:bookmarkEnd w:id="39"/>
      <w:bookmarkEnd w:id="40"/>
      <w:bookmarkEnd w:id="41"/>
    </w:p>
    <w:p w14:paraId="50C95C47">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Style w:val="13"/>
          <w:rFonts w:hint="eastAsia" w:ascii="宋体" w:hAnsi="宋体" w:eastAsia="宋体" w:cs="宋体"/>
          <w:color w:val="auto"/>
          <w:szCs w:val="24"/>
          <w:highlight w:val="none"/>
        </w:rPr>
      </w:pPr>
      <w:bookmarkStart w:id="42" w:name="_Toc516774588"/>
      <w:bookmarkStart w:id="43" w:name="_Toc9183"/>
      <w:bookmarkStart w:id="44" w:name="_Toc256000035"/>
      <w:bookmarkStart w:id="45" w:name="_Toc256000010"/>
      <w:r>
        <w:rPr>
          <w:rStyle w:val="13"/>
          <w:rFonts w:hint="eastAsia" w:ascii="宋体" w:hAnsi="宋体" w:eastAsia="宋体" w:cs="宋体"/>
          <w:color w:val="auto"/>
          <w:kern w:val="2"/>
          <w:sz w:val="21"/>
          <w:szCs w:val="24"/>
          <w:highlight w:val="none"/>
          <w:lang w:val="zh-CN" w:eastAsia="zh-CN" w:bidi="ar-SA"/>
        </w:rPr>
        <w:t>本次招标公告同时在湖南省招标投标监管网</w:t>
      </w:r>
      <w:r>
        <w:rPr>
          <w:rStyle w:val="13"/>
          <w:rFonts w:hint="eastAsia" w:ascii="宋体" w:hAnsi="宋体" w:eastAsia="宋体" w:cs="宋体"/>
          <w:color w:val="auto"/>
          <w:kern w:val="2"/>
          <w:sz w:val="21"/>
          <w:szCs w:val="24"/>
          <w:highlight w:val="none"/>
          <w:lang w:val="en-US" w:eastAsia="zh-CN" w:bidi="ar-SA"/>
        </w:rPr>
        <w:t>（http://bidding.fgw.hunan.gov.cn/）</w:t>
      </w:r>
      <w:r>
        <w:rPr>
          <w:rStyle w:val="13"/>
          <w:rFonts w:hint="eastAsia" w:ascii="宋体" w:hAnsi="宋体" w:eastAsia="宋体" w:cs="宋体"/>
          <w:color w:val="auto"/>
          <w:kern w:val="2"/>
          <w:sz w:val="21"/>
          <w:szCs w:val="24"/>
          <w:highlight w:val="none"/>
          <w:lang w:val="zh-CN" w:eastAsia="zh-CN" w:bidi="ar-SA"/>
        </w:rPr>
        <w:t>、湖南省交通运输厅网</w:t>
      </w:r>
      <w:r>
        <w:rPr>
          <w:rStyle w:val="13"/>
          <w:rFonts w:hint="eastAsia" w:ascii="宋体" w:hAnsi="宋体" w:eastAsia="宋体" w:cs="宋体"/>
          <w:color w:val="auto"/>
          <w:kern w:val="2"/>
          <w:sz w:val="21"/>
          <w:szCs w:val="24"/>
          <w:highlight w:val="none"/>
          <w:lang w:val="en-US" w:eastAsia="zh-CN" w:bidi="ar-SA"/>
        </w:rPr>
        <w:t>（http://jtt.hunan.gov.cn/）和</w:t>
      </w:r>
      <w:r>
        <w:rPr>
          <w:rStyle w:val="13"/>
          <w:rFonts w:hint="eastAsia" w:ascii="宋体" w:hAnsi="宋体" w:eastAsia="宋体" w:cs="宋体"/>
          <w:color w:val="auto"/>
          <w:kern w:val="2"/>
          <w:sz w:val="21"/>
          <w:szCs w:val="24"/>
          <w:highlight w:val="none"/>
          <w:lang w:val="zh-CN" w:eastAsia="zh-CN" w:bidi="ar-SA"/>
        </w:rPr>
        <w:t>湖南省公共资源交易中心网</w:t>
      </w:r>
      <w:r>
        <w:rPr>
          <w:rStyle w:val="13"/>
          <w:rFonts w:hint="eastAsia" w:ascii="宋体" w:hAnsi="宋体" w:eastAsia="宋体" w:cs="宋体"/>
          <w:color w:val="auto"/>
          <w:kern w:val="2"/>
          <w:sz w:val="21"/>
          <w:szCs w:val="24"/>
          <w:highlight w:val="none"/>
          <w:lang w:val="en-US" w:eastAsia="zh-CN" w:bidi="ar-SA"/>
        </w:rPr>
        <w:t>（http://ggzy.hunan.gov.cn/）</w:t>
      </w:r>
      <w:r>
        <w:rPr>
          <w:rStyle w:val="13"/>
          <w:rFonts w:hint="eastAsia" w:ascii="宋体" w:hAnsi="宋体" w:eastAsia="宋体" w:cs="宋体"/>
          <w:color w:val="auto"/>
          <w:kern w:val="2"/>
          <w:sz w:val="21"/>
          <w:szCs w:val="24"/>
          <w:highlight w:val="none"/>
          <w:lang w:val="zh-CN" w:eastAsia="zh-CN" w:bidi="ar-SA"/>
        </w:rPr>
        <w:t>上发布</w:t>
      </w:r>
      <w:r>
        <w:rPr>
          <w:rStyle w:val="13"/>
          <w:rFonts w:hint="eastAsia" w:ascii="宋体" w:hAnsi="宋体" w:eastAsia="宋体" w:cs="宋体"/>
          <w:color w:val="auto"/>
          <w:szCs w:val="24"/>
          <w:highlight w:val="none"/>
          <w:lang w:val="zh-CN"/>
        </w:rPr>
        <w:t>。</w:t>
      </w:r>
    </w:p>
    <w:p w14:paraId="6D171706">
      <w:pPr>
        <w:pStyle w:val="15"/>
        <w:keepNext w:val="0"/>
        <w:keepLines w:val="0"/>
        <w:pageBreakBefore w:val="0"/>
        <w:widowControl w:val="0"/>
        <w:kinsoku/>
        <w:wordWrap/>
        <w:overflowPunct/>
        <w:topLinePunct w:val="0"/>
        <w:autoSpaceDE/>
        <w:autoSpaceDN/>
        <w:bidi w:val="0"/>
        <w:adjustRightInd/>
        <w:snapToGrid/>
        <w:spacing w:line="400" w:lineRule="exact"/>
        <w:textAlignment w:val="auto"/>
        <w:outlineLvl w:val="1"/>
        <w:rPr>
          <w:rStyle w:val="13"/>
          <w:rFonts w:hint="eastAsia" w:ascii="宋体" w:hAnsi="宋体" w:eastAsia="宋体" w:cs="宋体"/>
          <w:b/>
          <w:bCs/>
          <w:color w:val="auto"/>
          <w:sz w:val="24"/>
          <w:szCs w:val="24"/>
          <w:highlight w:val="none"/>
          <w:lang w:val="zh-CN"/>
        </w:rPr>
      </w:pPr>
      <w:bookmarkStart w:id="46" w:name="_Toc256000041"/>
      <w:r>
        <w:rPr>
          <w:rStyle w:val="13"/>
          <w:rFonts w:hint="eastAsia" w:ascii="宋体" w:hAnsi="宋体" w:eastAsia="宋体" w:cs="宋体"/>
          <w:b/>
          <w:bCs/>
          <w:color w:val="auto"/>
          <w:sz w:val="24"/>
          <w:szCs w:val="24"/>
          <w:highlight w:val="none"/>
          <w:lang w:val="zh-CN"/>
        </w:rPr>
        <w:t>8. 附件</w:t>
      </w:r>
      <w:bookmarkEnd w:id="42"/>
      <w:bookmarkEnd w:id="43"/>
      <w:bookmarkEnd w:id="44"/>
      <w:bookmarkEnd w:id="45"/>
      <w:bookmarkEnd w:id="46"/>
    </w:p>
    <w:p w14:paraId="4DBB46FB">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附件1：资格审查条件要求（详见第二章 投标人须知之附录）</w:t>
      </w:r>
    </w:p>
    <w:p w14:paraId="67855656">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附件2：评标办法(详见第三章 评标办法)</w:t>
      </w:r>
    </w:p>
    <w:p w14:paraId="76E0FC56">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附件3：项目概况</w:t>
      </w:r>
    </w:p>
    <w:p w14:paraId="73366BED">
      <w:pPr>
        <w:pStyle w:val="15"/>
        <w:keepNext w:val="0"/>
        <w:keepLines w:val="0"/>
        <w:pageBreakBefore w:val="0"/>
        <w:widowControl w:val="0"/>
        <w:kinsoku/>
        <w:wordWrap/>
        <w:overflowPunct/>
        <w:topLinePunct w:val="0"/>
        <w:autoSpaceDE/>
        <w:autoSpaceDN/>
        <w:bidi w:val="0"/>
        <w:adjustRightInd/>
        <w:snapToGrid/>
        <w:spacing w:line="400" w:lineRule="exact"/>
        <w:textAlignment w:val="auto"/>
        <w:outlineLvl w:val="1"/>
        <w:rPr>
          <w:rStyle w:val="13"/>
          <w:rFonts w:hint="eastAsia" w:ascii="宋体" w:hAnsi="宋体" w:eastAsia="宋体" w:cs="宋体"/>
          <w:b/>
          <w:bCs/>
          <w:color w:val="auto"/>
          <w:sz w:val="24"/>
          <w:szCs w:val="24"/>
          <w:highlight w:val="none"/>
          <w:lang w:val="zh-CN"/>
        </w:rPr>
      </w:pPr>
      <w:bookmarkStart w:id="47" w:name="_Toc1669"/>
      <w:bookmarkStart w:id="48" w:name="_Toc256000036"/>
      <w:bookmarkStart w:id="49" w:name="_Toc256000011"/>
      <w:bookmarkStart w:id="50" w:name="_Toc256000042"/>
      <w:bookmarkStart w:id="51" w:name="_Toc510015655"/>
      <w:bookmarkStart w:id="52" w:name="_Toc503235721"/>
      <w:r>
        <w:rPr>
          <w:rStyle w:val="13"/>
          <w:rFonts w:hint="eastAsia" w:ascii="宋体" w:hAnsi="宋体" w:eastAsia="宋体" w:cs="宋体"/>
          <w:b/>
          <w:bCs/>
          <w:color w:val="auto"/>
          <w:sz w:val="24"/>
          <w:szCs w:val="24"/>
          <w:highlight w:val="none"/>
          <w:lang w:val="zh-CN"/>
        </w:rPr>
        <w:t>9. 联系方式</w:t>
      </w:r>
      <w:bookmarkEnd w:id="47"/>
      <w:bookmarkEnd w:id="48"/>
      <w:bookmarkEnd w:id="49"/>
      <w:bookmarkEnd w:id="50"/>
      <w:bookmarkEnd w:id="51"/>
      <w:bookmarkEnd w:id="52"/>
    </w:p>
    <w:p w14:paraId="0E7687D8">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招标人：湖南省茶江高速公路建设开发有限公司</w:t>
      </w:r>
    </w:p>
    <w:p w14:paraId="3EA95D7C">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地   址：湖南省长沙市望城区铜官街道何桥村芙蓉北路168号湖南省茶江高速公路建设开发有限公司</w:t>
      </w:r>
    </w:p>
    <w:p w14:paraId="419E0827">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联系人：</w:t>
      </w:r>
      <w:r>
        <w:rPr>
          <w:rStyle w:val="13"/>
          <w:rFonts w:hint="eastAsia" w:ascii="宋体" w:hAnsi="宋体" w:eastAsia="宋体" w:cs="宋体"/>
          <w:color w:val="auto"/>
          <w:szCs w:val="24"/>
          <w:highlight w:val="none"/>
          <w:lang w:val="en-US" w:eastAsia="zh-CN"/>
        </w:rPr>
        <w:t>左</w:t>
      </w:r>
      <w:r>
        <w:rPr>
          <w:rStyle w:val="13"/>
          <w:rFonts w:hint="eastAsia" w:ascii="宋体" w:hAnsi="宋体" w:eastAsia="宋体" w:cs="宋体"/>
          <w:color w:val="auto"/>
          <w:szCs w:val="24"/>
          <w:highlight w:val="none"/>
        </w:rPr>
        <w:t>先生</w:t>
      </w:r>
    </w:p>
    <w:p w14:paraId="706821BD">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lang w:val="en-US" w:eastAsia="zh-CN"/>
        </w:rPr>
      </w:pPr>
      <w:r>
        <w:rPr>
          <w:rStyle w:val="13"/>
          <w:rFonts w:hint="eastAsia" w:ascii="宋体" w:hAnsi="宋体" w:eastAsia="宋体" w:cs="宋体"/>
          <w:color w:val="auto"/>
          <w:szCs w:val="24"/>
          <w:highlight w:val="none"/>
        </w:rPr>
        <w:t>电    话：</w:t>
      </w:r>
      <w:r>
        <w:rPr>
          <w:rStyle w:val="13"/>
          <w:rFonts w:hint="eastAsia" w:ascii="宋体" w:hAnsi="宋体" w:eastAsia="宋体" w:cs="宋体"/>
          <w:color w:val="auto"/>
          <w:szCs w:val="24"/>
          <w:highlight w:val="none"/>
          <w:lang w:val="en-US" w:eastAsia="zh-CN"/>
        </w:rPr>
        <w:t>18175173835</w:t>
      </w:r>
    </w:p>
    <w:p w14:paraId="22BCEAD8">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招标代理机构：北京江河润泽工程管理咨询有限公司</w:t>
      </w:r>
    </w:p>
    <w:p w14:paraId="7432488F">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地址：湖南省长沙市雨花区洞井中路411号园康星都荟写字楼14楼</w:t>
      </w:r>
    </w:p>
    <w:p w14:paraId="5D236ACE">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邮编：410004</w:t>
      </w:r>
      <w:r>
        <w:rPr>
          <w:rStyle w:val="13"/>
          <w:rFonts w:hint="eastAsia" w:ascii="宋体" w:hAnsi="宋体" w:eastAsia="宋体" w:cs="宋体"/>
          <w:color w:val="auto"/>
          <w:szCs w:val="24"/>
          <w:highlight w:val="none"/>
        </w:rPr>
        <w:tab/>
      </w:r>
    </w:p>
    <w:p w14:paraId="28F82ABC">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lang w:val="en-US" w:eastAsia="zh-CN"/>
        </w:rPr>
      </w:pPr>
      <w:r>
        <w:rPr>
          <w:rStyle w:val="13"/>
          <w:rFonts w:hint="eastAsia" w:ascii="宋体" w:hAnsi="宋体" w:eastAsia="宋体" w:cs="宋体"/>
          <w:color w:val="auto"/>
          <w:szCs w:val="24"/>
          <w:highlight w:val="none"/>
          <w:lang w:val="en-US" w:eastAsia="zh-CN"/>
        </w:rPr>
        <w:t>项目负责人：刘娅</w:t>
      </w:r>
    </w:p>
    <w:p w14:paraId="3AB9B7FB">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lang w:val="en-US" w:eastAsia="zh-CN"/>
        </w:rPr>
      </w:pPr>
      <w:r>
        <w:rPr>
          <w:rStyle w:val="13"/>
          <w:rFonts w:hint="eastAsia" w:ascii="宋体" w:hAnsi="宋体" w:eastAsia="宋体" w:cs="宋体"/>
          <w:color w:val="auto"/>
          <w:szCs w:val="24"/>
          <w:highlight w:val="none"/>
        </w:rPr>
        <w:t>联系人：刘</w:t>
      </w:r>
      <w:r>
        <w:rPr>
          <w:rStyle w:val="13"/>
          <w:rFonts w:hint="eastAsia" w:ascii="宋体" w:hAnsi="宋体" w:eastAsia="宋体" w:cs="宋体"/>
          <w:color w:val="auto"/>
          <w:szCs w:val="24"/>
          <w:highlight w:val="none"/>
          <w:lang w:val="en-US" w:eastAsia="zh-CN"/>
        </w:rPr>
        <w:t>女士、汪女士</w:t>
      </w:r>
    </w:p>
    <w:p w14:paraId="58705491">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电话：0731-84215518</w:t>
      </w:r>
    </w:p>
    <w:p w14:paraId="1F5DD679">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传真：0731-84215518</w:t>
      </w:r>
    </w:p>
    <w:p w14:paraId="6C5B3815">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电子邮件：1575435456@qq.com</w:t>
      </w:r>
    </w:p>
    <w:p w14:paraId="0CEC7D21">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监督部门：湖南省交通运输厅</w:t>
      </w:r>
    </w:p>
    <w:p w14:paraId="26CDE147">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地  址：长沙市湘府西路199号</w:t>
      </w:r>
    </w:p>
    <w:p w14:paraId="621BB63F">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电  话：0731-8877009</w:t>
      </w:r>
      <w:r>
        <w:rPr>
          <w:rStyle w:val="13"/>
          <w:rFonts w:hint="eastAsia" w:ascii="宋体" w:hAnsi="宋体" w:eastAsia="宋体" w:cs="宋体"/>
          <w:color w:val="auto"/>
          <w:szCs w:val="24"/>
          <w:highlight w:val="none"/>
          <w:lang w:val="en-US" w:eastAsia="zh-CN"/>
        </w:rPr>
        <w:t>2</w:t>
      </w:r>
      <w:r>
        <w:rPr>
          <w:rStyle w:val="13"/>
          <w:rFonts w:hint="eastAsia" w:ascii="宋体" w:hAnsi="宋体" w:eastAsia="宋体" w:cs="宋体"/>
          <w:color w:val="auto"/>
          <w:szCs w:val="24"/>
          <w:highlight w:val="none"/>
        </w:rPr>
        <w:t>（基本建设处）</w:t>
      </w:r>
    </w:p>
    <w:p w14:paraId="3EED8E4B">
      <w:pPr>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 xml:space="preserve">邮  编：410000 </w:t>
      </w:r>
    </w:p>
    <w:p w14:paraId="0C965FE8">
      <w:pPr>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br w:type="page"/>
      </w:r>
    </w:p>
    <w:p w14:paraId="0B6BFD9F">
      <w:pPr>
        <w:pStyle w:val="2"/>
        <w:rPr>
          <w:rFonts w:hint="eastAsia" w:ascii="宋体" w:hAnsi="宋体" w:eastAsia="宋体" w:cs="宋体"/>
          <w:color w:val="auto"/>
          <w:sz w:val="28"/>
          <w:szCs w:val="28"/>
          <w:highlight w:val="white"/>
        </w:rPr>
      </w:pPr>
      <w:bookmarkStart w:id="53" w:name="_Toc510015669"/>
      <w:bookmarkStart w:id="54" w:name="_Toc234832863"/>
      <w:bookmarkStart w:id="55" w:name="_Toc17366007"/>
      <w:r>
        <w:rPr>
          <w:rStyle w:val="13"/>
          <w:rFonts w:hint="eastAsia" w:ascii="宋体" w:hAnsi="宋体" w:eastAsia="宋体" w:cs="宋体"/>
          <w:color w:val="auto"/>
          <w:sz w:val="28"/>
          <w:szCs w:val="28"/>
          <w:highlight w:val="none"/>
        </w:rPr>
        <w:t>附件1：资格审查条件要求</w:t>
      </w:r>
    </w:p>
    <w:p w14:paraId="2C9112CF">
      <w:pPr>
        <w:pStyle w:val="2"/>
        <w:rPr>
          <w:rFonts w:hint="eastAsia" w:ascii="宋体" w:hAnsi="宋体" w:eastAsia="宋体" w:cs="宋体"/>
          <w:color w:val="auto"/>
          <w:lang w:eastAsia="zh-CN"/>
        </w:rPr>
      </w:pPr>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1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资质最低要求</w:t>
      </w:r>
      <w:r>
        <w:rPr>
          <w:rFonts w:hint="eastAsia" w:ascii="宋体" w:hAnsi="宋体" w:eastAsia="宋体" w:cs="宋体"/>
          <w:color w:val="auto"/>
          <w:sz w:val="28"/>
          <w:szCs w:val="28"/>
          <w:highlight w:val="white"/>
          <w:lang w:eastAsia="zh-CN"/>
        </w:rPr>
        <w:t>）</w:t>
      </w:r>
      <w:bookmarkEnd w:id="53"/>
      <w:bookmarkEnd w:id="54"/>
      <w:bookmarkEnd w:id="55"/>
      <w:r>
        <w:rPr>
          <w:rStyle w:val="14"/>
          <w:rFonts w:hint="eastAsia" w:ascii="宋体" w:hAnsi="宋体" w:eastAsia="宋体" w:cs="宋体"/>
          <w:color w:val="auto"/>
          <w:sz w:val="28"/>
          <w:szCs w:val="28"/>
          <w:highlight w:val="white"/>
          <w:lang w:eastAsia="zh-CN"/>
        </w:rPr>
        <w:t>1</w:t>
      </w:r>
    </w:p>
    <w:tbl>
      <w:tblPr>
        <w:tblStyle w:val="12"/>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8"/>
      </w:tblGrid>
      <w:tr w14:paraId="1438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36D786F3">
            <w:pPr>
              <w:widowControl w:val="0"/>
              <w:adjustRightInd w:val="0"/>
              <w:snapToGrid w:val="0"/>
              <w:spacing w:line="40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监理企业资质等级要求</w:t>
            </w:r>
          </w:p>
        </w:tc>
      </w:tr>
      <w:tr w14:paraId="634F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601C3357">
            <w:pPr>
              <w:widowControl w:val="0"/>
              <w:adjustRightInd w:val="0"/>
              <w:snapToGrid w:val="0"/>
              <w:spacing w:line="400" w:lineRule="atLeast"/>
              <w:jc w:val="both"/>
              <w:rPr>
                <w:rFonts w:hint="eastAsia" w:ascii="宋体" w:hAnsi="宋体" w:eastAsia="宋体" w:cs="宋体"/>
                <w:color w:val="auto"/>
                <w:kern w:val="2"/>
                <w:sz w:val="21"/>
                <w:szCs w:val="21"/>
                <w:highlight w:val="green"/>
                <w:lang w:val="en-US" w:eastAsia="zh-CN" w:bidi="ar-SA"/>
              </w:rPr>
            </w:pPr>
            <w:bookmarkStart w:id="56" w:name="EB36c7e3bde2fb4dab816fcd2162d3a731"/>
            <w:r>
              <w:rPr>
                <w:rFonts w:hint="eastAsia" w:ascii="宋体" w:hAnsi="宋体" w:eastAsia="宋体" w:cs="宋体"/>
                <w:color w:val="auto"/>
                <w:kern w:val="2"/>
                <w:sz w:val="21"/>
                <w:szCs w:val="21"/>
                <w:highlight w:val="white"/>
                <w:lang w:val="en-US" w:eastAsia="zh-CN" w:bidi="ar-SA"/>
              </w:rPr>
              <w:t>CRJL2标：</w:t>
            </w:r>
          </w:p>
          <w:p w14:paraId="3C90E5F5">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1、具有独立法人资格，持有工商行政管理部门核发的有效的营业执照；                       </w:t>
            </w:r>
          </w:p>
          <w:p w14:paraId="3755833D">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2、具有交通运输主管部门颁发的公路工程甲级监理资质且资质证书处于有效期。</w:t>
            </w:r>
          </w:p>
          <w:p w14:paraId="58C43ABC">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p>
          <w:p w14:paraId="7DA90562">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备注：                       </w:t>
            </w:r>
          </w:p>
          <w:p w14:paraId="3DB8CF7D">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1.投标人应根据招标文件第二章“投标人须知”第3.5.1项的要求在“投标人基本情况表”后附相关证明材料。其中持有公路工程监理资质的单位应提供“全国公路建设市场监督管理系统”（网址：https://hwdms.mot.gov.cn/BMWebSite/）”中的公路工程施工监理资质企业名录网页截图；持有住建部门颁发的监理资质的单位应提供“湖南省智慧住建云—湖南省建筑市场监管公共服务平台”或者“全国建筑市场监管公共服务平台”资质查询网页截图。</w:t>
            </w:r>
          </w:p>
          <w:p w14:paraId="115AC74D">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2.评标时将通过交通运输部“全国公路建设市场监督管理系统”中的公路工程施工监理资质企业名录和“湖南省智慧住建云—湖南省建筑市场监管公共服务平台”或者“全国建筑市场监管公共服务平台”，对投标人的监理资质进行核实确认。</w:t>
            </w:r>
            <w:bookmarkEnd w:id="56"/>
          </w:p>
        </w:tc>
      </w:tr>
    </w:tbl>
    <w:p w14:paraId="19CC1E2B">
      <w:pPr>
        <w:adjustRightInd w:val="0"/>
        <w:snapToGrid w:val="0"/>
        <w:spacing w:line="300" w:lineRule="exact"/>
        <w:rPr>
          <w:rFonts w:hint="eastAsia" w:ascii="宋体" w:hAnsi="宋体" w:eastAsia="宋体" w:cs="宋体"/>
          <w:b/>
          <w:color w:val="auto"/>
          <w:sz w:val="20"/>
          <w:highlight w:val="cyan"/>
        </w:rPr>
      </w:pPr>
      <w:bookmarkStart w:id="57" w:name="EB844d9da55a754f33991ae8ed8f459a04"/>
      <w:r>
        <w:rPr>
          <w:rFonts w:hint="eastAsia" w:ascii="宋体" w:hAnsi="宋体" w:eastAsia="宋体" w:cs="宋体"/>
          <w:b/>
          <w:color w:val="auto"/>
          <w:sz w:val="20"/>
          <w:highlight w:val="white"/>
        </w:rPr>
        <w:t xml:space="preserve"> </w:t>
      </w:r>
      <w:bookmarkEnd w:id="57"/>
      <w:bookmarkStart w:id="58" w:name="_Toc510015670"/>
      <w:bookmarkStart w:id="59" w:name="_Toc234832865"/>
      <w:bookmarkStart w:id="60" w:name="_Toc17366008"/>
    </w:p>
    <w:p w14:paraId="21D54D66">
      <w:pPr>
        <w:adjustRightInd w:val="0"/>
        <w:snapToGrid w:val="0"/>
        <w:spacing w:line="300" w:lineRule="exact"/>
        <w:rPr>
          <w:rFonts w:hint="eastAsia" w:ascii="宋体" w:hAnsi="宋体" w:eastAsia="宋体" w:cs="宋体"/>
          <w:color w:val="auto"/>
          <w:highlight w:val="yellow"/>
        </w:rPr>
      </w:pPr>
      <w:r>
        <w:rPr>
          <w:rFonts w:hint="eastAsia" w:ascii="宋体" w:hAnsi="宋体" w:eastAsia="宋体" w:cs="宋体"/>
          <w:color w:val="auto"/>
          <w:highlight w:val="white"/>
        </w:rPr>
        <w:br w:type="page"/>
      </w:r>
      <w:bookmarkStart w:id="61" w:name="EBeb88fa050b8d4e9b941ed0e2b33f6c04"/>
      <w:r>
        <w:rPr>
          <w:rFonts w:hint="eastAsia" w:ascii="宋体" w:hAnsi="宋体" w:eastAsia="宋体" w:cs="宋体"/>
          <w:color w:val="auto"/>
          <w:sz w:val="20"/>
          <w:highlight w:val="white"/>
        </w:rPr>
        <w:t xml:space="preserve"> </w:t>
      </w:r>
      <w:bookmarkEnd w:id="61"/>
      <w:bookmarkStart w:id="62" w:name="EBec42d049e0bc4865aaa6664123b1a8fa"/>
      <w:r>
        <w:rPr>
          <w:rFonts w:hint="eastAsia" w:ascii="宋体" w:hAnsi="宋体" w:eastAsia="宋体" w:cs="宋体"/>
          <w:color w:val="auto"/>
          <w:sz w:val="20"/>
          <w:highlight w:val="white"/>
        </w:rPr>
        <w:t xml:space="preserve"> </w:t>
      </w:r>
      <w:bookmarkEnd w:id="62"/>
    </w:p>
    <w:p w14:paraId="2EFC005B">
      <w:pPr>
        <w:pStyle w:val="2"/>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2 </w:t>
      </w:r>
      <w:r>
        <w:rPr>
          <w:rFonts w:hint="eastAsia" w:ascii="宋体" w:hAnsi="宋体" w:eastAsia="宋体" w:cs="宋体"/>
          <w:color w:val="auto"/>
          <w:sz w:val="28"/>
          <w:szCs w:val="28"/>
          <w:highlight w:val="white"/>
          <w:lang w:eastAsia="zh-CN"/>
        </w:rPr>
        <w:t xml:space="preserve">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业绩最低要求</w:t>
      </w:r>
      <w:r>
        <w:rPr>
          <w:rFonts w:hint="eastAsia" w:ascii="宋体" w:hAnsi="宋体" w:eastAsia="宋体" w:cs="宋体"/>
          <w:color w:val="auto"/>
          <w:sz w:val="28"/>
          <w:szCs w:val="28"/>
          <w:highlight w:val="white"/>
          <w:lang w:eastAsia="zh-CN"/>
        </w:rPr>
        <w:t>）</w:t>
      </w:r>
      <w:bookmarkEnd w:id="58"/>
      <w:bookmarkEnd w:id="59"/>
      <w:bookmarkEnd w:id="60"/>
      <w:r>
        <w:rPr>
          <w:rStyle w:val="14"/>
          <w:rFonts w:hint="eastAsia" w:ascii="宋体" w:hAnsi="宋体" w:eastAsia="宋体" w:cs="宋体"/>
          <w:color w:val="auto"/>
          <w:sz w:val="28"/>
          <w:szCs w:val="28"/>
          <w:highlight w:val="white"/>
          <w:lang w:eastAsia="zh-CN"/>
        </w:rPr>
        <w:t>1</w:t>
      </w:r>
    </w:p>
    <w:tbl>
      <w:tblPr>
        <w:tblStyle w:val="12"/>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8"/>
      </w:tblGrid>
      <w:tr w14:paraId="320A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515DBE20">
            <w:pPr>
              <w:widowControl w:val="0"/>
              <w:adjustRightInd w:val="0"/>
              <w:snapToGrid w:val="0"/>
              <w:spacing w:line="40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业 绩 要 求</w:t>
            </w:r>
          </w:p>
        </w:tc>
      </w:tr>
      <w:tr w14:paraId="1B47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0828F8C4">
            <w:pPr>
              <w:widowControl w:val="0"/>
              <w:adjustRightInd w:val="0"/>
              <w:snapToGrid w:val="0"/>
              <w:spacing w:line="400" w:lineRule="atLeast"/>
              <w:jc w:val="both"/>
              <w:rPr>
                <w:rFonts w:hint="eastAsia" w:ascii="宋体" w:hAnsi="宋体" w:eastAsia="宋体" w:cs="宋体"/>
                <w:color w:val="auto"/>
                <w:kern w:val="2"/>
                <w:sz w:val="21"/>
                <w:szCs w:val="21"/>
                <w:highlight w:val="green"/>
                <w:lang w:val="en-US" w:eastAsia="zh-CN" w:bidi="ar-SA"/>
              </w:rPr>
            </w:pPr>
            <w:bookmarkStart w:id="63" w:name="EBb3c107446dad480ea0237d5e6a670a32"/>
            <w:r>
              <w:rPr>
                <w:rFonts w:hint="eastAsia" w:ascii="宋体" w:hAnsi="宋体" w:eastAsia="宋体" w:cs="宋体"/>
                <w:color w:val="auto"/>
                <w:kern w:val="2"/>
                <w:sz w:val="21"/>
                <w:szCs w:val="21"/>
                <w:highlight w:val="white"/>
                <w:lang w:val="en-US" w:eastAsia="zh-CN" w:bidi="ar-SA"/>
              </w:rPr>
              <w:t xml:space="preserve">CRJL2标段监理业绩要求：                      </w:t>
            </w:r>
          </w:p>
          <w:p w14:paraId="3B39A9C8">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1、最近8年（2017年1月1日至投标文件递交截止之日止），独立完成过1个单项合同里程不低于6公里（内容须包含路基）的新建或改扩建高速公路施工监理工作。</w:t>
            </w:r>
          </w:p>
          <w:p w14:paraId="2C64C2D6">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2、最近8年（2017年1月1日至投标文件递交截止之日止），独立完成过1座特大桥新建或改扩建高速公路桥梁施工监理工作。</w:t>
            </w:r>
          </w:p>
          <w:p w14:paraId="03FEFB29">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p>
          <w:p w14:paraId="7159F899">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备注：                      </w:t>
            </w:r>
          </w:p>
          <w:p w14:paraId="32295FDE">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投标人应根据招标文件第二章“投标人须知”第3.5.2项的要求在“近年完成的类似项目情况表”后附相关证明材料。应附在交通运输部“全国公路建设市场监督管理系统”（网址：https://hwdms.mot.gov.cn/BMWebSite/）中查询到的企业“业绩信息”相关项目网页截图复印件。除网页截图复印件外，投标人无须再提供任何业绩证明材料。投标人提供的业绩若是以联合体形式承接的，则其在联合体中承接的工作部分必须满足以上业绩要求。若上述网页截图不能证明的，则另须提供其他证明材料或业主盖章证明，否则不予认可。如投标人未按以上要求提供证明业绩证明材料或提供的业绩证明材料中业绩信息无法证实投标人满足招标文件规定的资格审查条件（业绩最低要求），则该项目业绩不予认定。                      </w:t>
            </w:r>
          </w:p>
          <w:p w14:paraId="498949B2">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2.如近年来，投标人法人机构发生合法变更或重组或法人名称变更时，应提供相关部门的合法批件或其他相关证明材料来证明其所附业绩的继承性。                      </w:t>
            </w:r>
          </w:p>
          <w:p w14:paraId="15AE1F4A">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3.类似业绩时间以项目交工验收时间为准。</w:t>
            </w:r>
          </w:p>
          <w:p w14:paraId="0BB71DDD">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4.满足以上业绩1、业绩2的类似业绩可以是不同合同的业绩。</w:t>
            </w:r>
            <w:bookmarkEnd w:id="63"/>
          </w:p>
        </w:tc>
      </w:tr>
    </w:tbl>
    <w:p w14:paraId="0F3D80D4">
      <w:pPr>
        <w:adjustRightInd w:val="0"/>
        <w:snapToGrid w:val="0"/>
        <w:spacing w:line="300" w:lineRule="exact"/>
        <w:rPr>
          <w:rFonts w:hint="eastAsia" w:ascii="宋体" w:hAnsi="宋体" w:eastAsia="宋体" w:cs="宋体"/>
          <w:b/>
          <w:color w:val="auto"/>
          <w:sz w:val="20"/>
        </w:rPr>
      </w:pPr>
      <w:bookmarkStart w:id="64" w:name="EB5a53bce691bd49a1a1ef0faff8c54c7a"/>
      <w:r>
        <w:rPr>
          <w:rFonts w:hint="eastAsia" w:ascii="宋体" w:hAnsi="宋体" w:eastAsia="宋体" w:cs="宋体"/>
          <w:b/>
          <w:color w:val="auto"/>
          <w:sz w:val="20"/>
          <w:highlight w:val="white"/>
        </w:rPr>
        <w:t xml:space="preserve"> </w:t>
      </w:r>
      <w:bookmarkEnd w:id="64"/>
      <w:bookmarkStart w:id="65" w:name="_Toc234832866"/>
      <w:bookmarkStart w:id="66" w:name="_Toc510015671"/>
      <w:bookmarkStart w:id="67" w:name="_Toc17366009"/>
    </w:p>
    <w:p w14:paraId="5FB0F91F">
      <w:pPr>
        <w:adjustRightInd w:val="0"/>
        <w:snapToGrid w:val="0"/>
        <w:spacing w:line="300" w:lineRule="exact"/>
        <w:rPr>
          <w:rFonts w:hint="eastAsia" w:ascii="宋体" w:hAnsi="宋体" w:eastAsia="宋体" w:cs="宋体"/>
          <w:b/>
          <w:color w:val="auto"/>
          <w:sz w:val="32"/>
          <w:highlight w:val="yellow"/>
        </w:rPr>
      </w:pPr>
      <w:r>
        <w:rPr>
          <w:rFonts w:hint="eastAsia" w:ascii="宋体" w:hAnsi="宋体" w:eastAsia="宋体" w:cs="宋体"/>
          <w:b/>
          <w:color w:val="auto"/>
          <w:sz w:val="20"/>
          <w:highlight w:val="white"/>
        </w:rPr>
        <w:br w:type="page"/>
      </w:r>
      <w:bookmarkStart w:id="68" w:name="EB198809dcd2c5440f84b9fb3a7719a135"/>
      <w:r>
        <w:rPr>
          <w:rFonts w:hint="eastAsia" w:ascii="宋体" w:hAnsi="宋体" w:eastAsia="宋体" w:cs="宋体"/>
          <w:b/>
          <w:color w:val="auto"/>
          <w:sz w:val="20"/>
          <w:highlight w:val="white"/>
        </w:rPr>
        <w:t xml:space="preserve"> </w:t>
      </w:r>
      <w:bookmarkEnd w:id="68"/>
      <w:bookmarkStart w:id="69" w:name="EBb4b95fd14f384e538ef7a53adc259888"/>
      <w:r>
        <w:rPr>
          <w:rFonts w:hint="eastAsia" w:ascii="宋体" w:hAnsi="宋体" w:eastAsia="宋体" w:cs="宋体"/>
          <w:b/>
          <w:color w:val="auto"/>
          <w:sz w:val="20"/>
          <w:highlight w:val="white"/>
        </w:rPr>
        <w:t xml:space="preserve"> </w:t>
      </w:r>
      <w:bookmarkEnd w:id="69"/>
    </w:p>
    <w:p w14:paraId="677294E2">
      <w:pPr>
        <w:pStyle w:val="2"/>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3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信誉最低要求</w:t>
      </w:r>
      <w:r>
        <w:rPr>
          <w:rFonts w:hint="eastAsia" w:ascii="宋体" w:hAnsi="宋体" w:eastAsia="宋体" w:cs="宋体"/>
          <w:color w:val="auto"/>
          <w:sz w:val="28"/>
          <w:szCs w:val="28"/>
          <w:highlight w:val="white"/>
          <w:lang w:eastAsia="zh-CN"/>
        </w:rPr>
        <w:t>）</w:t>
      </w:r>
      <w:bookmarkEnd w:id="65"/>
      <w:bookmarkEnd w:id="66"/>
      <w:bookmarkEnd w:id="67"/>
      <w:r>
        <w:rPr>
          <w:rStyle w:val="14"/>
          <w:rFonts w:hint="eastAsia" w:ascii="宋体" w:hAnsi="宋体" w:eastAsia="宋体" w:cs="宋体"/>
          <w:color w:val="auto"/>
          <w:sz w:val="28"/>
          <w:szCs w:val="28"/>
          <w:highlight w:val="white"/>
          <w:lang w:eastAsia="zh-CN"/>
        </w:rPr>
        <w:t>1</w:t>
      </w:r>
    </w:p>
    <w:tbl>
      <w:tblPr>
        <w:tblStyle w:val="12"/>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8"/>
      </w:tblGrid>
      <w:tr w14:paraId="70FF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06671BAF">
            <w:pPr>
              <w:widowControl w:val="0"/>
              <w:adjustRightInd w:val="0"/>
              <w:snapToGrid w:val="0"/>
              <w:spacing w:line="40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信 誉 要 求</w:t>
            </w:r>
          </w:p>
        </w:tc>
      </w:tr>
      <w:tr w14:paraId="6F01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6C381A43">
            <w:pPr>
              <w:widowControl w:val="0"/>
              <w:adjustRightInd w:val="0"/>
              <w:snapToGrid w:val="0"/>
              <w:spacing w:line="400" w:lineRule="atLeast"/>
              <w:jc w:val="both"/>
              <w:rPr>
                <w:rFonts w:hint="eastAsia" w:ascii="宋体" w:hAnsi="宋体" w:eastAsia="宋体" w:cs="宋体"/>
                <w:color w:val="auto"/>
                <w:kern w:val="2"/>
                <w:sz w:val="21"/>
                <w:szCs w:val="21"/>
                <w:highlight w:val="green"/>
                <w:lang w:val="en-US" w:eastAsia="zh-CN" w:bidi="ar-SA"/>
              </w:rPr>
            </w:pPr>
            <w:bookmarkStart w:id="70" w:name="EBdee0e95b41de4a25b14a402eca2fbfdf"/>
            <w:r>
              <w:rPr>
                <w:rFonts w:hint="eastAsia" w:ascii="宋体" w:hAnsi="宋体" w:eastAsia="宋体" w:cs="宋体"/>
                <w:color w:val="auto"/>
                <w:kern w:val="2"/>
                <w:sz w:val="21"/>
                <w:szCs w:val="21"/>
                <w:highlight w:val="white"/>
                <w:lang w:val="en-US" w:eastAsia="zh-CN" w:bidi="ar-SA"/>
              </w:rPr>
              <w:t xml:space="preserve">投标人不得存在投标人须知 1.4.4 项情形之一，且不得存在以下情形：                      </w:t>
            </w:r>
          </w:p>
          <w:p w14:paraId="445E29CF">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被湖南省交通运输厅评为最近第一年度 D 级、连续三年（最近第三年、最近第二年和最近第一年）评为 C级及以下信用等级。                      </w:t>
            </w:r>
          </w:p>
          <w:p w14:paraId="17A1E0F6">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                      </w:t>
            </w:r>
          </w:p>
          <w:p w14:paraId="16411B55">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备注：                      </w:t>
            </w:r>
          </w:p>
          <w:p w14:paraId="6422AF9A">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1.投标人应根据招标文件第二章“投标人须知”前附表附录 3 和“投标人须知”正文第1.4.4 项规定，逐条说明其信誉情况。                      </w:t>
            </w:r>
          </w:p>
          <w:p w14:paraId="10049A98">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2. 投标人应根据招标文件第二章“投标人须知”第 3.5.3 项的要求在“投标人的信誉情况表”后附相关证明材料。</w:t>
            </w:r>
          </w:p>
          <w:p w14:paraId="570C5603">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3.无同一行业内企业信用评价结果（包括国家和外省）的，且当年在湖南省交通运输厅和交通运输部发布的公路工程施工监理企业信用评价结果中也无信用等级的，默认其信用评价等级为B级。</w:t>
            </w:r>
            <w:bookmarkEnd w:id="70"/>
          </w:p>
        </w:tc>
      </w:tr>
    </w:tbl>
    <w:p w14:paraId="413C4DD1">
      <w:pPr>
        <w:adjustRightInd w:val="0"/>
        <w:snapToGrid w:val="0"/>
        <w:spacing w:line="300" w:lineRule="exact"/>
        <w:rPr>
          <w:rFonts w:hint="eastAsia" w:ascii="宋体" w:hAnsi="宋体" w:eastAsia="宋体" w:cs="宋体"/>
          <w:color w:val="auto"/>
          <w:sz w:val="20"/>
        </w:rPr>
      </w:pPr>
      <w:bookmarkStart w:id="71" w:name="EBf244905834f240e5a732bb3db4dc9b84"/>
      <w:r>
        <w:rPr>
          <w:rFonts w:hint="eastAsia" w:ascii="宋体" w:hAnsi="宋体" w:eastAsia="宋体" w:cs="宋体"/>
          <w:color w:val="auto"/>
          <w:sz w:val="20"/>
          <w:highlight w:val="white"/>
        </w:rPr>
        <w:t xml:space="preserve"> </w:t>
      </w:r>
      <w:bookmarkEnd w:id="71"/>
    </w:p>
    <w:p w14:paraId="76D47358">
      <w:pPr>
        <w:adjustRightInd w:val="0"/>
        <w:snapToGrid w:val="0"/>
        <w:spacing w:line="300" w:lineRule="exact"/>
        <w:rPr>
          <w:rFonts w:hint="eastAsia" w:ascii="宋体" w:hAnsi="宋体" w:eastAsia="宋体" w:cs="宋体"/>
          <w:color w:val="auto"/>
          <w:sz w:val="32"/>
          <w:highlight w:val="yellow"/>
        </w:rPr>
      </w:pPr>
      <w:r>
        <w:rPr>
          <w:rFonts w:hint="eastAsia" w:ascii="宋体" w:hAnsi="宋体" w:eastAsia="宋体" w:cs="宋体"/>
          <w:color w:val="auto"/>
          <w:sz w:val="20"/>
          <w:highlight w:val="white"/>
        </w:rPr>
        <w:br w:type="page"/>
      </w:r>
      <w:bookmarkStart w:id="72" w:name="EB1140b9d0397442109c0413e098f4bf30"/>
      <w:r>
        <w:rPr>
          <w:rFonts w:hint="eastAsia" w:ascii="宋体" w:hAnsi="宋体" w:eastAsia="宋体" w:cs="宋体"/>
          <w:color w:val="auto"/>
          <w:sz w:val="20"/>
          <w:highlight w:val="white"/>
        </w:rPr>
        <w:t xml:space="preserve"> </w:t>
      </w:r>
      <w:bookmarkEnd w:id="72"/>
      <w:bookmarkStart w:id="73" w:name="EB9e0a53062fe04d3780b0288710aed3cd"/>
      <w:r>
        <w:rPr>
          <w:rFonts w:hint="eastAsia" w:ascii="宋体" w:hAnsi="宋体" w:eastAsia="宋体" w:cs="宋体"/>
          <w:color w:val="auto"/>
          <w:sz w:val="20"/>
          <w:highlight w:val="white"/>
        </w:rPr>
        <w:t xml:space="preserve"> </w:t>
      </w:r>
      <w:bookmarkEnd w:id="73"/>
    </w:p>
    <w:p w14:paraId="47B29965">
      <w:pPr>
        <w:pStyle w:val="2"/>
        <w:rPr>
          <w:rFonts w:hint="eastAsia" w:ascii="宋体" w:hAnsi="宋体" w:eastAsia="宋体" w:cs="宋体"/>
          <w:color w:val="auto"/>
          <w:sz w:val="28"/>
          <w:szCs w:val="28"/>
          <w:lang w:eastAsia="zh-CN"/>
        </w:rPr>
      </w:pPr>
      <w:bookmarkStart w:id="74" w:name="_Toc234832867"/>
      <w:bookmarkStart w:id="75" w:name="_Toc17366010"/>
      <w:bookmarkStart w:id="76" w:name="_Toc510015672"/>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4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总监理工程师或驻地监理工程师最低要求</w:t>
      </w:r>
      <w:r>
        <w:rPr>
          <w:rFonts w:hint="eastAsia" w:ascii="宋体" w:hAnsi="宋体" w:eastAsia="宋体" w:cs="宋体"/>
          <w:color w:val="auto"/>
          <w:sz w:val="28"/>
          <w:szCs w:val="28"/>
          <w:highlight w:val="white"/>
          <w:lang w:eastAsia="zh-CN"/>
        </w:rPr>
        <w:t>）</w:t>
      </w:r>
      <w:bookmarkEnd w:id="74"/>
      <w:bookmarkEnd w:id="75"/>
      <w:bookmarkEnd w:id="76"/>
      <w:r>
        <w:rPr>
          <w:rStyle w:val="14"/>
          <w:rFonts w:hint="eastAsia" w:ascii="宋体" w:hAnsi="宋体" w:eastAsia="宋体" w:cs="宋体"/>
          <w:color w:val="auto"/>
          <w:sz w:val="28"/>
          <w:szCs w:val="28"/>
          <w:highlight w:val="white"/>
          <w:lang w:eastAsia="zh-CN"/>
        </w:rPr>
        <w:t>1</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076"/>
        <w:gridCol w:w="3826"/>
        <w:gridCol w:w="2342"/>
      </w:tblGrid>
      <w:tr w14:paraId="795E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6" w:type="pct"/>
            <w:tcBorders>
              <w:top w:val="single" w:color="auto" w:sz="4" w:space="0"/>
              <w:left w:val="single" w:color="auto" w:sz="4" w:space="0"/>
              <w:bottom w:val="single" w:color="auto" w:sz="4" w:space="0"/>
              <w:right w:val="single" w:color="auto" w:sz="4" w:space="0"/>
            </w:tcBorders>
            <w:noWrap w:val="0"/>
            <w:vAlign w:val="center"/>
          </w:tcPr>
          <w:p w14:paraId="3692751A">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人  员</w:t>
            </w:r>
          </w:p>
        </w:tc>
        <w:tc>
          <w:tcPr>
            <w:tcW w:w="605" w:type="pct"/>
            <w:tcBorders>
              <w:top w:val="single" w:color="auto" w:sz="4" w:space="0"/>
              <w:left w:val="single" w:color="auto" w:sz="4" w:space="0"/>
              <w:bottom w:val="single" w:color="auto" w:sz="4" w:space="0"/>
              <w:right w:val="single" w:color="auto" w:sz="4" w:space="0"/>
            </w:tcBorders>
            <w:noWrap w:val="0"/>
            <w:vAlign w:val="center"/>
          </w:tcPr>
          <w:p w14:paraId="3C96E8F5">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数  量</w:t>
            </w:r>
          </w:p>
        </w:tc>
        <w:tc>
          <w:tcPr>
            <w:tcW w:w="2151" w:type="pct"/>
            <w:tcBorders>
              <w:top w:val="single" w:color="auto" w:sz="4" w:space="0"/>
              <w:left w:val="single" w:color="auto" w:sz="4" w:space="0"/>
              <w:bottom w:val="single" w:color="auto" w:sz="4" w:space="0"/>
              <w:right w:val="single" w:color="auto" w:sz="4" w:space="0"/>
            </w:tcBorders>
            <w:noWrap w:val="0"/>
            <w:vAlign w:val="center"/>
          </w:tcPr>
          <w:p w14:paraId="556C102B">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资 格 要 求</w:t>
            </w:r>
          </w:p>
        </w:tc>
        <w:tc>
          <w:tcPr>
            <w:tcW w:w="1317" w:type="pct"/>
            <w:tcBorders>
              <w:top w:val="single" w:color="auto" w:sz="4" w:space="0"/>
              <w:left w:val="single" w:color="auto" w:sz="4" w:space="0"/>
              <w:bottom w:val="single" w:color="auto" w:sz="4" w:space="0"/>
              <w:right w:val="single" w:color="auto" w:sz="4" w:space="0"/>
            </w:tcBorders>
            <w:noWrap w:val="0"/>
            <w:vAlign w:val="center"/>
          </w:tcPr>
          <w:p w14:paraId="1B744B75">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在岗要求</w:t>
            </w:r>
          </w:p>
        </w:tc>
      </w:tr>
      <w:tr w14:paraId="7526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6" w:type="pct"/>
            <w:tcBorders>
              <w:top w:val="single" w:color="auto" w:sz="4" w:space="0"/>
              <w:left w:val="single" w:color="auto" w:sz="4" w:space="0"/>
              <w:bottom w:val="single" w:color="auto" w:sz="4" w:space="0"/>
              <w:right w:val="single" w:color="auto" w:sz="4" w:space="0"/>
            </w:tcBorders>
            <w:noWrap w:val="0"/>
            <w:vAlign w:val="center"/>
          </w:tcPr>
          <w:p w14:paraId="3B9E1437">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77" w:name="EB071e7c74c2ff463793ce5f50019383bc"/>
            <w:r>
              <w:rPr>
                <w:rFonts w:hint="eastAsia" w:ascii="宋体" w:hAnsi="宋体" w:eastAsia="宋体" w:cs="宋体"/>
                <w:color w:val="auto"/>
                <w:kern w:val="2"/>
                <w:sz w:val="21"/>
                <w:szCs w:val="21"/>
                <w:highlight w:val="white"/>
                <w:lang w:val="en-US" w:eastAsia="zh-CN" w:bidi="ar-SA"/>
              </w:rPr>
              <w:t>总监理工程师</w:t>
            </w:r>
            <w:bookmarkEnd w:id="77"/>
          </w:p>
        </w:tc>
        <w:tc>
          <w:tcPr>
            <w:tcW w:w="605" w:type="pct"/>
            <w:tcBorders>
              <w:top w:val="single" w:color="auto" w:sz="4" w:space="0"/>
              <w:left w:val="single" w:color="auto" w:sz="4" w:space="0"/>
              <w:bottom w:val="single" w:color="auto" w:sz="4" w:space="0"/>
              <w:right w:val="single" w:color="auto" w:sz="4" w:space="0"/>
            </w:tcBorders>
            <w:noWrap w:val="0"/>
            <w:vAlign w:val="center"/>
          </w:tcPr>
          <w:p w14:paraId="273487FA">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78" w:name="EB49e53daa584a4c1a872a588128a8c80e"/>
            <w:r>
              <w:rPr>
                <w:rFonts w:hint="eastAsia" w:ascii="宋体" w:hAnsi="宋体" w:eastAsia="宋体" w:cs="宋体"/>
                <w:color w:val="auto"/>
                <w:kern w:val="2"/>
                <w:sz w:val="21"/>
                <w:szCs w:val="21"/>
                <w:highlight w:val="white"/>
                <w:lang w:val="en-US" w:eastAsia="zh-CN" w:bidi="ar-SA"/>
              </w:rPr>
              <w:t>1</w:t>
            </w:r>
            <w:bookmarkEnd w:id="78"/>
          </w:p>
        </w:tc>
        <w:tc>
          <w:tcPr>
            <w:tcW w:w="2151" w:type="pct"/>
            <w:tcBorders>
              <w:top w:val="single" w:color="auto" w:sz="4" w:space="0"/>
              <w:left w:val="single" w:color="auto" w:sz="4" w:space="0"/>
              <w:bottom w:val="single" w:color="auto" w:sz="4" w:space="0"/>
              <w:right w:val="single" w:color="auto" w:sz="4" w:space="0"/>
            </w:tcBorders>
            <w:noWrap w:val="0"/>
            <w:vAlign w:val="center"/>
          </w:tcPr>
          <w:p w14:paraId="293481EF">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79" w:name="EBf2d8a358560144d0986b45f4c8ee7032"/>
            <w:r>
              <w:rPr>
                <w:rFonts w:hint="eastAsia" w:ascii="宋体" w:hAnsi="宋体" w:eastAsia="宋体" w:cs="宋体"/>
                <w:color w:val="auto"/>
                <w:kern w:val="2"/>
                <w:sz w:val="21"/>
                <w:szCs w:val="21"/>
                <w:highlight w:val="white"/>
                <w:lang w:val="en-US" w:eastAsia="zh-CN" w:bidi="ar-SA"/>
              </w:rPr>
              <w:t xml:space="preserve">1、公路工程相关专业高级及以上职称。公路工程相关专业职称包括公路工程、桥梁工程、公路与桥梁工程、交通土建、隧道（地下结构）工程、 交通工程等专业职称。   </w:t>
            </w:r>
          </w:p>
          <w:p w14:paraId="713CE457">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2、具有交通运输部核发的公路工程监理工程师证书，且注册在投标人处。</w:t>
            </w:r>
          </w:p>
          <w:p w14:paraId="1A1D3F15">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3、最近8年（2017年1月1日至投标文件递交截止之日止）担任过1个新建或改扩建高速公路施工监理任务的总监理工程师或副总监理工程师或驻地监理工程师或副驻地监理工程师职务。</w:t>
            </w:r>
            <w:bookmarkEnd w:id="79"/>
          </w:p>
        </w:tc>
        <w:tc>
          <w:tcPr>
            <w:tcW w:w="1317" w:type="pct"/>
            <w:vMerge w:val="restart"/>
            <w:tcBorders>
              <w:top w:val="single" w:color="auto" w:sz="4" w:space="0"/>
              <w:left w:val="single" w:color="auto" w:sz="4" w:space="0"/>
              <w:right w:val="single" w:color="auto" w:sz="4" w:space="0"/>
            </w:tcBorders>
            <w:noWrap w:val="0"/>
            <w:vAlign w:val="center"/>
          </w:tcPr>
          <w:p w14:paraId="420DD330">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80" w:name="EB0fd7b5fca12947cdb42e4bf7b97d7966"/>
            <w:r>
              <w:rPr>
                <w:rFonts w:hint="eastAsia" w:ascii="宋体" w:hAnsi="宋体" w:eastAsia="宋体" w:cs="宋体"/>
                <w:color w:val="auto"/>
                <w:kern w:val="2"/>
                <w:sz w:val="21"/>
                <w:szCs w:val="21"/>
                <w:highlight w:val="white"/>
                <w:lang w:val="en-US" w:eastAsia="zh-CN" w:bidi="ar-SA"/>
              </w:rPr>
              <w:t>无在岗项目（指目前未在其他项目上任职，或虽在其他项目上任职但本项目中标后能够从该项目撤离）</w:t>
            </w:r>
            <w:bookmarkEnd w:id="80"/>
          </w:p>
        </w:tc>
      </w:tr>
      <w:tr w14:paraId="7BC7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6" w:type="pct"/>
            <w:tcBorders>
              <w:top w:val="single" w:color="auto" w:sz="4" w:space="0"/>
              <w:left w:val="single" w:color="auto" w:sz="4" w:space="0"/>
              <w:bottom w:val="single" w:color="auto" w:sz="4" w:space="0"/>
              <w:right w:val="single" w:color="auto" w:sz="4" w:space="0"/>
            </w:tcBorders>
            <w:noWrap w:val="0"/>
            <w:vAlign w:val="center"/>
          </w:tcPr>
          <w:p w14:paraId="1EB51CE4">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81" w:name="EBb9448a8fe3314f2887decec9e54b0e7e"/>
            <w:r>
              <w:rPr>
                <w:rFonts w:hint="eastAsia" w:ascii="宋体" w:hAnsi="宋体" w:eastAsia="宋体" w:cs="宋体"/>
                <w:color w:val="auto"/>
                <w:kern w:val="2"/>
                <w:sz w:val="21"/>
                <w:szCs w:val="21"/>
                <w:highlight w:val="white"/>
                <w:lang w:val="en-US" w:eastAsia="zh-CN" w:bidi="ar-SA"/>
              </w:rPr>
              <w:t>/</w:t>
            </w:r>
            <w:bookmarkEnd w:id="81"/>
          </w:p>
        </w:tc>
        <w:tc>
          <w:tcPr>
            <w:tcW w:w="605" w:type="pct"/>
            <w:tcBorders>
              <w:top w:val="single" w:color="auto" w:sz="4" w:space="0"/>
              <w:left w:val="single" w:color="auto" w:sz="4" w:space="0"/>
              <w:bottom w:val="single" w:color="auto" w:sz="4" w:space="0"/>
              <w:right w:val="single" w:color="auto" w:sz="4" w:space="0"/>
            </w:tcBorders>
            <w:noWrap w:val="0"/>
            <w:vAlign w:val="center"/>
          </w:tcPr>
          <w:p w14:paraId="0E52423F">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82" w:name="EBeda2476dfa0f4ef38f3157c3b452c70c"/>
            <w:r>
              <w:rPr>
                <w:rFonts w:hint="eastAsia" w:ascii="宋体" w:hAnsi="宋体" w:eastAsia="宋体" w:cs="宋体"/>
                <w:color w:val="auto"/>
                <w:kern w:val="2"/>
                <w:sz w:val="21"/>
                <w:szCs w:val="21"/>
                <w:highlight w:val="white"/>
                <w:lang w:val="en-US" w:eastAsia="zh-CN" w:bidi="ar-SA"/>
              </w:rPr>
              <w:t>/</w:t>
            </w:r>
            <w:bookmarkEnd w:id="82"/>
          </w:p>
        </w:tc>
        <w:tc>
          <w:tcPr>
            <w:tcW w:w="2151" w:type="pct"/>
            <w:tcBorders>
              <w:top w:val="single" w:color="auto" w:sz="4" w:space="0"/>
              <w:left w:val="single" w:color="auto" w:sz="4" w:space="0"/>
              <w:bottom w:val="single" w:color="auto" w:sz="4" w:space="0"/>
              <w:right w:val="single" w:color="auto" w:sz="4" w:space="0"/>
            </w:tcBorders>
            <w:noWrap w:val="0"/>
            <w:vAlign w:val="center"/>
          </w:tcPr>
          <w:p w14:paraId="7677DBF8">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83" w:name="EBcb3e8df6bdbe42e59e0c2c380a656bcf"/>
            <w:r>
              <w:rPr>
                <w:rFonts w:hint="eastAsia" w:ascii="宋体" w:hAnsi="宋体" w:eastAsia="宋体" w:cs="宋体"/>
                <w:color w:val="auto"/>
                <w:kern w:val="2"/>
                <w:sz w:val="21"/>
                <w:szCs w:val="21"/>
                <w:highlight w:val="white"/>
                <w:lang w:val="en-US" w:eastAsia="zh-CN" w:bidi="ar-SA"/>
              </w:rPr>
              <w:t xml:space="preserve">注：        </w:t>
            </w:r>
          </w:p>
          <w:p w14:paraId="057F5E37">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1、总监理工程师业绩必须在 “全国公路建设市场监督管理系统”或“湖南省        </w:t>
            </w:r>
          </w:p>
          <w:p w14:paraId="4FDD939D">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公路水运建设与运输市场信用信息服务网”）中可查询，并附网站查询截图且注明查询路径，否则不予认可；        </w:t>
            </w:r>
          </w:p>
          <w:p w14:paraId="5B7B1BFB">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2、投标人应根据招标文件第二章“投标人须知”第 3.5.4 项的要求在“拟委任的驻地监理工程师资历表”后附相关证明         </w:t>
            </w:r>
          </w:p>
          <w:p w14:paraId="69151603">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材料。         </w:t>
            </w:r>
          </w:p>
          <w:p w14:paraId="6B745497">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3、以上人员不得处于暂停执业处罚期内，且未被取消资格。         </w:t>
            </w:r>
          </w:p>
          <w:p w14:paraId="186890EE">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4、未在投标文件中填报的人员不作为评审依据。</w:t>
            </w:r>
            <w:bookmarkEnd w:id="83"/>
          </w:p>
        </w:tc>
        <w:tc>
          <w:tcPr>
            <w:tcW w:w="1317" w:type="pct"/>
            <w:vMerge w:val="continue"/>
            <w:tcBorders>
              <w:left w:val="single" w:color="auto" w:sz="4" w:space="0"/>
              <w:right w:val="single" w:color="auto" w:sz="4" w:space="0"/>
            </w:tcBorders>
            <w:noWrap w:val="0"/>
            <w:vAlign w:val="center"/>
          </w:tcPr>
          <w:p w14:paraId="5E3137F2">
            <w:pPr>
              <w:widowControl/>
              <w:jc w:val="left"/>
              <w:rPr>
                <w:rFonts w:hint="eastAsia" w:ascii="宋体" w:hAnsi="宋体" w:eastAsia="宋体" w:cs="宋体"/>
                <w:color w:val="auto"/>
                <w:kern w:val="2"/>
                <w:sz w:val="21"/>
                <w:szCs w:val="21"/>
                <w:lang w:val="en-US" w:eastAsia="zh-CN" w:bidi="ar-SA"/>
              </w:rPr>
            </w:pPr>
          </w:p>
        </w:tc>
      </w:tr>
      <w:tr w14:paraId="54B3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6" w:type="pct"/>
            <w:tcBorders>
              <w:top w:val="single" w:color="auto" w:sz="4" w:space="0"/>
              <w:left w:val="single" w:color="auto" w:sz="4" w:space="0"/>
              <w:bottom w:val="single" w:color="auto" w:sz="4" w:space="0"/>
              <w:right w:val="single" w:color="auto" w:sz="4" w:space="0"/>
            </w:tcBorders>
            <w:noWrap w:val="0"/>
            <w:vAlign w:val="center"/>
          </w:tcPr>
          <w:p w14:paraId="3F37CCCF">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84" w:name="EBa580ae64b03c421c8d04882a5989ea2d"/>
            <w:r>
              <w:rPr>
                <w:rFonts w:hint="eastAsia" w:ascii="宋体" w:hAnsi="宋体" w:eastAsia="宋体" w:cs="宋体"/>
                <w:color w:val="auto"/>
                <w:kern w:val="2"/>
                <w:sz w:val="21"/>
                <w:szCs w:val="21"/>
                <w:highlight w:val="white"/>
                <w:lang w:val="en-US" w:eastAsia="zh-CN" w:bidi="ar-SA"/>
              </w:rPr>
              <w:t>/</w:t>
            </w:r>
            <w:bookmarkEnd w:id="84"/>
          </w:p>
        </w:tc>
        <w:tc>
          <w:tcPr>
            <w:tcW w:w="605" w:type="pct"/>
            <w:tcBorders>
              <w:top w:val="single" w:color="auto" w:sz="4" w:space="0"/>
              <w:left w:val="single" w:color="auto" w:sz="4" w:space="0"/>
              <w:bottom w:val="single" w:color="auto" w:sz="4" w:space="0"/>
              <w:right w:val="single" w:color="auto" w:sz="4" w:space="0"/>
            </w:tcBorders>
            <w:noWrap w:val="0"/>
            <w:vAlign w:val="center"/>
          </w:tcPr>
          <w:p w14:paraId="6E4FBD37">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85" w:name="EBb93b8404a44d4aacb9659e6fa573238c"/>
            <w:r>
              <w:rPr>
                <w:rFonts w:hint="eastAsia" w:ascii="宋体" w:hAnsi="宋体" w:eastAsia="宋体" w:cs="宋体"/>
                <w:color w:val="auto"/>
                <w:kern w:val="2"/>
                <w:sz w:val="21"/>
                <w:szCs w:val="21"/>
                <w:highlight w:val="white"/>
                <w:lang w:val="en-US" w:eastAsia="zh-CN" w:bidi="ar-SA"/>
              </w:rPr>
              <w:t>/</w:t>
            </w:r>
            <w:bookmarkEnd w:id="85"/>
          </w:p>
        </w:tc>
        <w:tc>
          <w:tcPr>
            <w:tcW w:w="2151" w:type="pct"/>
            <w:tcBorders>
              <w:top w:val="single" w:color="auto" w:sz="4" w:space="0"/>
              <w:left w:val="single" w:color="auto" w:sz="4" w:space="0"/>
              <w:bottom w:val="single" w:color="auto" w:sz="4" w:space="0"/>
              <w:right w:val="single" w:color="auto" w:sz="4" w:space="0"/>
            </w:tcBorders>
            <w:noWrap w:val="0"/>
            <w:vAlign w:val="center"/>
          </w:tcPr>
          <w:p w14:paraId="454F7DF8">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86" w:name="EBe32a6e3bd7664d61b59c74ab4204d45f"/>
            <w:r>
              <w:rPr>
                <w:rFonts w:hint="eastAsia" w:ascii="宋体" w:hAnsi="宋体" w:eastAsia="宋体" w:cs="宋体"/>
                <w:color w:val="auto"/>
                <w:kern w:val="2"/>
                <w:sz w:val="21"/>
                <w:szCs w:val="21"/>
                <w:highlight w:val="white"/>
                <w:lang w:val="en-US" w:eastAsia="zh-CN" w:bidi="ar-SA"/>
              </w:rPr>
              <w:t>/</w:t>
            </w:r>
            <w:bookmarkEnd w:id="86"/>
          </w:p>
        </w:tc>
        <w:tc>
          <w:tcPr>
            <w:tcW w:w="1317" w:type="pct"/>
            <w:vMerge w:val="continue"/>
            <w:tcBorders>
              <w:left w:val="single" w:color="auto" w:sz="4" w:space="0"/>
              <w:right w:val="single" w:color="auto" w:sz="4" w:space="0"/>
            </w:tcBorders>
            <w:noWrap w:val="0"/>
            <w:vAlign w:val="center"/>
          </w:tcPr>
          <w:p w14:paraId="3DEB1F21">
            <w:pPr>
              <w:widowControl/>
              <w:jc w:val="left"/>
              <w:rPr>
                <w:rFonts w:hint="eastAsia" w:ascii="宋体" w:hAnsi="宋体" w:eastAsia="宋体" w:cs="宋体"/>
                <w:color w:val="auto"/>
                <w:kern w:val="2"/>
                <w:sz w:val="21"/>
                <w:szCs w:val="21"/>
                <w:lang w:val="en-US" w:eastAsia="zh-CN" w:bidi="ar-SA"/>
              </w:rPr>
            </w:pPr>
          </w:p>
        </w:tc>
      </w:tr>
      <w:tr w14:paraId="13B4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6" w:type="pct"/>
            <w:tcBorders>
              <w:top w:val="single" w:color="auto" w:sz="4" w:space="0"/>
              <w:left w:val="single" w:color="auto" w:sz="4" w:space="0"/>
              <w:bottom w:val="single" w:color="auto" w:sz="4" w:space="0"/>
              <w:right w:val="single" w:color="auto" w:sz="4" w:space="0"/>
            </w:tcBorders>
            <w:noWrap w:val="0"/>
            <w:vAlign w:val="center"/>
          </w:tcPr>
          <w:p w14:paraId="2B90D311">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87" w:name="EB3136d042a8844c01b9e78c24d05d6913"/>
            <w:r>
              <w:rPr>
                <w:rFonts w:hint="eastAsia" w:ascii="宋体" w:hAnsi="宋体" w:eastAsia="宋体" w:cs="宋体"/>
                <w:color w:val="auto"/>
                <w:kern w:val="2"/>
                <w:sz w:val="21"/>
                <w:szCs w:val="21"/>
                <w:highlight w:val="white"/>
                <w:lang w:val="en-US" w:eastAsia="zh-CN" w:bidi="ar-SA"/>
              </w:rPr>
              <w:t>/</w:t>
            </w:r>
            <w:bookmarkEnd w:id="87"/>
          </w:p>
        </w:tc>
        <w:tc>
          <w:tcPr>
            <w:tcW w:w="605" w:type="pct"/>
            <w:tcBorders>
              <w:top w:val="single" w:color="auto" w:sz="4" w:space="0"/>
              <w:left w:val="single" w:color="auto" w:sz="4" w:space="0"/>
              <w:bottom w:val="single" w:color="auto" w:sz="4" w:space="0"/>
              <w:right w:val="single" w:color="auto" w:sz="4" w:space="0"/>
            </w:tcBorders>
            <w:noWrap w:val="0"/>
            <w:vAlign w:val="center"/>
          </w:tcPr>
          <w:p w14:paraId="01913BD7">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88" w:name="EBbf1de9d17dc34c4a8181302762bd1fed"/>
            <w:r>
              <w:rPr>
                <w:rFonts w:hint="eastAsia" w:ascii="宋体" w:hAnsi="宋体" w:eastAsia="宋体" w:cs="宋体"/>
                <w:color w:val="auto"/>
                <w:kern w:val="2"/>
                <w:sz w:val="21"/>
                <w:szCs w:val="21"/>
                <w:highlight w:val="white"/>
                <w:lang w:val="en-US" w:eastAsia="zh-CN" w:bidi="ar-SA"/>
              </w:rPr>
              <w:t>/</w:t>
            </w:r>
            <w:bookmarkEnd w:id="88"/>
          </w:p>
        </w:tc>
        <w:tc>
          <w:tcPr>
            <w:tcW w:w="2151" w:type="pct"/>
            <w:tcBorders>
              <w:top w:val="single" w:color="auto" w:sz="4" w:space="0"/>
              <w:left w:val="single" w:color="auto" w:sz="4" w:space="0"/>
              <w:bottom w:val="single" w:color="auto" w:sz="4" w:space="0"/>
              <w:right w:val="single" w:color="auto" w:sz="4" w:space="0"/>
            </w:tcBorders>
            <w:noWrap w:val="0"/>
            <w:vAlign w:val="center"/>
          </w:tcPr>
          <w:p w14:paraId="079E0F83">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89" w:name="EBc7e4acdb5fe64debbdcb7793dd49e911"/>
            <w:r>
              <w:rPr>
                <w:rFonts w:hint="eastAsia" w:ascii="宋体" w:hAnsi="宋体" w:eastAsia="宋体" w:cs="宋体"/>
                <w:color w:val="auto"/>
                <w:kern w:val="2"/>
                <w:sz w:val="21"/>
                <w:szCs w:val="21"/>
                <w:highlight w:val="white"/>
                <w:lang w:val="en-US" w:eastAsia="zh-CN" w:bidi="ar-SA"/>
              </w:rPr>
              <w:t>/</w:t>
            </w:r>
            <w:bookmarkEnd w:id="89"/>
          </w:p>
        </w:tc>
        <w:tc>
          <w:tcPr>
            <w:tcW w:w="1317" w:type="pct"/>
            <w:vMerge w:val="continue"/>
            <w:tcBorders>
              <w:left w:val="single" w:color="auto" w:sz="4" w:space="0"/>
              <w:right w:val="single" w:color="auto" w:sz="4" w:space="0"/>
            </w:tcBorders>
            <w:noWrap w:val="0"/>
            <w:vAlign w:val="center"/>
          </w:tcPr>
          <w:p w14:paraId="34F2525F">
            <w:pPr>
              <w:widowControl/>
              <w:jc w:val="left"/>
              <w:rPr>
                <w:rFonts w:hint="eastAsia" w:ascii="宋体" w:hAnsi="宋体" w:eastAsia="宋体" w:cs="宋体"/>
                <w:color w:val="auto"/>
                <w:kern w:val="2"/>
                <w:sz w:val="21"/>
                <w:szCs w:val="21"/>
                <w:lang w:val="en-US" w:eastAsia="zh-CN" w:bidi="ar-SA"/>
              </w:rPr>
            </w:pPr>
          </w:p>
        </w:tc>
      </w:tr>
      <w:tr w14:paraId="550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6" w:type="pct"/>
            <w:tcBorders>
              <w:top w:val="single" w:color="auto" w:sz="4" w:space="0"/>
              <w:left w:val="single" w:color="auto" w:sz="4" w:space="0"/>
              <w:bottom w:val="single" w:color="auto" w:sz="4" w:space="0"/>
              <w:right w:val="single" w:color="auto" w:sz="4" w:space="0"/>
            </w:tcBorders>
            <w:noWrap w:val="0"/>
            <w:vAlign w:val="center"/>
          </w:tcPr>
          <w:p w14:paraId="4C8684C2">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90" w:name="EB47afd59d245b46409dd91ce2c014104c"/>
            <w:r>
              <w:rPr>
                <w:rFonts w:hint="eastAsia" w:ascii="宋体" w:hAnsi="宋体" w:eastAsia="宋体" w:cs="宋体"/>
                <w:color w:val="auto"/>
                <w:kern w:val="2"/>
                <w:sz w:val="21"/>
                <w:szCs w:val="21"/>
                <w:highlight w:val="white"/>
                <w:lang w:val="en-US" w:eastAsia="zh-CN" w:bidi="ar-SA"/>
              </w:rPr>
              <w:t>/</w:t>
            </w:r>
            <w:bookmarkEnd w:id="90"/>
          </w:p>
        </w:tc>
        <w:tc>
          <w:tcPr>
            <w:tcW w:w="605" w:type="pct"/>
            <w:tcBorders>
              <w:top w:val="single" w:color="auto" w:sz="4" w:space="0"/>
              <w:left w:val="single" w:color="auto" w:sz="4" w:space="0"/>
              <w:bottom w:val="single" w:color="auto" w:sz="4" w:space="0"/>
              <w:right w:val="single" w:color="auto" w:sz="4" w:space="0"/>
            </w:tcBorders>
            <w:noWrap w:val="0"/>
            <w:vAlign w:val="center"/>
          </w:tcPr>
          <w:p w14:paraId="64A8A6EE">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91" w:name="EB4217148374794b468c4eb8ddd2ea0e00"/>
            <w:r>
              <w:rPr>
                <w:rFonts w:hint="eastAsia" w:ascii="宋体" w:hAnsi="宋体" w:eastAsia="宋体" w:cs="宋体"/>
                <w:color w:val="auto"/>
                <w:kern w:val="2"/>
                <w:sz w:val="21"/>
                <w:szCs w:val="21"/>
                <w:highlight w:val="white"/>
                <w:lang w:val="en-US" w:eastAsia="zh-CN" w:bidi="ar-SA"/>
              </w:rPr>
              <w:t>/</w:t>
            </w:r>
            <w:bookmarkEnd w:id="91"/>
          </w:p>
        </w:tc>
        <w:tc>
          <w:tcPr>
            <w:tcW w:w="2151" w:type="pct"/>
            <w:tcBorders>
              <w:top w:val="single" w:color="auto" w:sz="4" w:space="0"/>
              <w:left w:val="single" w:color="auto" w:sz="4" w:space="0"/>
              <w:bottom w:val="single" w:color="auto" w:sz="4" w:space="0"/>
              <w:right w:val="single" w:color="auto" w:sz="4" w:space="0"/>
            </w:tcBorders>
            <w:noWrap w:val="0"/>
            <w:vAlign w:val="center"/>
          </w:tcPr>
          <w:p w14:paraId="39129BC0">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92" w:name="EB0e67d7c93e8c47d6aeb7ac232fb7caff"/>
            <w:r>
              <w:rPr>
                <w:rFonts w:hint="eastAsia" w:ascii="宋体" w:hAnsi="宋体" w:eastAsia="宋体" w:cs="宋体"/>
                <w:color w:val="auto"/>
                <w:kern w:val="2"/>
                <w:sz w:val="21"/>
                <w:szCs w:val="21"/>
                <w:highlight w:val="white"/>
                <w:lang w:val="en-US" w:eastAsia="zh-CN" w:bidi="ar-SA"/>
              </w:rPr>
              <w:t>/</w:t>
            </w:r>
            <w:bookmarkEnd w:id="92"/>
          </w:p>
        </w:tc>
        <w:tc>
          <w:tcPr>
            <w:tcW w:w="1317" w:type="pct"/>
            <w:vMerge w:val="continue"/>
            <w:tcBorders>
              <w:left w:val="single" w:color="auto" w:sz="4" w:space="0"/>
              <w:bottom w:val="single" w:color="auto" w:sz="4" w:space="0"/>
              <w:right w:val="single" w:color="auto" w:sz="4" w:space="0"/>
            </w:tcBorders>
            <w:noWrap w:val="0"/>
            <w:vAlign w:val="center"/>
          </w:tcPr>
          <w:p w14:paraId="120A86E4">
            <w:pPr>
              <w:widowControl/>
              <w:jc w:val="left"/>
              <w:rPr>
                <w:rFonts w:hint="eastAsia" w:ascii="宋体" w:hAnsi="宋体" w:eastAsia="宋体" w:cs="宋体"/>
                <w:color w:val="auto"/>
                <w:kern w:val="2"/>
                <w:sz w:val="21"/>
                <w:szCs w:val="21"/>
                <w:lang w:val="en-US" w:eastAsia="zh-CN" w:bidi="ar-SA"/>
              </w:rPr>
            </w:pPr>
          </w:p>
        </w:tc>
      </w:tr>
    </w:tbl>
    <w:p w14:paraId="1CB89957">
      <w:pPr>
        <w:adjustRightInd w:val="0"/>
        <w:snapToGrid w:val="0"/>
        <w:spacing w:line="300" w:lineRule="auto"/>
        <w:ind w:right="-512" w:rightChars="-244"/>
        <w:rPr>
          <w:rFonts w:hint="eastAsia" w:ascii="宋体" w:hAnsi="宋体" w:eastAsia="宋体" w:cs="宋体"/>
          <w:b/>
          <w:iCs/>
          <w:color w:val="auto"/>
          <w:sz w:val="20"/>
          <w:szCs w:val="21"/>
          <w:highlight w:val="cyan"/>
        </w:rPr>
      </w:pPr>
      <w:bookmarkStart w:id="93" w:name="EBbfd2f3e148c54c7ca01bbc826ad63175"/>
      <w:r>
        <w:rPr>
          <w:rFonts w:hint="eastAsia" w:ascii="宋体" w:hAnsi="宋体" w:eastAsia="宋体" w:cs="宋体"/>
          <w:b/>
          <w:iCs/>
          <w:color w:val="auto"/>
          <w:sz w:val="20"/>
          <w:szCs w:val="21"/>
          <w:highlight w:val="white"/>
        </w:rPr>
        <w:t xml:space="preserve"> </w:t>
      </w:r>
      <w:bookmarkEnd w:id="93"/>
    </w:p>
    <w:p w14:paraId="7795016C">
      <w:pPr>
        <w:adjustRightInd w:val="0"/>
        <w:snapToGrid w:val="0"/>
        <w:spacing w:line="300" w:lineRule="auto"/>
        <w:ind w:right="-512" w:rightChars="-244"/>
        <w:rPr>
          <w:rFonts w:hint="eastAsia" w:ascii="宋体" w:hAnsi="宋体" w:eastAsia="宋体" w:cs="宋体"/>
          <w:b/>
          <w:iCs/>
          <w:color w:val="auto"/>
          <w:szCs w:val="21"/>
          <w:highlight w:val="yellow"/>
        </w:rPr>
      </w:pPr>
      <w:r>
        <w:rPr>
          <w:rFonts w:hint="eastAsia" w:ascii="宋体" w:hAnsi="宋体" w:eastAsia="宋体" w:cs="宋体"/>
          <w:b/>
          <w:iCs/>
          <w:color w:val="auto"/>
          <w:sz w:val="20"/>
          <w:szCs w:val="21"/>
          <w:highlight w:val="white"/>
        </w:rPr>
        <w:br w:type="page"/>
      </w:r>
    </w:p>
    <w:p w14:paraId="64C7F12F">
      <w:pPr>
        <w:pStyle w:val="2"/>
        <w:rPr>
          <w:rFonts w:hint="eastAsia" w:ascii="宋体" w:hAnsi="宋体" w:eastAsia="宋体" w:cs="宋体"/>
          <w:color w:val="auto"/>
          <w:sz w:val="28"/>
          <w:szCs w:val="28"/>
        </w:rPr>
      </w:pPr>
      <w:bookmarkStart w:id="94" w:name="_Toc234832868"/>
      <w:bookmarkStart w:id="95" w:name="_Toc510015673"/>
      <w:bookmarkStart w:id="96" w:name="_Toc17366011"/>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5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其他</w:t>
      </w:r>
      <w:r>
        <w:rPr>
          <w:rFonts w:hint="eastAsia" w:ascii="宋体" w:hAnsi="宋体" w:eastAsia="宋体" w:cs="宋体"/>
          <w:color w:val="auto"/>
          <w:sz w:val="28"/>
          <w:szCs w:val="28"/>
          <w:highlight w:val="white"/>
          <w:lang w:eastAsia="zh-CN"/>
        </w:rPr>
        <w:t>主要</w:t>
      </w:r>
      <w:r>
        <w:rPr>
          <w:rFonts w:hint="eastAsia" w:ascii="宋体" w:hAnsi="宋体" w:eastAsia="宋体" w:cs="宋体"/>
          <w:color w:val="auto"/>
          <w:sz w:val="28"/>
          <w:szCs w:val="28"/>
          <w:highlight w:val="white"/>
        </w:rPr>
        <w:t>监理人员最低要求</w:t>
      </w:r>
      <w:r>
        <w:rPr>
          <w:rFonts w:hint="eastAsia" w:ascii="宋体" w:hAnsi="宋体" w:eastAsia="宋体" w:cs="宋体"/>
          <w:color w:val="auto"/>
          <w:sz w:val="28"/>
          <w:szCs w:val="28"/>
          <w:highlight w:val="white"/>
          <w:lang w:eastAsia="zh-CN"/>
        </w:rPr>
        <w:t>）</w:t>
      </w:r>
      <w:bookmarkEnd w:id="94"/>
      <w:bookmarkEnd w:id="95"/>
      <w:bookmarkEnd w:id="96"/>
      <w:r>
        <w:rPr>
          <w:rStyle w:val="14"/>
          <w:rFonts w:hint="eastAsia" w:ascii="宋体" w:hAnsi="宋体" w:eastAsia="宋体" w:cs="宋体"/>
          <w:color w:val="auto"/>
          <w:sz w:val="28"/>
          <w:szCs w:val="28"/>
          <w:highlight w:val="white"/>
          <w:lang w:eastAsia="zh-CN"/>
        </w:rPr>
        <w:t>1</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314"/>
        <w:gridCol w:w="5774"/>
      </w:tblGrid>
      <w:tr w14:paraId="3861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7404D12A">
            <w:pPr>
              <w:widowControl w:val="0"/>
              <w:adjustRightInd w:val="0"/>
              <w:snapToGrid w:val="0"/>
              <w:spacing w:line="400" w:lineRule="atLeast"/>
              <w:jc w:val="center"/>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highlight w:val="white"/>
                <w:lang w:val="en-US" w:eastAsia="zh-CN" w:bidi="ar-SA"/>
              </w:rPr>
              <w:t>人  员</w:t>
            </w:r>
          </w:p>
        </w:tc>
        <w:tc>
          <w:tcPr>
            <w:tcW w:w="739" w:type="pct"/>
            <w:tcBorders>
              <w:top w:val="single" w:color="auto" w:sz="4" w:space="0"/>
              <w:left w:val="single" w:color="auto" w:sz="4" w:space="0"/>
              <w:bottom w:val="single" w:color="auto" w:sz="4" w:space="0"/>
              <w:right w:val="single" w:color="auto" w:sz="4" w:space="0"/>
            </w:tcBorders>
            <w:noWrap w:val="0"/>
            <w:vAlign w:val="center"/>
          </w:tcPr>
          <w:p w14:paraId="162275C3">
            <w:pPr>
              <w:widowControl w:val="0"/>
              <w:adjustRightInd w:val="0"/>
              <w:snapToGrid w:val="0"/>
              <w:spacing w:line="400" w:lineRule="atLeast"/>
              <w:jc w:val="center"/>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highlight w:val="white"/>
                <w:lang w:val="en-US" w:eastAsia="zh-CN" w:bidi="ar-SA"/>
              </w:rPr>
              <w:t>数  量</w:t>
            </w:r>
          </w:p>
        </w:tc>
        <w:tc>
          <w:tcPr>
            <w:tcW w:w="3247" w:type="pct"/>
            <w:tcBorders>
              <w:top w:val="single" w:color="auto" w:sz="4" w:space="0"/>
              <w:left w:val="single" w:color="auto" w:sz="4" w:space="0"/>
              <w:bottom w:val="single" w:color="auto" w:sz="4" w:space="0"/>
              <w:right w:val="single" w:color="auto" w:sz="4" w:space="0"/>
            </w:tcBorders>
            <w:noWrap w:val="0"/>
            <w:vAlign w:val="center"/>
          </w:tcPr>
          <w:p w14:paraId="75464DE1">
            <w:pPr>
              <w:widowControl w:val="0"/>
              <w:adjustRightInd w:val="0"/>
              <w:snapToGrid w:val="0"/>
              <w:spacing w:line="400" w:lineRule="atLeast"/>
              <w:jc w:val="center"/>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highlight w:val="white"/>
                <w:lang w:val="en-US" w:eastAsia="zh-CN" w:bidi="ar-SA"/>
              </w:rPr>
              <w:t>资 格 要 求</w:t>
            </w:r>
          </w:p>
        </w:tc>
      </w:tr>
      <w:tr w14:paraId="25E0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0FB3AC0A">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97" w:name="EB2dccb09f3d0740b58c0d50740d65bf99"/>
            <w:r>
              <w:rPr>
                <w:rFonts w:hint="eastAsia" w:ascii="宋体" w:hAnsi="宋体" w:eastAsia="宋体" w:cs="宋体"/>
                <w:color w:val="auto"/>
                <w:kern w:val="2"/>
                <w:sz w:val="24"/>
                <w:szCs w:val="22"/>
                <w:highlight w:val="white"/>
                <w:lang w:val="en-US" w:eastAsia="zh-CN" w:bidi="ar-SA"/>
              </w:rPr>
              <w:t>/</w:t>
            </w:r>
            <w:bookmarkEnd w:id="97"/>
          </w:p>
        </w:tc>
        <w:tc>
          <w:tcPr>
            <w:tcW w:w="739" w:type="pct"/>
            <w:tcBorders>
              <w:top w:val="single" w:color="auto" w:sz="4" w:space="0"/>
              <w:left w:val="single" w:color="auto" w:sz="4" w:space="0"/>
              <w:bottom w:val="single" w:color="auto" w:sz="4" w:space="0"/>
              <w:right w:val="single" w:color="auto" w:sz="4" w:space="0"/>
            </w:tcBorders>
            <w:noWrap w:val="0"/>
            <w:vAlign w:val="center"/>
          </w:tcPr>
          <w:p w14:paraId="18F382B7">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98" w:name="EB747e0d5214cb4a9e9435efdfdc5c7577"/>
            <w:r>
              <w:rPr>
                <w:rFonts w:hint="eastAsia" w:ascii="宋体" w:hAnsi="宋体" w:eastAsia="宋体" w:cs="宋体"/>
                <w:color w:val="auto"/>
                <w:kern w:val="2"/>
                <w:sz w:val="24"/>
                <w:szCs w:val="22"/>
                <w:highlight w:val="white"/>
                <w:lang w:val="en-US" w:eastAsia="zh-CN" w:bidi="ar-SA"/>
              </w:rPr>
              <w:t>/</w:t>
            </w:r>
            <w:bookmarkEnd w:id="98"/>
          </w:p>
        </w:tc>
        <w:tc>
          <w:tcPr>
            <w:tcW w:w="3247" w:type="pct"/>
            <w:tcBorders>
              <w:top w:val="single" w:color="auto" w:sz="4" w:space="0"/>
              <w:left w:val="single" w:color="auto" w:sz="4" w:space="0"/>
              <w:bottom w:val="single" w:color="auto" w:sz="4" w:space="0"/>
              <w:right w:val="single" w:color="auto" w:sz="4" w:space="0"/>
            </w:tcBorders>
            <w:noWrap w:val="0"/>
            <w:vAlign w:val="center"/>
          </w:tcPr>
          <w:p w14:paraId="3391EDE6">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99" w:name="EBba9e7d2404e2436fb6b12169de4e21ee"/>
            <w:r>
              <w:rPr>
                <w:rFonts w:hint="eastAsia" w:ascii="宋体" w:hAnsi="宋体" w:eastAsia="宋体" w:cs="宋体"/>
                <w:color w:val="auto"/>
                <w:kern w:val="2"/>
                <w:sz w:val="24"/>
                <w:szCs w:val="22"/>
                <w:highlight w:val="white"/>
                <w:lang w:val="en-US" w:eastAsia="zh-CN" w:bidi="ar-SA"/>
              </w:rPr>
              <w:t>/</w:t>
            </w:r>
            <w:bookmarkEnd w:id="99"/>
          </w:p>
        </w:tc>
      </w:tr>
      <w:tr w14:paraId="22E1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3A958BA9">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100" w:name="EB56e2c91f37dd44bcbbf7749dc09fc7b1"/>
            <w:r>
              <w:rPr>
                <w:rFonts w:hint="eastAsia" w:ascii="宋体" w:hAnsi="宋体" w:eastAsia="宋体" w:cs="宋体"/>
                <w:color w:val="auto"/>
                <w:kern w:val="2"/>
                <w:sz w:val="24"/>
                <w:szCs w:val="22"/>
                <w:highlight w:val="white"/>
                <w:lang w:val="en-US" w:eastAsia="zh-CN" w:bidi="ar-SA"/>
              </w:rPr>
              <w:t>/</w:t>
            </w:r>
            <w:bookmarkEnd w:id="100"/>
          </w:p>
        </w:tc>
        <w:tc>
          <w:tcPr>
            <w:tcW w:w="739" w:type="pct"/>
            <w:tcBorders>
              <w:top w:val="single" w:color="auto" w:sz="4" w:space="0"/>
              <w:left w:val="single" w:color="auto" w:sz="4" w:space="0"/>
              <w:bottom w:val="single" w:color="auto" w:sz="4" w:space="0"/>
              <w:right w:val="single" w:color="auto" w:sz="4" w:space="0"/>
            </w:tcBorders>
            <w:noWrap w:val="0"/>
            <w:vAlign w:val="center"/>
          </w:tcPr>
          <w:p w14:paraId="0634BF0E">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101" w:name="EBb8a68d47dfbd47119afc92418e9e1f63"/>
            <w:r>
              <w:rPr>
                <w:rFonts w:hint="eastAsia" w:ascii="宋体" w:hAnsi="宋体" w:eastAsia="宋体" w:cs="宋体"/>
                <w:color w:val="auto"/>
                <w:kern w:val="2"/>
                <w:sz w:val="24"/>
                <w:szCs w:val="22"/>
                <w:highlight w:val="white"/>
                <w:lang w:val="en-US" w:eastAsia="zh-CN" w:bidi="ar-SA"/>
              </w:rPr>
              <w:t>/</w:t>
            </w:r>
            <w:bookmarkEnd w:id="101"/>
          </w:p>
        </w:tc>
        <w:tc>
          <w:tcPr>
            <w:tcW w:w="3247" w:type="pct"/>
            <w:tcBorders>
              <w:top w:val="single" w:color="auto" w:sz="4" w:space="0"/>
              <w:left w:val="single" w:color="auto" w:sz="4" w:space="0"/>
              <w:bottom w:val="single" w:color="auto" w:sz="4" w:space="0"/>
              <w:right w:val="single" w:color="auto" w:sz="4" w:space="0"/>
            </w:tcBorders>
            <w:noWrap w:val="0"/>
            <w:vAlign w:val="center"/>
          </w:tcPr>
          <w:p w14:paraId="3B940F98">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102" w:name="EBc80f115cae064d1885ce2b03d71aba46"/>
            <w:r>
              <w:rPr>
                <w:rFonts w:hint="eastAsia" w:ascii="宋体" w:hAnsi="宋体" w:eastAsia="宋体" w:cs="宋体"/>
                <w:color w:val="auto"/>
                <w:kern w:val="2"/>
                <w:sz w:val="24"/>
                <w:szCs w:val="22"/>
                <w:highlight w:val="white"/>
                <w:lang w:val="en-US" w:eastAsia="zh-CN" w:bidi="ar-SA"/>
              </w:rPr>
              <w:t>/</w:t>
            </w:r>
            <w:bookmarkEnd w:id="102"/>
          </w:p>
        </w:tc>
      </w:tr>
      <w:tr w14:paraId="5308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67248491">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103" w:name="EBb0498c8b37704cba955be945a0a9df70"/>
            <w:r>
              <w:rPr>
                <w:rFonts w:hint="eastAsia" w:ascii="宋体" w:hAnsi="宋体" w:eastAsia="宋体" w:cs="宋体"/>
                <w:color w:val="auto"/>
                <w:kern w:val="2"/>
                <w:sz w:val="24"/>
                <w:szCs w:val="22"/>
                <w:highlight w:val="white"/>
                <w:lang w:val="en-US" w:eastAsia="zh-CN" w:bidi="ar-SA"/>
              </w:rPr>
              <w:t>/</w:t>
            </w:r>
            <w:bookmarkEnd w:id="103"/>
          </w:p>
        </w:tc>
        <w:tc>
          <w:tcPr>
            <w:tcW w:w="739" w:type="pct"/>
            <w:tcBorders>
              <w:top w:val="single" w:color="auto" w:sz="4" w:space="0"/>
              <w:left w:val="single" w:color="auto" w:sz="4" w:space="0"/>
              <w:bottom w:val="single" w:color="auto" w:sz="4" w:space="0"/>
              <w:right w:val="single" w:color="auto" w:sz="4" w:space="0"/>
            </w:tcBorders>
            <w:noWrap w:val="0"/>
            <w:vAlign w:val="center"/>
          </w:tcPr>
          <w:p w14:paraId="6D4B79DD">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104" w:name="EBd7be5b3b9ee34a9ca8439a76a5b79bab"/>
            <w:r>
              <w:rPr>
                <w:rFonts w:hint="eastAsia" w:ascii="宋体" w:hAnsi="宋体" w:eastAsia="宋体" w:cs="宋体"/>
                <w:color w:val="auto"/>
                <w:kern w:val="2"/>
                <w:sz w:val="24"/>
                <w:szCs w:val="22"/>
                <w:highlight w:val="white"/>
                <w:lang w:val="en-US" w:eastAsia="zh-CN" w:bidi="ar-SA"/>
              </w:rPr>
              <w:t>/</w:t>
            </w:r>
            <w:bookmarkEnd w:id="104"/>
          </w:p>
        </w:tc>
        <w:tc>
          <w:tcPr>
            <w:tcW w:w="3247" w:type="pct"/>
            <w:tcBorders>
              <w:top w:val="single" w:color="auto" w:sz="4" w:space="0"/>
              <w:left w:val="single" w:color="auto" w:sz="4" w:space="0"/>
              <w:bottom w:val="single" w:color="auto" w:sz="4" w:space="0"/>
              <w:right w:val="single" w:color="auto" w:sz="4" w:space="0"/>
            </w:tcBorders>
            <w:noWrap w:val="0"/>
            <w:vAlign w:val="center"/>
          </w:tcPr>
          <w:p w14:paraId="01D6CA68">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105" w:name="EB8a9e816ce6cf4d3eada0a2204512a243"/>
            <w:r>
              <w:rPr>
                <w:rFonts w:hint="eastAsia" w:ascii="宋体" w:hAnsi="宋体" w:eastAsia="宋体" w:cs="宋体"/>
                <w:color w:val="auto"/>
                <w:kern w:val="2"/>
                <w:sz w:val="24"/>
                <w:szCs w:val="22"/>
                <w:highlight w:val="white"/>
                <w:lang w:val="en-US" w:eastAsia="zh-CN" w:bidi="ar-SA"/>
              </w:rPr>
              <w:t>/</w:t>
            </w:r>
            <w:bookmarkEnd w:id="105"/>
          </w:p>
        </w:tc>
      </w:tr>
      <w:tr w14:paraId="23E9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7FD85C09">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106" w:name="EBc5063dcb814e4be0887dd3540a640812"/>
            <w:r>
              <w:rPr>
                <w:rFonts w:hint="eastAsia" w:ascii="宋体" w:hAnsi="宋体" w:eastAsia="宋体" w:cs="宋体"/>
                <w:color w:val="auto"/>
                <w:kern w:val="2"/>
                <w:sz w:val="24"/>
                <w:szCs w:val="22"/>
                <w:highlight w:val="white"/>
                <w:lang w:val="en-US" w:eastAsia="zh-CN" w:bidi="ar-SA"/>
              </w:rPr>
              <w:t>/</w:t>
            </w:r>
            <w:bookmarkEnd w:id="106"/>
          </w:p>
        </w:tc>
        <w:tc>
          <w:tcPr>
            <w:tcW w:w="739" w:type="pct"/>
            <w:tcBorders>
              <w:top w:val="single" w:color="auto" w:sz="4" w:space="0"/>
              <w:left w:val="single" w:color="auto" w:sz="4" w:space="0"/>
              <w:bottom w:val="single" w:color="auto" w:sz="4" w:space="0"/>
              <w:right w:val="single" w:color="auto" w:sz="4" w:space="0"/>
            </w:tcBorders>
            <w:noWrap w:val="0"/>
            <w:vAlign w:val="center"/>
          </w:tcPr>
          <w:p w14:paraId="6A4AF8B3">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107" w:name="EB1f1ad5d35d074beb9e8615ccad0229f4"/>
            <w:r>
              <w:rPr>
                <w:rFonts w:hint="eastAsia" w:ascii="宋体" w:hAnsi="宋体" w:eastAsia="宋体" w:cs="宋体"/>
                <w:color w:val="auto"/>
                <w:kern w:val="2"/>
                <w:sz w:val="24"/>
                <w:szCs w:val="22"/>
                <w:highlight w:val="white"/>
                <w:lang w:val="en-US" w:eastAsia="zh-CN" w:bidi="ar-SA"/>
              </w:rPr>
              <w:t>/</w:t>
            </w:r>
            <w:bookmarkEnd w:id="107"/>
          </w:p>
        </w:tc>
        <w:tc>
          <w:tcPr>
            <w:tcW w:w="3247" w:type="pct"/>
            <w:tcBorders>
              <w:top w:val="single" w:color="auto" w:sz="4" w:space="0"/>
              <w:left w:val="single" w:color="auto" w:sz="4" w:space="0"/>
              <w:bottom w:val="single" w:color="auto" w:sz="4" w:space="0"/>
              <w:right w:val="single" w:color="auto" w:sz="4" w:space="0"/>
            </w:tcBorders>
            <w:noWrap w:val="0"/>
            <w:vAlign w:val="center"/>
          </w:tcPr>
          <w:p w14:paraId="20496E94">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108" w:name="EBbd467fee930543a1b3520180a1b3afe3"/>
            <w:r>
              <w:rPr>
                <w:rFonts w:hint="eastAsia" w:ascii="宋体" w:hAnsi="宋体" w:eastAsia="宋体" w:cs="宋体"/>
                <w:color w:val="auto"/>
                <w:kern w:val="2"/>
                <w:sz w:val="24"/>
                <w:szCs w:val="22"/>
                <w:highlight w:val="white"/>
                <w:lang w:val="en-US" w:eastAsia="zh-CN" w:bidi="ar-SA"/>
              </w:rPr>
              <w:t>/</w:t>
            </w:r>
            <w:bookmarkEnd w:id="108"/>
          </w:p>
        </w:tc>
      </w:tr>
      <w:tr w14:paraId="403F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636BF632">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109" w:name="EB8be1e2ed6c6f44c2b734ef57632ad878"/>
            <w:r>
              <w:rPr>
                <w:rFonts w:hint="eastAsia" w:ascii="宋体" w:hAnsi="宋体" w:eastAsia="宋体" w:cs="宋体"/>
                <w:color w:val="auto"/>
                <w:kern w:val="2"/>
                <w:sz w:val="24"/>
                <w:szCs w:val="22"/>
                <w:highlight w:val="white"/>
                <w:lang w:val="en-US" w:eastAsia="zh-CN" w:bidi="ar-SA"/>
              </w:rPr>
              <w:t>/</w:t>
            </w:r>
            <w:bookmarkEnd w:id="109"/>
          </w:p>
        </w:tc>
        <w:tc>
          <w:tcPr>
            <w:tcW w:w="739" w:type="pct"/>
            <w:tcBorders>
              <w:top w:val="single" w:color="auto" w:sz="4" w:space="0"/>
              <w:left w:val="single" w:color="auto" w:sz="4" w:space="0"/>
              <w:bottom w:val="single" w:color="auto" w:sz="4" w:space="0"/>
              <w:right w:val="single" w:color="auto" w:sz="4" w:space="0"/>
            </w:tcBorders>
            <w:noWrap w:val="0"/>
            <w:vAlign w:val="center"/>
          </w:tcPr>
          <w:p w14:paraId="22ACB332">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110" w:name="EBc9d514b5a41a4985bdcc1e7d655d7529"/>
            <w:r>
              <w:rPr>
                <w:rFonts w:hint="eastAsia" w:ascii="宋体" w:hAnsi="宋体" w:eastAsia="宋体" w:cs="宋体"/>
                <w:color w:val="auto"/>
                <w:kern w:val="2"/>
                <w:sz w:val="24"/>
                <w:szCs w:val="22"/>
                <w:highlight w:val="white"/>
                <w:lang w:val="en-US" w:eastAsia="zh-CN" w:bidi="ar-SA"/>
              </w:rPr>
              <w:t>/</w:t>
            </w:r>
            <w:bookmarkEnd w:id="110"/>
          </w:p>
        </w:tc>
        <w:tc>
          <w:tcPr>
            <w:tcW w:w="3247" w:type="pct"/>
            <w:tcBorders>
              <w:top w:val="single" w:color="auto" w:sz="4" w:space="0"/>
              <w:left w:val="single" w:color="auto" w:sz="4" w:space="0"/>
              <w:bottom w:val="single" w:color="auto" w:sz="4" w:space="0"/>
              <w:right w:val="single" w:color="auto" w:sz="4" w:space="0"/>
            </w:tcBorders>
            <w:noWrap w:val="0"/>
            <w:vAlign w:val="center"/>
          </w:tcPr>
          <w:p w14:paraId="4CCA78FA">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111" w:name="EB5f108639d3be4ba9a1ec1b79510d9069"/>
            <w:r>
              <w:rPr>
                <w:rFonts w:hint="eastAsia" w:ascii="宋体" w:hAnsi="宋体" w:eastAsia="宋体" w:cs="宋体"/>
                <w:color w:val="auto"/>
                <w:kern w:val="2"/>
                <w:sz w:val="24"/>
                <w:szCs w:val="22"/>
                <w:highlight w:val="white"/>
                <w:lang w:val="en-US" w:eastAsia="zh-CN" w:bidi="ar-SA"/>
              </w:rPr>
              <w:t>/</w:t>
            </w:r>
            <w:bookmarkEnd w:id="111"/>
          </w:p>
        </w:tc>
      </w:tr>
    </w:tbl>
    <w:p w14:paraId="035839A4">
      <w:pPr>
        <w:rPr>
          <w:rFonts w:hint="eastAsia" w:ascii="宋体" w:hAnsi="宋体" w:eastAsia="宋体" w:cs="宋体"/>
          <w:color w:val="auto"/>
          <w:sz w:val="20"/>
          <w:highlight w:val="cyan"/>
        </w:rPr>
      </w:pPr>
      <w:bookmarkStart w:id="112" w:name="EB41df03e1edc34eeeba73791961d06179"/>
      <w:r>
        <w:rPr>
          <w:rFonts w:hint="eastAsia" w:ascii="宋体" w:hAnsi="宋体" w:eastAsia="宋体" w:cs="宋体"/>
          <w:color w:val="auto"/>
          <w:sz w:val="20"/>
          <w:highlight w:val="white"/>
        </w:rPr>
        <w:t xml:space="preserve"> </w:t>
      </w:r>
      <w:bookmarkEnd w:id="112"/>
    </w:p>
    <w:p w14:paraId="32DEAEC2">
      <w:pPr>
        <w:rPr>
          <w:rFonts w:hint="eastAsia" w:ascii="宋体" w:hAnsi="宋体" w:eastAsia="宋体" w:cs="宋体"/>
          <w:color w:val="auto"/>
        </w:rPr>
      </w:pPr>
    </w:p>
    <w:p w14:paraId="33F3FE2C">
      <w:pPr>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br w:type="page"/>
      </w:r>
    </w:p>
    <w:p w14:paraId="453CB027">
      <w:pPr>
        <w:pStyle w:val="6"/>
        <w:jc w:val="both"/>
        <w:outlineLvl w:val="1"/>
        <w:rPr>
          <w:rStyle w:val="18"/>
          <w:rFonts w:hint="eastAsia" w:ascii="宋体" w:hAnsi="宋体" w:eastAsia="宋体" w:cs="宋体"/>
          <w:b/>
          <w:color w:val="auto"/>
          <w:sz w:val="28"/>
          <w:szCs w:val="28"/>
        </w:rPr>
      </w:pPr>
      <w:r>
        <w:rPr>
          <w:rStyle w:val="13"/>
          <w:rFonts w:hint="eastAsia" w:ascii="宋体" w:hAnsi="宋体" w:eastAsia="宋体" w:cs="宋体"/>
          <w:color w:val="auto"/>
          <w:sz w:val="28"/>
          <w:szCs w:val="28"/>
          <w:highlight w:val="none"/>
        </w:rPr>
        <w:t>附件2：评标办法</w:t>
      </w:r>
      <w:r>
        <w:rPr>
          <w:rStyle w:val="18"/>
          <w:rFonts w:hint="eastAsia" w:ascii="宋体" w:hAnsi="宋体" w:eastAsia="宋体" w:cs="宋体"/>
          <w:b/>
          <w:color w:val="auto"/>
          <w:sz w:val="28"/>
          <w:szCs w:val="28"/>
          <w:highlight w:val="white"/>
        </w:rPr>
        <w:t>（综合评估法）</w:t>
      </w:r>
    </w:p>
    <w:p w14:paraId="2A21FD00">
      <w:pPr>
        <w:pStyle w:val="2"/>
        <w:rPr>
          <w:rFonts w:hint="eastAsia" w:ascii="宋体" w:hAnsi="宋体" w:eastAsia="宋体" w:cs="宋体"/>
          <w:b w:val="0"/>
          <w:color w:val="auto"/>
          <w:szCs w:val="24"/>
        </w:rPr>
      </w:pPr>
      <w:bookmarkStart w:id="113" w:name="_Toc17366029"/>
      <w:bookmarkStart w:id="114" w:name="_Toc510015738"/>
      <w:bookmarkStart w:id="115" w:name="_Toc503235806"/>
      <w:r>
        <w:rPr>
          <w:rFonts w:hint="eastAsia" w:ascii="宋体" w:hAnsi="宋体" w:eastAsia="宋体" w:cs="宋体"/>
          <w:color w:val="auto"/>
          <w:szCs w:val="24"/>
          <w:highlight w:val="white"/>
        </w:rPr>
        <w:t>评标办法前附表</w:t>
      </w:r>
      <w:r>
        <w:rPr>
          <w:rStyle w:val="14"/>
          <w:rFonts w:hint="eastAsia" w:ascii="宋体" w:hAnsi="宋体" w:eastAsia="宋体" w:cs="宋体"/>
          <w:color w:val="auto"/>
          <w:sz w:val="28"/>
          <w:szCs w:val="28"/>
        </w:rPr>
        <w:footnoteReference w:id="4"/>
      </w:r>
      <w:bookmarkEnd w:id="113"/>
      <w:bookmarkEnd w:id="114"/>
      <w:bookmarkEnd w:id="115"/>
    </w:p>
    <w:tbl>
      <w:tblPr>
        <w:tblStyle w:val="12"/>
        <w:tblW w:w="88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1"/>
        <w:gridCol w:w="6625"/>
      </w:tblGrid>
      <w:tr w14:paraId="41CC6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54F98FED">
            <w:pPr>
              <w:widowControl w:val="0"/>
              <w:spacing w:line="380" w:lineRule="atLeast"/>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highlight w:val="white"/>
                <w:lang w:val="en-US" w:eastAsia="zh-CN" w:bidi="ar-SA"/>
              </w:rPr>
              <w:t>条款号</w:t>
            </w:r>
          </w:p>
        </w:tc>
        <w:tc>
          <w:tcPr>
            <w:tcW w:w="6625" w:type="dxa"/>
            <w:tcBorders>
              <w:top w:val="single" w:color="auto" w:sz="4" w:space="0"/>
              <w:left w:val="single" w:color="auto" w:sz="4" w:space="0"/>
              <w:bottom w:val="single" w:color="auto" w:sz="4" w:space="0"/>
              <w:right w:val="single" w:color="auto" w:sz="4" w:space="0"/>
            </w:tcBorders>
            <w:noWrap w:val="0"/>
            <w:vAlign w:val="center"/>
          </w:tcPr>
          <w:p w14:paraId="120E2655">
            <w:pPr>
              <w:widowControl w:val="0"/>
              <w:spacing w:line="380" w:lineRule="atLeast"/>
              <w:jc w:val="center"/>
              <w:rPr>
                <w:rFonts w:hint="eastAsia" w:ascii="宋体" w:hAnsi="宋体" w:eastAsia="宋体" w:cs="宋体"/>
                <w:b/>
                <w:color w:val="auto"/>
                <w:spacing w:val="4"/>
                <w:kern w:val="2"/>
                <w:sz w:val="21"/>
                <w:szCs w:val="21"/>
                <w:lang w:val="en-US" w:eastAsia="zh-CN" w:bidi="ar-SA"/>
              </w:rPr>
            </w:pPr>
            <w:r>
              <w:rPr>
                <w:rFonts w:hint="eastAsia" w:ascii="宋体" w:hAnsi="宋体" w:eastAsia="宋体" w:cs="宋体"/>
                <w:b/>
                <w:color w:val="auto"/>
                <w:spacing w:val="4"/>
                <w:kern w:val="2"/>
                <w:sz w:val="21"/>
                <w:szCs w:val="21"/>
                <w:highlight w:val="white"/>
                <w:lang w:val="en-US" w:eastAsia="zh-CN" w:bidi="ar-SA"/>
              </w:rPr>
              <w:t>评审因素与评审标准</w:t>
            </w:r>
          </w:p>
        </w:tc>
      </w:tr>
      <w:tr w14:paraId="21F36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noWrap w:val="0"/>
            <w:vAlign w:val="center"/>
          </w:tcPr>
          <w:p w14:paraId="36C7EC78">
            <w:pPr>
              <w:widowControl w:val="0"/>
              <w:spacing w:line="38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1</w:t>
            </w:r>
          </w:p>
        </w:tc>
        <w:tc>
          <w:tcPr>
            <w:tcW w:w="1281" w:type="dxa"/>
            <w:tcBorders>
              <w:top w:val="single" w:color="auto" w:sz="4" w:space="0"/>
              <w:left w:val="nil"/>
              <w:bottom w:val="single" w:color="auto" w:sz="4" w:space="0"/>
              <w:right w:val="single" w:color="auto" w:sz="4" w:space="0"/>
            </w:tcBorders>
            <w:noWrap w:val="0"/>
            <w:vAlign w:val="center"/>
          </w:tcPr>
          <w:p w14:paraId="67C26D7A">
            <w:pPr>
              <w:widowControl w:val="0"/>
              <w:spacing w:line="38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评标方法</w:t>
            </w:r>
          </w:p>
        </w:tc>
        <w:tc>
          <w:tcPr>
            <w:tcW w:w="6625" w:type="dxa"/>
            <w:tcBorders>
              <w:top w:val="single" w:color="auto" w:sz="4" w:space="0"/>
              <w:left w:val="single" w:color="auto" w:sz="4" w:space="0"/>
              <w:bottom w:val="single" w:color="auto" w:sz="4" w:space="0"/>
              <w:right w:val="single" w:color="auto" w:sz="4" w:space="0"/>
            </w:tcBorders>
            <w:noWrap w:val="0"/>
            <w:vAlign w:val="center"/>
          </w:tcPr>
          <w:p w14:paraId="5C3903D8">
            <w:pPr>
              <w:widowControl w:val="0"/>
              <w:spacing w:line="360" w:lineRule="atLeas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综合评分相等时，评标委员会依次按照以下优先顺序推荐中标候选人或确定中标人：</w:t>
            </w:r>
          </w:p>
          <w:p w14:paraId="250963FD">
            <w:pPr>
              <w:widowControl w:val="0"/>
              <w:spacing w:line="360" w:lineRule="atLeas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w:t>
            </w:r>
            <w:r>
              <w:rPr>
                <w:rFonts w:hint="eastAsia" w:ascii="宋体" w:hAnsi="宋体" w:eastAsia="宋体" w:cs="宋体"/>
                <w:color w:val="auto"/>
                <w:kern w:val="2"/>
                <w:sz w:val="21"/>
                <w:szCs w:val="21"/>
                <w:highlight w:val="white"/>
                <w:lang w:val="en-US" w:eastAsia="zh-CN" w:bidi="ar-SA"/>
              </w:rPr>
              <w:t>1</w:t>
            </w:r>
            <w:r>
              <w:rPr>
                <w:rFonts w:hint="eastAsia" w:ascii="宋体" w:hAnsi="宋体" w:eastAsia="宋体" w:cs="宋体"/>
                <w:color w:val="auto"/>
                <w:kern w:val="2"/>
                <w:sz w:val="21"/>
                <w:szCs w:val="21"/>
                <w:highlight w:val="white"/>
                <w:lang w:val="en-US" w:eastAsia="zh-CN" w:bidi="ar-SA"/>
              </w:rPr>
              <w:t>）评标价低的投标人优先；</w:t>
            </w:r>
          </w:p>
          <w:p w14:paraId="06942D4B">
            <w:pPr>
              <w:widowControl w:val="0"/>
              <w:spacing w:line="360" w:lineRule="atLeas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w:t>
            </w:r>
            <w:r>
              <w:rPr>
                <w:rFonts w:hint="eastAsia" w:ascii="宋体" w:hAnsi="宋体" w:eastAsia="宋体" w:cs="宋体"/>
                <w:color w:val="auto"/>
                <w:kern w:val="2"/>
                <w:sz w:val="21"/>
                <w:szCs w:val="21"/>
                <w:highlight w:val="white"/>
                <w:lang w:val="en-US" w:eastAsia="zh-CN" w:bidi="ar-SA"/>
              </w:rPr>
              <w:t>2</w:t>
            </w:r>
            <w:r>
              <w:rPr>
                <w:rFonts w:hint="eastAsia" w:ascii="宋体" w:hAnsi="宋体" w:eastAsia="宋体" w:cs="宋体"/>
                <w:color w:val="auto"/>
                <w:kern w:val="2"/>
                <w:sz w:val="21"/>
                <w:szCs w:val="21"/>
                <w:highlight w:val="white"/>
                <w:lang w:val="en-US" w:eastAsia="zh-CN" w:bidi="ar-SA"/>
              </w:rPr>
              <w:t>）被湖南省交通运输厅评为最近</w:t>
            </w:r>
            <w:r>
              <w:rPr>
                <w:rFonts w:hint="eastAsia" w:ascii="宋体" w:hAnsi="宋体" w:eastAsia="宋体" w:cs="宋体"/>
                <w:color w:val="auto"/>
                <w:kern w:val="2"/>
                <w:sz w:val="21"/>
                <w:szCs w:val="21"/>
                <w:highlight w:val="white"/>
                <w:lang w:val="en-US" w:eastAsia="zh-CN" w:bidi="ar-SA"/>
              </w:rPr>
              <w:t>1</w:t>
            </w:r>
            <w:r>
              <w:rPr>
                <w:rFonts w:hint="eastAsia" w:ascii="宋体" w:hAnsi="宋体" w:eastAsia="宋体" w:cs="宋体"/>
                <w:color w:val="auto"/>
                <w:kern w:val="2"/>
                <w:sz w:val="21"/>
                <w:szCs w:val="21"/>
                <w:highlight w:val="white"/>
                <w:lang w:val="en-US" w:eastAsia="zh-CN" w:bidi="ar-SA"/>
              </w:rPr>
              <w:t>年较高信用等级的投标人优先；</w:t>
            </w:r>
          </w:p>
          <w:p w14:paraId="357434DD">
            <w:pPr>
              <w:widowControl w:val="0"/>
              <w:spacing w:line="360" w:lineRule="atLeas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w:t>
            </w:r>
            <w:r>
              <w:rPr>
                <w:rFonts w:hint="eastAsia" w:ascii="宋体" w:hAnsi="宋体" w:eastAsia="宋体" w:cs="宋体"/>
                <w:color w:val="auto"/>
                <w:kern w:val="2"/>
                <w:sz w:val="21"/>
                <w:szCs w:val="21"/>
                <w:highlight w:val="white"/>
                <w:lang w:val="en-US" w:eastAsia="zh-CN" w:bidi="ar-SA"/>
              </w:rPr>
              <w:t>3</w:t>
            </w:r>
            <w:r>
              <w:rPr>
                <w:rFonts w:hint="eastAsia" w:ascii="宋体" w:hAnsi="宋体" w:eastAsia="宋体" w:cs="宋体"/>
                <w:color w:val="auto"/>
                <w:kern w:val="2"/>
                <w:sz w:val="21"/>
                <w:szCs w:val="21"/>
                <w:highlight w:val="white"/>
                <w:lang w:val="en-US" w:eastAsia="zh-CN" w:bidi="ar-SA"/>
              </w:rPr>
              <w:t>）商务和技术得分较高的投标人优先；</w:t>
            </w:r>
          </w:p>
          <w:p w14:paraId="120A90B7">
            <w:pPr>
              <w:widowControl w:val="0"/>
              <w:spacing w:line="360" w:lineRule="atLeast"/>
              <w:ind w:firstLine="420" w:firstLineChars="200"/>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w:t>
            </w:r>
            <w:r>
              <w:rPr>
                <w:rFonts w:hint="eastAsia" w:ascii="宋体" w:hAnsi="宋体" w:eastAsia="宋体" w:cs="宋体"/>
                <w:color w:val="auto"/>
                <w:kern w:val="2"/>
                <w:sz w:val="21"/>
                <w:szCs w:val="21"/>
                <w:highlight w:val="white"/>
                <w:lang w:val="en-US" w:eastAsia="zh-CN" w:bidi="ar-SA"/>
              </w:rPr>
              <w:t>4</w:t>
            </w:r>
            <w:r>
              <w:rPr>
                <w:rFonts w:hint="eastAsia" w:ascii="宋体" w:hAnsi="宋体" w:eastAsia="宋体" w:cs="宋体"/>
                <w:color w:val="auto"/>
                <w:kern w:val="2"/>
                <w:sz w:val="21"/>
                <w:szCs w:val="21"/>
                <w:highlight w:val="white"/>
                <w:lang w:val="en-US" w:eastAsia="zh-CN" w:bidi="ar-SA"/>
              </w:rPr>
              <w:t>）随机摇号确定排序。</w:t>
            </w:r>
          </w:p>
        </w:tc>
      </w:tr>
      <w:tr w14:paraId="4CFC6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5" w:type="dxa"/>
            <w:gridSpan w:val="3"/>
            <w:tcBorders>
              <w:top w:val="single" w:color="auto" w:sz="4" w:space="0"/>
              <w:left w:val="nil"/>
              <w:bottom w:val="nil"/>
              <w:right w:val="nil"/>
            </w:tcBorders>
            <w:noWrap w:val="0"/>
            <w:vAlign w:val="center"/>
          </w:tcPr>
          <w:p w14:paraId="3B2EBA6E">
            <w:pPr>
              <w:widowControl w:val="0"/>
              <w:jc w:val="both"/>
              <w:rPr>
                <w:rFonts w:hint="eastAsia" w:ascii="宋体" w:hAnsi="宋体" w:eastAsia="宋体" w:cs="宋体"/>
                <w:color w:val="auto"/>
                <w:kern w:val="2"/>
                <w:sz w:val="21"/>
                <w:szCs w:val="22"/>
                <w:highlight w:val="red"/>
                <w:lang w:val="en-US" w:eastAsia="zh-CN" w:bidi="ar-SA"/>
              </w:rPr>
            </w:pPr>
            <w:bookmarkStart w:id="116" w:name="EB4e1cdbc33bc7457da55eeeefc68f3fa7"/>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14:paraId="5012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EF03B00">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2.1.1</w:t>
                  </w:r>
                </w:p>
                <w:p w14:paraId="276D41D0">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43E246A">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945D06B">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第一个信封（商务及技术文件）评审标准：</w:t>
                  </w:r>
                </w:p>
                <w:p w14:paraId="4E304B9B">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(1)投标文件按照招标文件规定的格式、内容填写，字迹清晰可辨</w:t>
                  </w:r>
                </w:p>
                <w:p w14:paraId="7EEE5465">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a.投标函按招标文件规定填报了项目名称、标段号、补遗书编号（如有）、监理服务期限、工程质量要求、安全目标及环保目标；</w:t>
                  </w:r>
                </w:p>
                <w:p w14:paraId="161B12FA">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b.投标文件组成齐全完整，内容均按规定填写</w:t>
                  </w:r>
                </w:p>
                <w:p w14:paraId="632F0FD0">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(2)投标文件上法定代表人的签章、投标人的单位章盖章齐全，符合招标文件规定。</w:t>
                  </w:r>
                </w:p>
                <w:p w14:paraId="33B78598">
                  <w:pPr>
                    <w:widowControl w:val="0"/>
                    <w:jc w:val="left"/>
                    <w:rPr>
                      <w:rFonts w:hint="eastAsia" w:ascii="宋体" w:hAnsi="宋体" w:eastAsia="宋体" w:cs="宋体"/>
                      <w:b w:val="0"/>
                      <w:color w:val="auto"/>
                      <w:kern w:val="2"/>
                      <w:sz w:val="21"/>
                      <w:szCs w:val="22"/>
                      <w:lang w:val="en-US" w:eastAsia="zh-CN" w:bidi="ar-SA"/>
                    </w:rPr>
                  </w:pPr>
                </w:p>
                <w:p w14:paraId="43B3BDB7">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(3)与申请资格预审时比较，投标人发生合并、分立、破产等重大变化的，仍具备资格预审文件规定的相应资格条件且其投标未影响招标公正性</w:t>
                  </w:r>
                </w:p>
                <w:p w14:paraId="6418BA1A">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a.投标人应提供相关部门的合法批件及企业法人营业执照和资质证书等证件的副本变更记录复印件；</w:t>
                  </w:r>
                </w:p>
                <w:p w14:paraId="7D1C72F5">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b.投标人仍然满足资格预审文件中规定的资格预审条件最低要求（资质、业绩、人员、信誉等）；</w:t>
                  </w:r>
                </w:p>
                <w:p w14:paraId="7319040B">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c.与所投标段的其他投标人不存在控股、管理关系或单位负责人为同一人的情况；与招标人也不存在利害关系并可能影响招标公正性</w:t>
                  </w:r>
                </w:p>
                <w:p w14:paraId="6D4DF354">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(4)投标人按照招标文件的规定提供了投标保证金</w:t>
                  </w:r>
                </w:p>
                <w:p w14:paraId="4CA6F547">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a.投标保证金金额符合招标文件规定的金额，且投标保证金有效期与投标有效期一致；</w:t>
                  </w:r>
                </w:p>
                <w:p w14:paraId="7CA5E1E5">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b.若投标保证金采用现金或支票形式提交，投标人应在递交投标文件截止时间之前，将投标保证金由投标人的基本账户转入招标人指定账户；</w:t>
                  </w:r>
                </w:p>
                <w:p w14:paraId="5E8CDE61">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c.若投标保证金采用银行保函形式提交，银行保函的格式、开具保函的银行均满足招标文件要求，且在递交投标文件截止时间之前向招标人提交了银行保函原件。</w:t>
                  </w:r>
                </w:p>
                <w:p w14:paraId="6B9C1231">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(5)投标人以联合体形式投标时，联合体满足招标文件的要求</w:t>
                  </w:r>
                </w:p>
                <w:p w14:paraId="3DCCA7E1">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a.未进行资格预审的，投标人按照招标文件提供的格式签订了联合体协议书，明确各方承担连带责任，并明确了联合体牵头人；</w:t>
                  </w:r>
                </w:p>
                <w:p w14:paraId="60081961">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b.已进行资格预审的，投标人提供了资格预审申请文件中所附的联合体协议书复印件，且通过资格预审后的联合体无成员增减或更换的情况。</w:t>
                  </w:r>
                </w:p>
                <w:p w14:paraId="273EA1B1">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(6)同一投标人未提交两个以上不同的投标文件，但招标文件要求提交备选投标的除外</w:t>
                  </w:r>
                </w:p>
                <w:p w14:paraId="0CFF4A7A">
                  <w:pPr>
                    <w:widowControl w:val="0"/>
                    <w:jc w:val="left"/>
                    <w:rPr>
                      <w:rFonts w:hint="eastAsia" w:ascii="宋体" w:hAnsi="宋体" w:eastAsia="宋体" w:cs="宋体"/>
                      <w:b w:val="0"/>
                      <w:color w:val="auto"/>
                      <w:kern w:val="2"/>
                      <w:sz w:val="21"/>
                      <w:szCs w:val="22"/>
                      <w:lang w:val="en-US" w:eastAsia="zh-CN" w:bidi="ar-SA"/>
                    </w:rPr>
                  </w:pPr>
                </w:p>
                <w:p w14:paraId="68D42615">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(7)投标文件中未出现有关投标报价的内容</w:t>
                  </w:r>
                </w:p>
                <w:p w14:paraId="5548B44B">
                  <w:pPr>
                    <w:widowControl w:val="0"/>
                    <w:jc w:val="left"/>
                    <w:rPr>
                      <w:rFonts w:hint="eastAsia" w:ascii="宋体" w:hAnsi="宋体" w:eastAsia="宋体" w:cs="宋体"/>
                      <w:b w:val="0"/>
                      <w:color w:val="auto"/>
                      <w:kern w:val="2"/>
                      <w:sz w:val="21"/>
                      <w:szCs w:val="22"/>
                      <w:lang w:val="en-US" w:eastAsia="zh-CN" w:bidi="ar-SA"/>
                    </w:rPr>
                  </w:pPr>
                </w:p>
                <w:p w14:paraId="2B5C53D6">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(8)投标文件载明的招标项目完成期限符合招标文件规定</w:t>
                  </w:r>
                </w:p>
                <w:p w14:paraId="7D88DC88">
                  <w:pPr>
                    <w:widowControl w:val="0"/>
                    <w:jc w:val="left"/>
                    <w:rPr>
                      <w:rFonts w:hint="eastAsia" w:ascii="宋体" w:hAnsi="宋体" w:eastAsia="宋体" w:cs="宋体"/>
                      <w:b w:val="0"/>
                      <w:color w:val="auto"/>
                      <w:kern w:val="2"/>
                      <w:sz w:val="21"/>
                      <w:szCs w:val="22"/>
                      <w:lang w:val="en-US" w:eastAsia="zh-CN" w:bidi="ar-SA"/>
                    </w:rPr>
                  </w:pPr>
                </w:p>
                <w:p w14:paraId="583DB0CC">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(9)投标文件对招标文件的实质性要求和条件作出响应</w:t>
                  </w:r>
                </w:p>
                <w:p w14:paraId="62D03C91">
                  <w:pPr>
                    <w:widowControl w:val="0"/>
                    <w:jc w:val="left"/>
                    <w:rPr>
                      <w:rFonts w:hint="eastAsia" w:ascii="宋体" w:hAnsi="宋体" w:eastAsia="宋体" w:cs="宋体"/>
                      <w:b w:val="0"/>
                      <w:color w:val="auto"/>
                      <w:kern w:val="2"/>
                      <w:sz w:val="21"/>
                      <w:szCs w:val="22"/>
                      <w:lang w:val="en-US" w:eastAsia="zh-CN" w:bidi="ar-SA"/>
                    </w:rPr>
                  </w:pPr>
                </w:p>
                <w:p w14:paraId="4497332A">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(10)权利义务符合招标文件规定</w:t>
                  </w:r>
                </w:p>
                <w:p w14:paraId="277BD3FF">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a.投标人应接受招标文件规定的风险划分原则，未提出新的风险划分办法；</w:t>
                  </w:r>
                </w:p>
                <w:p w14:paraId="4A861385">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b.投标人未增加委托人的责任范围，或减少投标人义务；</w:t>
                  </w:r>
                </w:p>
                <w:p w14:paraId="6C9BCCC9">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c.投标人未提出不同的支付办法；</w:t>
                  </w:r>
                </w:p>
                <w:p w14:paraId="76C8381F">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d.投标人对合同纠纷、事故处理办法未提出异议；</w:t>
                  </w:r>
                </w:p>
                <w:p w14:paraId="5C3D5D0E">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e.投标人在投标活动中无欺诈行为；</w:t>
                  </w:r>
                </w:p>
                <w:p w14:paraId="6B80DBE0">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f.投标人未对合同条款有重要保留。</w:t>
                  </w:r>
                </w:p>
                <w:p w14:paraId="12C2CE1B">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(11)纸质投标文件份数符合招标文件第二章“投标人须知”第3.7.5项规定（仅当采用纸质投标文件评标时）。</w:t>
                  </w:r>
                </w:p>
                <w:p w14:paraId="631093B4">
                  <w:pPr>
                    <w:widowControl w:val="0"/>
                    <w:jc w:val="left"/>
                    <w:rPr>
                      <w:rFonts w:hint="eastAsia" w:ascii="宋体" w:hAnsi="宋体" w:eastAsia="宋体" w:cs="宋体"/>
                      <w:b w:val="0"/>
                      <w:color w:val="auto"/>
                      <w:kern w:val="2"/>
                      <w:sz w:val="21"/>
                      <w:szCs w:val="22"/>
                      <w:lang w:val="en-US" w:eastAsia="zh-CN" w:bidi="ar-SA"/>
                    </w:rPr>
                  </w:pPr>
                </w:p>
                <w:p w14:paraId="5DC4B8B1">
                  <w:pPr>
                    <w:widowControl w:val="0"/>
                    <w:jc w:val="left"/>
                    <w:rPr>
                      <w:rFonts w:hint="eastAsia" w:ascii="宋体" w:hAnsi="宋体" w:eastAsia="宋体" w:cs="宋体"/>
                      <w:b w:val="0"/>
                      <w:color w:val="auto"/>
                      <w:kern w:val="2"/>
                      <w:sz w:val="21"/>
                      <w:szCs w:val="22"/>
                      <w:lang w:val="en-US" w:eastAsia="zh-CN" w:bidi="ar-SA"/>
                    </w:rPr>
                  </w:pPr>
                </w:p>
              </w:tc>
            </w:tr>
            <w:bookmarkEnd w:id="116"/>
          </w:tbl>
          <w:p w14:paraId="5F521C31">
            <w:pPr>
              <w:widowControl w:val="0"/>
              <w:jc w:val="both"/>
              <w:rPr>
                <w:rFonts w:hint="eastAsia" w:ascii="宋体" w:hAnsi="宋体" w:eastAsia="宋体" w:cs="宋体"/>
                <w:color w:val="auto"/>
                <w:kern w:val="2"/>
                <w:sz w:val="20"/>
                <w:szCs w:val="22"/>
                <w:highlight w:val="white"/>
                <w:lang w:val="en-US" w:eastAsia="zh-CN" w:bidi="ar-SA"/>
              </w:rPr>
            </w:pPr>
          </w:p>
          <w:p w14:paraId="2CC16C61">
            <w:pPr>
              <w:widowControl w:val="0"/>
              <w:jc w:val="both"/>
              <w:rPr>
                <w:rFonts w:hint="eastAsia" w:ascii="宋体" w:hAnsi="宋体" w:eastAsia="宋体" w:cs="宋体"/>
                <w:color w:val="auto"/>
                <w:kern w:val="2"/>
                <w:sz w:val="21"/>
                <w:szCs w:val="22"/>
                <w:highlight w:val="red"/>
                <w:lang w:val="en-US" w:eastAsia="zh-CN" w:bidi="ar-SA"/>
              </w:rPr>
            </w:pPr>
            <w:bookmarkStart w:id="117" w:name="EB67e7091d5dd5430c93849f6865a419db"/>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14:paraId="5206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1A3DC3F">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2.1.1</w:t>
                  </w:r>
                </w:p>
                <w:p w14:paraId="1390C74C">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682129A">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4F20E7D">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第二个信封（报价文件）评审标准：</w:t>
                  </w:r>
                </w:p>
                <w:p w14:paraId="5FD4DA62">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(1)投标文件按照招标文件规定的格式、内容填写，字迹清晰可辨，内容齐全完整</w:t>
                  </w:r>
                </w:p>
                <w:p w14:paraId="796A40D3">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a.投标函按招标文件规定填报了项目名称、标段号、补遗书编号（如有）、投标价（包括大写金额和小写金额）；</w:t>
                  </w:r>
                </w:p>
                <w:p w14:paraId="48428F5E">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b.已标价报价清单说明文字与招标文件规定一致，未进行实质性修改和删减；</w:t>
                  </w:r>
                </w:p>
                <w:p w14:paraId="1C539484">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c.投标文件组成齐全完整，内容均按规定填写</w:t>
                  </w:r>
                </w:p>
                <w:p w14:paraId="64E2A21D">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(2)投标文件上法定代表人的签章、投标人的单位章盖章齐全，符合招标文件规定</w:t>
                  </w:r>
                </w:p>
                <w:p w14:paraId="03F67197">
                  <w:pPr>
                    <w:widowControl w:val="0"/>
                    <w:jc w:val="left"/>
                    <w:rPr>
                      <w:rFonts w:hint="eastAsia" w:ascii="宋体" w:hAnsi="宋体" w:eastAsia="宋体" w:cs="宋体"/>
                      <w:b w:val="0"/>
                      <w:color w:val="auto"/>
                      <w:kern w:val="2"/>
                      <w:sz w:val="21"/>
                      <w:szCs w:val="22"/>
                      <w:lang w:val="en-US" w:eastAsia="zh-CN" w:bidi="ar-SA"/>
                    </w:rPr>
                  </w:pPr>
                </w:p>
                <w:p w14:paraId="629A204D">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(3)投标报价未超过招标文件设定的最高投标限价（如有）</w:t>
                  </w:r>
                </w:p>
                <w:p w14:paraId="136FE2E5">
                  <w:pPr>
                    <w:widowControl w:val="0"/>
                    <w:jc w:val="left"/>
                    <w:rPr>
                      <w:rFonts w:hint="eastAsia" w:ascii="宋体" w:hAnsi="宋体" w:eastAsia="宋体" w:cs="宋体"/>
                      <w:b w:val="0"/>
                      <w:color w:val="auto"/>
                      <w:kern w:val="2"/>
                      <w:sz w:val="21"/>
                      <w:szCs w:val="22"/>
                      <w:lang w:val="en-US" w:eastAsia="zh-CN" w:bidi="ar-SA"/>
                    </w:rPr>
                  </w:pPr>
                </w:p>
                <w:p w14:paraId="01EE0368">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(4)投标报价的大写金额能够确定具体数值</w:t>
                  </w:r>
                </w:p>
                <w:p w14:paraId="61AB5DE5">
                  <w:pPr>
                    <w:widowControl w:val="0"/>
                    <w:jc w:val="left"/>
                    <w:rPr>
                      <w:rFonts w:hint="eastAsia" w:ascii="宋体" w:hAnsi="宋体" w:eastAsia="宋体" w:cs="宋体"/>
                      <w:b w:val="0"/>
                      <w:color w:val="auto"/>
                      <w:kern w:val="2"/>
                      <w:sz w:val="21"/>
                      <w:szCs w:val="22"/>
                      <w:lang w:val="en-US" w:eastAsia="zh-CN" w:bidi="ar-SA"/>
                    </w:rPr>
                  </w:pPr>
                </w:p>
                <w:p w14:paraId="426401E0">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(5)同一投标人未提交两个以上不同的投标报价，但招标文件要求提交备选投标的除外</w:t>
                  </w:r>
                </w:p>
                <w:p w14:paraId="42FC8322">
                  <w:pPr>
                    <w:widowControl w:val="0"/>
                    <w:jc w:val="left"/>
                    <w:rPr>
                      <w:rFonts w:hint="eastAsia" w:ascii="宋体" w:hAnsi="宋体" w:eastAsia="宋体" w:cs="宋体"/>
                      <w:b w:val="0"/>
                      <w:color w:val="auto"/>
                      <w:kern w:val="2"/>
                      <w:sz w:val="21"/>
                      <w:szCs w:val="22"/>
                      <w:lang w:val="en-US" w:eastAsia="zh-CN" w:bidi="ar-SA"/>
                    </w:rPr>
                  </w:pPr>
                </w:p>
                <w:p w14:paraId="550E6696">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(6)纸质投标文件份数符合招标文件第二章“投标人须知”第3.7.5项规定。（仅当采用纸质投标文件评标时）</w:t>
                  </w:r>
                </w:p>
                <w:p w14:paraId="79C5B6E0">
                  <w:pPr>
                    <w:widowControl w:val="0"/>
                    <w:jc w:val="left"/>
                    <w:rPr>
                      <w:rFonts w:hint="eastAsia" w:ascii="宋体" w:hAnsi="宋体" w:eastAsia="宋体" w:cs="宋体"/>
                      <w:b w:val="0"/>
                      <w:color w:val="auto"/>
                      <w:kern w:val="2"/>
                      <w:sz w:val="21"/>
                      <w:szCs w:val="22"/>
                      <w:lang w:val="en-US" w:eastAsia="zh-CN" w:bidi="ar-SA"/>
                    </w:rPr>
                  </w:pPr>
                </w:p>
                <w:p w14:paraId="121EB27B">
                  <w:pPr>
                    <w:widowControl w:val="0"/>
                    <w:jc w:val="left"/>
                    <w:rPr>
                      <w:rFonts w:hint="eastAsia" w:ascii="宋体" w:hAnsi="宋体" w:eastAsia="宋体" w:cs="宋体"/>
                      <w:b w:val="0"/>
                      <w:color w:val="auto"/>
                      <w:kern w:val="2"/>
                      <w:sz w:val="21"/>
                      <w:szCs w:val="22"/>
                      <w:lang w:val="en-US" w:eastAsia="zh-CN" w:bidi="ar-SA"/>
                    </w:rPr>
                  </w:pPr>
                </w:p>
              </w:tc>
            </w:tr>
            <w:bookmarkEnd w:id="117"/>
          </w:tbl>
          <w:p w14:paraId="79BC7B3D">
            <w:pPr>
              <w:widowControl w:val="0"/>
              <w:jc w:val="both"/>
              <w:rPr>
                <w:rFonts w:hint="eastAsia" w:ascii="宋体" w:hAnsi="宋体" w:eastAsia="宋体" w:cs="宋体"/>
                <w:color w:val="auto"/>
                <w:kern w:val="2"/>
                <w:sz w:val="20"/>
                <w:szCs w:val="22"/>
                <w:highlight w:val="white"/>
                <w:lang w:val="en-US" w:eastAsia="zh-CN" w:bidi="ar-SA"/>
              </w:rPr>
            </w:pPr>
          </w:p>
          <w:p w14:paraId="7A60FD66">
            <w:pPr>
              <w:widowControl w:val="0"/>
              <w:jc w:val="both"/>
              <w:rPr>
                <w:rFonts w:hint="eastAsia" w:ascii="宋体" w:hAnsi="宋体" w:eastAsia="宋体" w:cs="宋体"/>
                <w:color w:val="auto"/>
                <w:kern w:val="2"/>
                <w:sz w:val="21"/>
                <w:szCs w:val="22"/>
                <w:highlight w:val="red"/>
                <w:lang w:val="en-US" w:eastAsia="zh-CN" w:bidi="ar-SA"/>
              </w:rPr>
            </w:pPr>
            <w:bookmarkStart w:id="118" w:name="EB7f048157d4f3480caed063e3bd17d568"/>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14:paraId="1756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493BAD3">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CA534EC">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评审因素与评审标准</w:t>
                  </w:r>
                </w:p>
              </w:tc>
            </w:tr>
            <w:tr w14:paraId="572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E75EF6E">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2.1.2</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FEF8DC2">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资格评审标准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32BBBE3">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(1)投标人具备有效的营业执照、组织机构代码证、监理资质证书和基本账户开户许可证</w:t>
                  </w:r>
                </w:p>
                <w:p w14:paraId="5569EFBE">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(2)投标人的资质等级符合招标文件规定</w:t>
                  </w:r>
                </w:p>
                <w:p w14:paraId="04B421DD">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(3)投标人的类似项目业绩符合招标文件规定</w:t>
                  </w:r>
                </w:p>
                <w:p w14:paraId="62009833">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(4)投标人的信誉符合招标文件规定</w:t>
                  </w:r>
                </w:p>
                <w:p w14:paraId="51FB23B0">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(5)投标人的总监理工程师或驻地监理工程师资格、在岗情况符合招标文件规定</w:t>
                  </w:r>
                </w:p>
                <w:p w14:paraId="4086AC1A">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(6)投标人的其他要求符合招标文件规定</w:t>
                  </w:r>
                </w:p>
                <w:p w14:paraId="6D30EC2F">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(7)投标人不存在第二章“投标人须知”第1.4.3项或第1.4.4项规定的任何一种情形</w:t>
                  </w:r>
                </w:p>
                <w:p w14:paraId="3FFA18EB">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(8)投标人符合第二章“投标人须知”第1.4.5项规定</w:t>
                  </w:r>
                </w:p>
                <w:p w14:paraId="13BCB663">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(9)以联合体形式参与投标的，联合体各方均未再以自己名义单独或参加其他联合体在同一标段中投标；独立参与投标的，投标人未同时参加联合体在同一标段中投标</w:t>
                  </w:r>
                </w:p>
                <w:p w14:paraId="3E98DEF0">
                  <w:pPr>
                    <w:widowControl w:val="0"/>
                    <w:jc w:val="left"/>
                    <w:rPr>
                      <w:rFonts w:hint="eastAsia" w:ascii="宋体" w:hAnsi="宋体" w:eastAsia="宋体" w:cs="宋体"/>
                      <w:b w:val="0"/>
                      <w:color w:val="auto"/>
                      <w:kern w:val="2"/>
                      <w:sz w:val="21"/>
                      <w:szCs w:val="22"/>
                      <w:lang w:val="en-US" w:eastAsia="zh-CN" w:bidi="ar-SA"/>
                    </w:rPr>
                  </w:pPr>
                </w:p>
              </w:tc>
            </w:tr>
            <w:bookmarkEnd w:id="118"/>
          </w:tbl>
          <w:p w14:paraId="56B95B7C">
            <w:pPr>
              <w:widowControl w:val="0"/>
              <w:jc w:val="both"/>
              <w:rPr>
                <w:rFonts w:hint="eastAsia" w:ascii="宋体" w:hAnsi="宋体" w:eastAsia="宋体" w:cs="宋体"/>
                <w:color w:val="auto"/>
                <w:kern w:val="2"/>
                <w:sz w:val="20"/>
                <w:szCs w:val="22"/>
                <w:highlight w:val="white"/>
                <w:lang w:val="en-US" w:eastAsia="zh-CN" w:bidi="ar-SA"/>
              </w:rPr>
            </w:pPr>
          </w:p>
        </w:tc>
      </w:tr>
    </w:tbl>
    <w:p w14:paraId="36F70C21">
      <w:pPr>
        <w:rPr>
          <w:rFonts w:hint="eastAsia" w:ascii="宋体" w:hAnsi="宋体" w:eastAsia="宋体" w:cs="宋体"/>
          <w:color w:val="auto"/>
          <w:highlight w:val="red"/>
        </w:rPr>
      </w:pPr>
      <w:bookmarkStart w:id="119" w:name="EBb7cdb1ebe4da41b88f888d52b2430dba"/>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2287"/>
        <w:gridCol w:w="5580"/>
      </w:tblGrid>
      <w:tr w14:paraId="4F44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0FDAE1A">
            <w:pPr>
              <w:widowControl w:val="0"/>
              <w:jc w:val="center"/>
              <w:rPr>
                <w:rFonts w:hint="eastAsia" w:ascii="宋体" w:hAnsi="宋体" w:eastAsia="宋体" w:cs="宋体"/>
                <w:b/>
                <w:color w:val="auto"/>
                <w:kern w:val="2"/>
                <w:sz w:val="21"/>
                <w:szCs w:val="22"/>
                <w:lang w:val="en-US" w:eastAsia="zh-CN" w:bidi="ar-SA"/>
              </w:rPr>
            </w:pPr>
            <w:r>
              <w:rPr>
                <w:rFonts w:hint="eastAsia" w:ascii="宋体" w:hAnsi="宋体" w:eastAsia="宋体" w:cs="宋体"/>
                <w:b/>
                <w:color w:val="auto"/>
                <w:kern w:val="2"/>
                <w:sz w:val="21"/>
                <w:szCs w:val="22"/>
                <w:lang w:val="en-US" w:eastAsia="zh-CN" w:bidi="ar-SA"/>
              </w:rPr>
              <w:t>条款号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DDF55A9">
            <w:pPr>
              <w:widowControl w:val="0"/>
              <w:jc w:val="center"/>
              <w:rPr>
                <w:rFonts w:hint="eastAsia" w:ascii="宋体" w:hAnsi="宋体" w:eastAsia="宋体" w:cs="宋体"/>
                <w:b/>
                <w:color w:val="auto"/>
                <w:kern w:val="2"/>
                <w:sz w:val="21"/>
                <w:szCs w:val="22"/>
                <w:lang w:val="en-US" w:eastAsia="zh-CN" w:bidi="ar-SA"/>
              </w:rPr>
            </w:pPr>
            <w:r>
              <w:rPr>
                <w:rFonts w:hint="eastAsia" w:ascii="宋体" w:hAnsi="宋体" w:eastAsia="宋体" w:cs="宋体"/>
                <w:b/>
                <w:color w:val="auto"/>
                <w:kern w:val="2"/>
                <w:sz w:val="21"/>
                <w:szCs w:val="22"/>
                <w:lang w:val="en-US" w:eastAsia="zh-CN" w:bidi="ar-SA"/>
              </w:rPr>
              <w:t>条款内容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A5E5498">
            <w:pPr>
              <w:widowControl w:val="0"/>
              <w:jc w:val="center"/>
              <w:rPr>
                <w:rFonts w:hint="eastAsia" w:ascii="宋体" w:hAnsi="宋体" w:eastAsia="宋体" w:cs="宋体"/>
                <w:b/>
                <w:color w:val="auto"/>
                <w:kern w:val="2"/>
                <w:sz w:val="21"/>
                <w:szCs w:val="22"/>
                <w:lang w:val="en-US" w:eastAsia="zh-CN" w:bidi="ar-SA"/>
              </w:rPr>
            </w:pPr>
            <w:r>
              <w:rPr>
                <w:rFonts w:hint="eastAsia" w:ascii="宋体" w:hAnsi="宋体" w:eastAsia="宋体" w:cs="宋体"/>
                <w:b/>
                <w:color w:val="auto"/>
                <w:kern w:val="2"/>
                <w:sz w:val="21"/>
                <w:szCs w:val="22"/>
                <w:lang w:val="en-US" w:eastAsia="zh-CN" w:bidi="ar-SA"/>
              </w:rPr>
              <w:t>编列内容</w:t>
            </w:r>
          </w:p>
        </w:tc>
      </w:tr>
      <w:tr w14:paraId="09C3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0EBA2F4">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2.2.1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6EFDEA5">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分值构成</w:t>
            </w:r>
          </w:p>
          <w:p w14:paraId="41DEE1A6">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（总分100.0分）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E3FE3F8">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第一个信封（商务及技术文件）评分分值构成：</w:t>
            </w:r>
          </w:p>
          <w:p w14:paraId="79D3F51D">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技术建议书：25.0分</w:t>
            </w:r>
          </w:p>
          <w:p w14:paraId="118693FD">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主要人员：35.0分</w:t>
            </w:r>
          </w:p>
          <w:p w14:paraId="6176076F">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业绩 ：24分</w:t>
            </w:r>
          </w:p>
          <w:p w14:paraId="62FC2E93">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履约信誉 ：6分</w:t>
            </w:r>
          </w:p>
          <w:p w14:paraId="60FF1680">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w:t>
            </w:r>
          </w:p>
          <w:p w14:paraId="73B6BF8D">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第二个信封（报价文件）评分分值构成：</w:t>
            </w:r>
          </w:p>
          <w:p w14:paraId="3A4FBE97">
            <w:pPr>
              <w:widowControl w:val="0"/>
              <w:jc w:val="left"/>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评标价 ：10.0 分</w:t>
            </w:r>
          </w:p>
        </w:tc>
      </w:tr>
      <w:bookmarkEnd w:id="119"/>
    </w:tbl>
    <w:p w14:paraId="0BE416E9">
      <w:pPr>
        <w:rPr>
          <w:rFonts w:hint="eastAsia" w:ascii="宋体" w:hAnsi="宋体" w:eastAsia="宋体" w:cs="宋体"/>
          <w:color w:val="auto"/>
          <w:sz w:val="20"/>
          <w:highlight w:val="white"/>
        </w:rPr>
      </w:pPr>
    </w:p>
    <w:tbl>
      <w:tblPr>
        <w:tblStyle w:val="12"/>
        <w:tblW w:w="88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418"/>
        <w:gridCol w:w="6518"/>
      </w:tblGrid>
      <w:tr w14:paraId="5E2E9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14:paraId="5BEA2BA4">
            <w:pPr>
              <w:widowControl w:val="0"/>
              <w:spacing w:line="38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2.2.2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2732291">
            <w:pPr>
              <w:widowControl w:val="0"/>
              <w:spacing w:line="38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评标基准价计算方法</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0B55DCFD">
            <w:pPr>
              <w:widowControl w:val="0"/>
              <w:spacing w:line="360" w:lineRule="atLeast"/>
              <w:jc w:val="both"/>
              <w:rPr>
                <w:rFonts w:hint="eastAsia" w:ascii="宋体" w:hAnsi="宋体" w:eastAsia="宋体" w:cs="宋体"/>
                <w:color w:val="auto"/>
                <w:kern w:val="2"/>
                <w:sz w:val="21"/>
                <w:szCs w:val="21"/>
                <w:highlight w:val="red"/>
                <w:lang w:val="en-US" w:eastAsia="zh-CN" w:bidi="ar-SA"/>
              </w:rPr>
            </w:pPr>
            <w:bookmarkStart w:id="120" w:name="EBbfeaf33a69e1431a8ed3929657ae49e1"/>
          </w:p>
          <w:p w14:paraId="3461A69F">
            <w:pPr>
              <w:widowControl w:val="0"/>
              <w:jc w:val="both"/>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评标基准价计算方法：</w:t>
            </w:r>
          </w:p>
          <w:p w14:paraId="4B5A295E">
            <w:pPr>
              <w:widowControl w:val="0"/>
              <w:jc w:val="both"/>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在开标现场，招标人将当场计算并宣布评标基准价。</w:t>
            </w:r>
          </w:p>
          <w:p w14:paraId="7E070AA0">
            <w:pPr>
              <w:widowControl w:val="0"/>
              <w:jc w:val="both"/>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(1)评标价的确定：评标价=投标函文字报价</w:t>
            </w:r>
          </w:p>
          <w:p w14:paraId="46E2C93C">
            <w:pPr>
              <w:widowControl w:val="0"/>
              <w:jc w:val="both"/>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(2)评标价平均值的计算：</w:t>
            </w:r>
          </w:p>
          <w:p w14:paraId="645B0ECB">
            <w:pPr>
              <w:widowControl w:val="0"/>
              <w:jc w:val="both"/>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14:paraId="0245CC70">
            <w:pPr>
              <w:widowControl w:val="0"/>
              <w:jc w:val="both"/>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09E1FEA8">
            <w:pPr>
              <w:widowControl w:val="0"/>
              <w:jc w:val="both"/>
              <w:rPr>
                <w:rFonts w:hint="eastAsia" w:ascii="宋体" w:hAnsi="宋体" w:eastAsia="宋体" w:cs="宋体"/>
                <w:color w:val="auto"/>
                <w:kern w:val="2"/>
                <w:sz w:val="21"/>
                <w:szCs w:val="22"/>
                <w:lang w:val="en-US" w:eastAsia="zh-CN" w:bidi="ar-SA"/>
              </w:rPr>
            </w:pPr>
          </w:p>
          <w:bookmarkEnd w:id="120"/>
          <w:p w14:paraId="28E8B620">
            <w:pPr>
              <w:widowControl w:val="0"/>
              <w:spacing w:line="360" w:lineRule="atLeas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(3)</w:t>
            </w:r>
            <w:r>
              <w:rPr>
                <w:rFonts w:hint="eastAsia" w:ascii="宋体" w:hAnsi="宋体" w:eastAsia="宋体" w:cs="宋体"/>
                <w:color w:val="auto"/>
                <w:kern w:val="2"/>
                <w:sz w:val="21"/>
                <w:szCs w:val="21"/>
                <w:highlight w:val="white"/>
                <w:lang w:val="en-US" w:eastAsia="zh-CN" w:bidi="ar-SA"/>
              </w:rPr>
              <w:t>评标基准价的确定</w:t>
            </w:r>
            <w:r>
              <w:rPr>
                <w:rFonts w:hint="eastAsia" w:ascii="宋体" w:hAnsi="宋体" w:eastAsia="宋体" w:cs="宋体"/>
                <w:color w:val="auto"/>
                <w:kern w:val="2"/>
                <w:sz w:val="21"/>
                <w:szCs w:val="21"/>
                <w:highlight w:val="white"/>
                <w:lang w:val="en-US" w:eastAsia="zh-CN" w:bidi="ar-SA"/>
              </w:rPr>
              <w:t>:</w:t>
            </w:r>
          </w:p>
          <w:p w14:paraId="108CACBD">
            <w:pPr>
              <w:widowControl w:val="0"/>
              <w:spacing w:line="360" w:lineRule="atLeast"/>
              <w:jc w:val="both"/>
              <w:rPr>
                <w:rFonts w:hint="eastAsia" w:ascii="宋体" w:hAnsi="宋体" w:eastAsia="宋体" w:cs="宋体"/>
                <w:color w:val="auto"/>
                <w:kern w:val="2"/>
                <w:sz w:val="21"/>
                <w:szCs w:val="21"/>
                <w:highlight w:val="red"/>
                <w:lang w:val="en-US" w:eastAsia="zh-CN" w:bidi="ar-SA"/>
              </w:rPr>
            </w:pPr>
            <w:bookmarkStart w:id="121" w:name="EBf4f9dd6018754dd6b3d9c07b676b6ac2"/>
            <w:r>
              <w:rPr>
                <w:rFonts w:hint="eastAsia" w:ascii="宋体" w:hAnsi="宋体" w:eastAsia="宋体" w:cs="宋体"/>
                <w:color w:val="auto"/>
                <w:kern w:val="2"/>
                <w:sz w:val="20"/>
                <w:szCs w:val="21"/>
                <w:highlight w:val="white"/>
                <w:lang w:val="en-US" w:eastAsia="zh-CN" w:bidi="ar-SA"/>
              </w:rPr>
              <w:t>评标基准价=（最高投标限价×0.6+评标价平均值×0.4） ×（1-下浮系数）</w:t>
            </w:r>
            <w:bookmarkEnd w:id="121"/>
          </w:p>
          <w:p w14:paraId="77E563A0">
            <w:pPr>
              <w:widowControl w:val="0"/>
              <w:spacing w:line="360" w:lineRule="atLeas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下浮系数将从</w:t>
            </w:r>
            <w:r>
              <w:rPr>
                <w:rFonts w:hint="eastAsia" w:ascii="宋体" w:hAnsi="宋体" w:eastAsia="宋体" w:cs="宋体"/>
                <w:color w:val="auto"/>
                <w:kern w:val="2"/>
                <w:sz w:val="21"/>
                <w:szCs w:val="21"/>
                <w:highlight w:val="white"/>
                <w:lang w:val="en-US" w:eastAsia="zh-CN" w:bidi="ar-SA"/>
              </w:rPr>
              <w:t>1%~5%</w:t>
            </w:r>
            <w:r>
              <w:rPr>
                <w:rFonts w:hint="eastAsia" w:ascii="宋体" w:hAnsi="宋体" w:eastAsia="宋体" w:cs="宋体"/>
                <w:color w:val="auto"/>
                <w:kern w:val="2"/>
                <w:sz w:val="21"/>
                <w:szCs w:val="21"/>
                <w:highlight w:val="white"/>
                <w:lang w:val="en-US" w:eastAsia="zh-CN" w:bidi="ar-SA"/>
              </w:rPr>
              <w:t>中选取</w:t>
            </w:r>
            <w:r>
              <w:rPr>
                <w:rFonts w:hint="eastAsia" w:ascii="宋体" w:hAnsi="宋体" w:eastAsia="宋体" w:cs="宋体"/>
                <w:color w:val="auto"/>
                <w:kern w:val="2"/>
                <w:sz w:val="21"/>
                <w:szCs w:val="21"/>
                <w:highlight w:val="white"/>
                <w:lang w:val="en-US" w:eastAsia="zh-CN" w:bidi="ar-SA"/>
              </w:rPr>
              <w:t>5</w:t>
            </w:r>
            <w:r>
              <w:rPr>
                <w:rFonts w:hint="eastAsia" w:ascii="宋体" w:hAnsi="宋体" w:eastAsia="宋体" w:cs="宋体"/>
                <w:color w:val="auto"/>
                <w:kern w:val="2"/>
                <w:sz w:val="21"/>
                <w:szCs w:val="21"/>
                <w:highlight w:val="white"/>
                <w:lang w:val="en-US" w:eastAsia="zh-CN" w:bidi="ar-SA"/>
              </w:rPr>
              <w:t>个数，步距不小于</w:t>
            </w:r>
            <w:r>
              <w:rPr>
                <w:rFonts w:hint="eastAsia" w:ascii="宋体" w:hAnsi="宋体" w:eastAsia="宋体" w:cs="宋体"/>
                <w:color w:val="auto"/>
                <w:kern w:val="2"/>
                <w:sz w:val="21"/>
                <w:szCs w:val="21"/>
                <w:highlight w:val="white"/>
                <w:lang w:val="en-US" w:eastAsia="zh-CN" w:bidi="ar-SA"/>
              </w:rPr>
              <w:t>0.5%</w:t>
            </w:r>
            <w:r>
              <w:rPr>
                <w:rFonts w:hint="eastAsia" w:ascii="宋体" w:hAnsi="宋体" w:eastAsia="宋体" w:cs="宋体"/>
                <w:color w:val="auto"/>
                <w:kern w:val="2"/>
                <w:sz w:val="21"/>
                <w:szCs w:val="21"/>
                <w:highlight w:val="white"/>
                <w:lang w:val="en-US" w:eastAsia="zh-CN" w:bidi="ar-SA"/>
              </w:rPr>
              <w:t>，设置等差数列，并在开标时随机抽取。</w:t>
            </w:r>
            <w:r>
              <w:rPr>
                <w:rFonts w:hint="eastAsia" w:ascii="宋体" w:hAnsi="宋体" w:eastAsia="宋体" w:cs="宋体"/>
                <w:color w:val="auto"/>
                <w:szCs w:val="21"/>
                <w:vertAlign w:val="superscript"/>
              </w:rPr>
              <w:footnoteReference w:id="5"/>
            </w:r>
          </w:p>
          <w:p w14:paraId="1CCF00EF">
            <w:pPr>
              <w:widowControl w:val="0"/>
              <w:spacing w:line="360" w:lineRule="atLeas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如果投标人认为某一标段的评标基准价计算有误，</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有权在开标现场提出，经当场核实确认之后，可重新宣布评标基准价。</w:t>
            </w:r>
          </w:p>
          <w:p w14:paraId="10796A45">
            <w:pPr>
              <w:widowControl w:val="0"/>
              <w:spacing w:line="340" w:lineRule="atLeas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B8DB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14:paraId="77C45580">
            <w:pPr>
              <w:widowControl w:val="0"/>
              <w:spacing w:line="38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2.2.3</w:t>
            </w:r>
          </w:p>
        </w:tc>
        <w:tc>
          <w:tcPr>
            <w:tcW w:w="1418" w:type="dxa"/>
            <w:tcBorders>
              <w:top w:val="single" w:color="auto" w:sz="4" w:space="0"/>
              <w:left w:val="nil"/>
              <w:bottom w:val="single" w:color="auto" w:sz="4" w:space="0"/>
              <w:right w:val="single" w:color="auto" w:sz="4" w:space="0"/>
            </w:tcBorders>
            <w:noWrap w:val="0"/>
            <w:vAlign w:val="center"/>
          </w:tcPr>
          <w:p w14:paraId="59CB0765">
            <w:pPr>
              <w:widowControl w:val="0"/>
              <w:spacing w:line="380" w:lineRule="atLeast"/>
              <w:ind w:left="-105" w:leftChars="-50" w:right="-105" w:rightChars="-5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评标价的偏差率计算公式</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38B645A3">
            <w:pPr>
              <w:widowControl w:val="0"/>
              <w:spacing w:line="340" w:lineRule="atLeast"/>
              <w:ind w:firstLine="420" w:firstLineChars="200"/>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偏差率</w:t>
            </w:r>
            <w:r>
              <w:rPr>
                <w:rFonts w:hint="eastAsia" w:ascii="宋体" w:hAnsi="宋体" w:eastAsia="宋体" w:cs="宋体"/>
                <w:color w:val="auto"/>
                <w:kern w:val="2"/>
                <w:sz w:val="21"/>
                <w:szCs w:val="21"/>
                <w:highlight w:val="white"/>
                <w:lang w:val="en-US" w:eastAsia="zh-CN" w:bidi="ar-SA"/>
              </w:rPr>
              <w:t>=100% ×</w:t>
            </w:r>
            <w:r>
              <w:rPr>
                <w:rFonts w:hint="eastAsia" w:ascii="宋体" w:hAnsi="宋体" w:eastAsia="宋体" w:cs="宋体"/>
                <w:color w:val="auto"/>
                <w:kern w:val="2"/>
                <w:sz w:val="21"/>
                <w:szCs w:val="21"/>
                <w:highlight w:val="white"/>
                <w:lang w:val="en-US" w:eastAsia="zh-CN" w:bidi="ar-SA"/>
              </w:rPr>
              <w:t>（投标人评标价－评标基准价）</w:t>
            </w:r>
            <w:r>
              <w:rPr>
                <w:rFonts w:hint="eastAsia" w:ascii="宋体" w:hAnsi="宋体" w:eastAsia="宋体" w:cs="宋体"/>
                <w:color w:val="auto"/>
                <w:kern w:val="2"/>
                <w:sz w:val="21"/>
                <w:szCs w:val="21"/>
                <w:highlight w:val="white"/>
                <w:lang w:val="en-US" w:eastAsia="zh-CN" w:bidi="ar-SA"/>
              </w:rPr>
              <w:t>/</w:t>
            </w:r>
            <w:r>
              <w:rPr>
                <w:rFonts w:hint="eastAsia" w:ascii="宋体" w:hAnsi="宋体" w:eastAsia="宋体" w:cs="宋体"/>
                <w:color w:val="auto"/>
                <w:kern w:val="2"/>
                <w:sz w:val="21"/>
                <w:szCs w:val="21"/>
                <w:highlight w:val="white"/>
                <w:lang w:val="en-US" w:eastAsia="zh-CN" w:bidi="ar-SA"/>
              </w:rPr>
              <w:t>评标基准价</w:t>
            </w:r>
          </w:p>
        </w:tc>
      </w:tr>
    </w:tbl>
    <w:p w14:paraId="2FA00C53">
      <w:pPr>
        <w:rPr>
          <w:rFonts w:hint="eastAsia" w:ascii="宋体" w:hAnsi="宋体" w:eastAsia="宋体" w:cs="宋体"/>
          <w:color w:val="auto"/>
          <w:highlight w:val="red"/>
        </w:rPr>
      </w:pPr>
      <w:bookmarkStart w:id="122" w:name="EB92b8f3e50fdc41758ac9b6ab473484de"/>
      <w:bookmarkStart w:id="123" w:name="_Toc503235807"/>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480"/>
        <w:gridCol w:w="480"/>
        <w:gridCol w:w="672"/>
        <w:gridCol w:w="1339"/>
        <w:gridCol w:w="523"/>
        <w:gridCol w:w="4611"/>
      </w:tblGrid>
      <w:tr w14:paraId="2DB7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812161E">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条款号</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95A35F6">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评审因素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92572A0">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评审标准</w:t>
            </w:r>
          </w:p>
        </w:tc>
      </w:tr>
      <w:tr w14:paraId="06AF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D080B0C">
            <w:pPr>
              <w:widowControl w:val="0"/>
              <w:jc w:val="center"/>
              <w:rPr>
                <w:rFonts w:hint="eastAsia" w:ascii="宋体" w:hAnsi="宋体" w:eastAsia="宋体" w:cs="宋体"/>
                <w:b w:val="0"/>
                <w:color w:val="auto"/>
                <w:kern w:val="2"/>
                <w:sz w:val="21"/>
                <w:szCs w:val="22"/>
                <w:lang w:val="en-US" w:eastAsia="zh-CN" w:bidi="ar-SA"/>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5FB95D8">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D75B949">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评分因素</w:t>
            </w:r>
          </w:p>
          <w:p w14:paraId="242EF01A">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DB7BC60">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8441332">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5ECCFA1">
            <w:pPr>
              <w:widowControl w:val="0"/>
              <w:jc w:val="center"/>
              <w:rPr>
                <w:rFonts w:hint="eastAsia" w:ascii="宋体" w:hAnsi="宋体" w:eastAsia="宋体" w:cs="宋体"/>
                <w:b w:val="0"/>
                <w:color w:val="auto"/>
                <w:kern w:val="2"/>
                <w:sz w:val="21"/>
                <w:szCs w:val="22"/>
                <w:lang w:val="en-US" w:eastAsia="zh-CN" w:bidi="ar-SA"/>
              </w:rPr>
            </w:pPr>
          </w:p>
        </w:tc>
      </w:tr>
      <w:tr w14:paraId="0F73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991A3BD">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57BA380">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D89DE16">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D1B4D6F">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监理大纲（或监理方案）和措施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338B98C">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3DDD27D">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满足工程基本要求，得 9 分；切实可行且合理科学的，酌情加分，本项最高得 10 分</w:t>
            </w:r>
          </w:p>
        </w:tc>
      </w:tr>
      <w:tr w14:paraId="6203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9693760">
            <w:pPr>
              <w:widowControl w:val="0"/>
              <w:jc w:val="center"/>
              <w:rPr>
                <w:rFonts w:hint="eastAsia" w:ascii="宋体" w:hAnsi="宋体" w:eastAsia="宋体" w:cs="宋体"/>
                <w:b w:val="0"/>
                <w:color w:val="auto"/>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7497F7E">
            <w:pPr>
              <w:widowControl w:val="0"/>
              <w:jc w:val="center"/>
              <w:rPr>
                <w:rFonts w:hint="eastAsia"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8D39E8E">
            <w:pPr>
              <w:widowControl w:val="0"/>
              <w:jc w:val="center"/>
              <w:rPr>
                <w:rFonts w:hint="eastAsia"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B598323">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本工程监理工作的重点与难点分析</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4B3CB3D">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A0E2A02">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满足工程基本要求，得 9 分；切实可行且合理科学的，酌情加分，本项最高得10 分。</w:t>
            </w:r>
          </w:p>
        </w:tc>
      </w:tr>
      <w:tr w14:paraId="2D3E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AB137EE">
            <w:pPr>
              <w:widowControl w:val="0"/>
              <w:jc w:val="center"/>
              <w:rPr>
                <w:rFonts w:hint="eastAsia" w:ascii="宋体" w:hAnsi="宋体" w:eastAsia="宋体" w:cs="宋体"/>
                <w:b w:val="0"/>
                <w:color w:val="auto"/>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6532C83">
            <w:pPr>
              <w:widowControl w:val="0"/>
              <w:jc w:val="center"/>
              <w:rPr>
                <w:rFonts w:hint="eastAsia"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1402C15">
            <w:pPr>
              <w:widowControl w:val="0"/>
              <w:jc w:val="center"/>
              <w:rPr>
                <w:rFonts w:hint="eastAsia"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62C162A">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对本工程的建议</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C19EAB5">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9FBB803">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满足工程基本要求，得 4.5 分；切实可行且合理科学的，酌情加分，本项最高得5 分。</w:t>
            </w:r>
          </w:p>
        </w:tc>
      </w:tr>
      <w:tr w14:paraId="786C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9B71D16">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2.2.4（2）</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D03401F">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主要人员</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B7E050A">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35.0分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17381BA">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总监理工程师或驻地监理工程师任职资格与业绩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2E0A43C">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35分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1E23942">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1.满足资格审查条件要求得 31.5 分；</w:t>
            </w:r>
          </w:p>
          <w:p w14:paraId="4D81CBFB">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在此基础上，最近8年（2017年1月1日至投标文件递交截止之日止）增加一条长度不小于7.6km高速公路新建或改扩建土建工程施工监理担任总监理工程师或副总监理工程师或驻地监理工程师或副驻地监理工程师职务的业绩的加3.5分，本项最多加3.5分。</w:t>
            </w:r>
          </w:p>
        </w:tc>
      </w:tr>
      <w:tr w14:paraId="7279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F61025A">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2.2.4（3）</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BDF06A5">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评标价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AFC40BF">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10分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D2E750A">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1.如果投标人的评标价大于评标基准价，则评标价得分＝F－偏差率×100× E1；</w:t>
            </w:r>
          </w:p>
          <w:p w14:paraId="6EFD2767">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2.如果投标人的评标价小于等于评标基准价，则评标价得分＝F＋偏差率× 100× E2。</w:t>
            </w:r>
          </w:p>
          <w:p w14:paraId="3CF89AFB">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其中：F是评标价所占的权重分值，E1是评标价每高于评标基准价一个百分点的扣分值，E2是评标价每低于评标基准价一个百分点的扣分值，E1=0.2, E2=0.1</w:t>
            </w:r>
          </w:p>
          <w:p w14:paraId="679B1E6E">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评标价最低得0分。下浮系数将从1%~3%中选取5个数，分别为下浮1%、1.5%、2%、2.5%、3%。</w:t>
            </w:r>
          </w:p>
        </w:tc>
      </w:tr>
      <w:tr w14:paraId="4D43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DE753C7">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2.2.4（4）</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9AF03E8">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其他因素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FD29689">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61925AC">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24分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6836C71">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1、满足投标人须知附录2资格审查条件（业绩最低要求）得21.6分；</w:t>
            </w:r>
          </w:p>
          <w:p w14:paraId="296A65C2">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2、投标人每增加一个同时满足以下①和②的业绩加1.2分，本项最多加2.4分。</w:t>
            </w:r>
          </w:p>
          <w:p w14:paraId="57C52A86">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①最近8年（2017年1月1日至投标文件递交截止之日止），独立完成过1个单项合同里程不低于7.6公里（内容须包含路基）的新建或改扩建高速公路施工监理工作。</w:t>
            </w:r>
          </w:p>
          <w:p w14:paraId="77018709">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②最近8年（2017年1月1日至投标文件递交截止之日止），独立完成过1座特大桥的新建或改扩建高速公路桥梁施工监理工作。</w:t>
            </w:r>
          </w:p>
          <w:p w14:paraId="057DF30A">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注：满足①和②两个条件的业绩可以是不同合同的业绩。</w:t>
            </w:r>
          </w:p>
        </w:tc>
      </w:tr>
      <w:tr w14:paraId="5C85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92792D0">
            <w:pPr>
              <w:widowControl w:val="0"/>
              <w:jc w:val="center"/>
              <w:rPr>
                <w:rFonts w:hint="eastAsia" w:ascii="宋体" w:hAnsi="宋体" w:eastAsia="宋体" w:cs="宋体"/>
                <w:b w:val="0"/>
                <w:color w:val="auto"/>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B976A4D">
            <w:pPr>
              <w:widowControl w:val="0"/>
              <w:jc w:val="center"/>
              <w:rPr>
                <w:rFonts w:hint="eastAsia" w:ascii="宋体" w:hAnsi="宋体" w:eastAsia="宋体" w:cs="宋体"/>
                <w:b w:val="0"/>
                <w:color w:val="auto"/>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D26AFF2">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履约信誉</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EA58C06">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6分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FB48E85">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1、信用评价（5分）：</w:t>
            </w:r>
          </w:p>
          <w:p w14:paraId="04ADF917">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年度信用等级</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最近第一年/分</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最近第二年/分</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最近第三年/分</w:t>
            </w:r>
          </w:p>
          <w:p w14:paraId="4593064B">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AA</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2.5</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1.5</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1.0</w:t>
            </w:r>
          </w:p>
          <w:p w14:paraId="0C492FE9">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A</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1.75</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1.05</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0.7</w:t>
            </w:r>
          </w:p>
          <w:p w14:paraId="2AD4A153">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B/C</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0</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0</w:t>
            </w:r>
            <w:r>
              <w:rPr>
                <w:rFonts w:hint="eastAsia" w:ascii="宋体" w:hAnsi="宋体" w:eastAsia="宋体" w:cs="宋体"/>
                <w:b w:val="0"/>
                <w:color w:val="auto"/>
                <w:kern w:val="2"/>
                <w:sz w:val="21"/>
                <w:szCs w:val="22"/>
                <w:lang w:val="en-US" w:eastAsia="zh-CN" w:bidi="ar-SA"/>
              </w:rPr>
              <w:tab/>
            </w:r>
            <w:r>
              <w:rPr>
                <w:rFonts w:hint="eastAsia" w:ascii="宋体" w:hAnsi="宋体" w:eastAsia="宋体" w:cs="宋体"/>
                <w:b w:val="0"/>
                <w:color w:val="auto"/>
                <w:kern w:val="2"/>
                <w:sz w:val="21"/>
                <w:szCs w:val="22"/>
                <w:lang w:val="en-US" w:eastAsia="zh-CN" w:bidi="ar-SA"/>
              </w:rPr>
              <w:t>0</w:t>
            </w:r>
          </w:p>
          <w:p w14:paraId="68288DDF">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注：1）信用等级评价以投标文件递交截止日前一日发布的企业信用评价结果进行权值分配。当年在湖南省交通行业有信用评价结果的，按照湖南省交通运输厅现行规定予以采用；当年在湖南省交通行业没有信用评价结果的，同一行业内的信用评价结果（包括国家和外省）实行全国互认，按照“就高不就低”自主填报，并附相关佐证材料。</w:t>
            </w:r>
          </w:p>
          <w:p w14:paraId="4B020577">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2、其他履约信誉（1分）</w:t>
            </w:r>
          </w:p>
          <w:p w14:paraId="0944CD6F">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 xml:space="preserve">投标人在近 8 年（2017年1月1日至递交投标文件截止之日前一日），所监公路工程（含独立桥隧）项目获得过：李春奖（公路交通优质工程奖）或国家优质工程奖的，前二个奖项每个加 0.35 分，第三个加 0.3 分，加满 1 分为止。 </w:t>
            </w:r>
          </w:p>
          <w:p w14:paraId="6558DB66">
            <w:pPr>
              <w:widowControl w:val="0"/>
              <w:jc w:val="center"/>
              <w:rPr>
                <w:rFonts w:hint="eastAsia" w:ascii="宋体" w:hAnsi="宋体" w:eastAsia="宋体" w:cs="宋体"/>
                <w:b w:val="0"/>
                <w:color w:val="auto"/>
                <w:kern w:val="2"/>
                <w:sz w:val="21"/>
                <w:szCs w:val="22"/>
                <w:lang w:val="en-US" w:eastAsia="zh-CN" w:bidi="ar-SA"/>
              </w:rPr>
            </w:pPr>
            <w:r>
              <w:rPr>
                <w:rFonts w:hint="eastAsia" w:ascii="宋体" w:hAnsi="宋体" w:eastAsia="宋体" w:cs="宋体"/>
                <w:b w:val="0"/>
                <w:color w:val="auto"/>
                <w:kern w:val="2"/>
                <w:sz w:val="21"/>
                <w:szCs w:val="22"/>
                <w:lang w:val="en-US" w:eastAsia="zh-CN" w:bidi="ar-SA"/>
              </w:rPr>
              <w:t>注：1.获奖情况须提供交通运输部“全国公路建设市场监督管理系统”（网址：https://hwdms.mot.gov.cn/BMWebSite/）中查询到的“获奖项目”、“奖项名称”、“获奖年度”、“获奖单位”相关信息网页截图复印件，获奖年度为：2020 年度~至今。2.同一个项目获得多个奖项的，只计一次分，不重复计分。</w:t>
            </w:r>
          </w:p>
        </w:tc>
      </w:tr>
      <w:bookmarkEnd w:id="122"/>
    </w:tbl>
    <w:p w14:paraId="76929C2A">
      <w:pPr>
        <w:rPr>
          <w:rFonts w:hint="eastAsia" w:ascii="宋体" w:hAnsi="宋体" w:eastAsia="宋体" w:cs="宋体"/>
          <w:color w:val="auto"/>
          <w:sz w:val="20"/>
          <w:highlight w:val="white"/>
        </w:rPr>
      </w:pPr>
    </w:p>
    <w:p w14:paraId="0C6DB9BB">
      <w:pPr>
        <w:pStyle w:val="2"/>
        <w:rPr>
          <w:rFonts w:hint="eastAsia" w:ascii="宋体" w:hAnsi="宋体" w:eastAsia="宋体" w:cs="宋体"/>
          <w:b w:val="0"/>
          <w:color w:val="auto"/>
          <w:sz w:val="21"/>
          <w:szCs w:val="21"/>
        </w:rPr>
      </w:pPr>
      <w:r>
        <w:rPr>
          <w:rFonts w:hint="eastAsia" w:ascii="宋体" w:hAnsi="宋体" w:eastAsia="宋体" w:cs="宋体"/>
          <w:b w:val="0"/>
          <w:bCs/>
          <w:color w:val="auto"/>
          <w:sz w:val="27"/>
          <w:szCs w:val="27"/>
          <w:highlight w:val="white"/>
        </w:rPr>
        <w:br w:type="page"/>
      </w:r>
      <w:bookmarkStart w:id="124" w:name="_Toc17366030"/>
      <w:bookmarkStart w:id="125" w:name="_Toc510015739"/>
      <w:r>
        <w:rPr>
          <w:rFonts w:hint="eastAsia" w:ascii="宋体" w:hAnsi="宋体" w:eastAsia="宋体" w:cs="宋体"/>
          <w:b w:val="0"/>
          <w:color w:val="auto"/>
          <w:sz w:val="21"/>
          <w:szCs w:val="21"/>
          <w:highlight w:val="white"/>
        </w:rPr>
        <w:t>1. 评标方法</w:t>
      </w:r>
      <w:bookmarkEnd w:id="123"/>
      <w:bookmarkEnd w:id="124"/>
      <w:bookmarkEnd w:id="125"/>
    </w:p>
    <w:p w14:paraId="14423C7F">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23BF8A84">
      <w:pPr>
        <w:pStyle w:val="2"/>
        <w:rPr>
          <w:rFonts w:hint="eastAsia" w:ascii="宋体" w:hAnsi="宋体" w:eastAsia="宋体" w:cs="宋体"/>
          <w:b w:val="0"/>
          <w:color w:val="auto"/>
          <w:sz w:val="21"/>
          <w:szCs w:val="21"/>
        </w:rPr>
      </w:pPr>
      <w:bookmarkStart w:id="126" w:name="_Toc510015740"/>
      <w:bookmarkStart w:id="127" w:name="_Toc17366031"/>
      <w:bookmarkStart w:id="128" w:name="_Toc503235808"/>
      <w:r>
        <w:rPr>
          <w:rFonts w:hint="eastAsia" w:ascii="宋体" w:hAnsi="宋体" w:eastAsia="宋体" w:cs="宋体"/>
          <w:b w:val="0"/>
          <w:color w:val="auto"/>
          <w:sz w:val="21"/>
          <w:szCs w:val="21"/>
          <w:highlight w:val="white"/>
        </w:rPr>
        <w:t>2. 评审标准</w:t>
      </w:r>
      <w:bookmarkEnd w:id="126"/>
      <w:bookmarkEnd w:id="127"/>
      <w:bookmarkEnd w:id="128"/>
    </w:p>
    <w:p w14:paraId="304996A2">
      <w:pPr>
        <w:pStyle w:val="4"/>
        <w:keepNext w:val="0"/>
        <w:jc w:val="left"/>
        <w:rPr>
          <w:rFonts w:hint="eastAsia" w:ascii="宋体" w:hAnsi="宋体" w:eastAsia="宋体" w:cs="宋体"/>
          <w:b/>
          <w:color w:val="auto"/>
          <w:sz w:val="21"/>
          <w:szCs w:val="21"/>
        </w:rPr>
      </w:pPr>
      <w:bookmarkStart w:id="129" w:name="_Toc503235809"/>
      <w:bookmarkStart w:id="130" w:name="_Toc510015741"/>
      <w:r>
        <w:rPr>
          <w:rFonts w:hint="eastAsia" w:ascii="宋体" w:hAnsi="宋体" w:eastAsia="宋体" w:cs="宋体"/>
          <w:b/>
          <w:color w:val="auto"/>
          <w:sz w:val="21"/>
          <w:szCs w:val="21"/>
          <w:highlight w:val="white"/>
        </w:rPr>
        <w:t>2.1 初步评审标准</w:t>
      </w:r>
      <w:bookmarkEnd w:id="129"/>
      <w:bookmarkEnd w:id="130"/>
    </w:p>
    <w:p w14:paraId="46F53DE2">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2.1.1 形式评审标准：见评标办法前附表。</w:t>
      </w:r>
    </w:p>
    <w:p w14:paraId="16CD5A13">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2.1.2 资格评审标准：见评标办法前附表。（适用于未进行资格预审的）</w:t>
      </w:r>
    </w:p>
    <w:p w14:paraId="3693ECCC">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2.1.2 资格评审标准：见资格预审文件第三章“资格审查办法”详细审查标准。（适用于已进行资格预审的）</w:t>
      </w:r>
    </w:p>
    <w:p w14:paraId="196D58AB">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2.1.3 响应性评审标准：见评标办法前附表。</w:t>
      </w:r>
    </w:p>
    <w:p w14:paraId="4C4126FE">
      <w:pPr>
        <w:pStyle w:val="4"/>
        <w:keepNext w:val="0"/>
        <w:jc w:val="left"/>
        <w:rPr>
          <w:rFonts w:hint="eastAsia" w:ascii="宋体" w:hAnsi="宋体" w:eastAsia="宋体" w:cs="宋体"/>
          <w:b/>
          <w:color w:val="auto"/>
          <w:sz w:val="21"/>
          <w:szCs w:val="21"/>
        </w:rPr>
      </w:pPr>
      <w:bookmarkStart w:id="131" w:name="_Toc503235810"/>
      <w:bookmarkStart w:id="132" w:name="_Toc510015742"/>
      <w:r>
        <w:rPr>
          <w:rFonts w:hint="eastAsia" w:ascii="宋体" w:hAnsi="宋体" w:eastAsia="宋体" w:cs="宋体"/>
          <w:b/>
          <w:color w:val="auto"/>
          <w:sz w:val="21"/>
          <w:szCs w:val="21"/>
          <w:highlight w:val="white"/>
        </w:rPr>
        <w:t>2.2 分值构成与评分标准</w:t>
      </w:r>
      <w:bookmarkEnd w:id="131"/>
      <w:bookmarkEnd w:id="132"/>
    </w:p>
    <w:p w14:paraId="1D82B6CB">
      <w:pPr>
        <w:tabs>
          <w:tab w:val="left" w:pos="360"/>
        </w:tabs>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2.2.1 分值构成</w:t>
      </w:r>
    </w:p>
    <w:p w14:paraId="54A9B380">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（1）技术建议书：见评标办法前附表；</w:t>
      </w:r>
    </w:p>
    <w:p w14:paraId="5D0AB8D3">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（2）主要人员：见评标办法前附表；</w:t>
      </w:r>
    </w:p>
    <w:p w14:paraId="458DE122">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（3）评标价：见评标办法前附表；</w:t>
      </w:r>
    </w:p>
    <w:p w14:paraId="6B485523">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（4）其他评分因素：见评标办法前附表。</w:t>
      </w:r>
    </w:p>
    <w:p w14:paraId="42AAE5C6">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2.2.2 评标基准价计算</w:t>
      </w:r>
    </w:p>
    <w:p w14:paraId="3A321FCE">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评标基准价计算方法：见评标办法前附表。</w:t>
      </w:r>
    </w:p>
    <w:p w14:paraId="51512E5C">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2.2.3 评标价的偏差率计算</w:t>
      </w:r>
    </w:p>
    <w:p w14:paraId="113DDF1C">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评标价的偏差率计算公式：见评标办法前附表。</w:t>
      </w:r>
    </w:p>
    <w:p w14:paraId="07E592C2">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2.2.4 评分标准</w:t>
      </w:r>
    </w:p>
    <w:p w14:paraId="5D172CEF">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（1）技术建议书评分标准：见评标办法前附表；</w:t>
      </w:r>
    </w:p>
    <w:p w14:paraId="30FC7B21">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（2）主要人员评分标准：见评标办法前附表；</w:t>
      </w:r>
    </w:p>
    <w:p w14:paraId="75D24086">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（3）评标价评分标准：见评标办法前附表；</w:t>
      </w:r>
    </w:p>
    <w:p w14:paraId="24B0838E">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（4）其他因素评分标准：见评标办法前附表。</w:t>
      </w:r>
    </w:p>
    <w:p w14:paraId="1246A2FE">
      <w:pPr>
        <w:pStyle w:val="2"/>
        <w:rPr>
          <w:rFonts w:hint="eastAsia" w:ascii="宋体" w:hAnsi="宋体" w:eastAsia="宋体" w:cs="宋体"/>
          <w:b w:val="0"/>
          <w:color w:val="auto"/>
          <w:sz w:val="21"/>
          <w:szCs w:val="21"/>
        </w:rPr>
      </w:pPr>
      <w:bookmarkStart w:id="133" w:name="_Toc17366032"/>
      <w:bookmarkStart w:id="134" w:name="_Toc510015743"/>
      <w:bookmarkStart w:id="135" w:name="_Toc503235811"/>
      <w:r>
        <w:rPr>
          <w:rFonts w:hint="eastAsia" w:ascii="宋体" w:hAnsi="宋体" w:eastAsia="宋体" w:cs="宋体"/>
          <w:b w:val="0"/>
          <w:color w:val="auto"/>
          <w:sz w:val="21"/>
          <w:szCs w:val="21"/>
          <w:highlight w:val="white"/>
        </w:rPr>
        <w:t>3. 评标程序</w:t>
      </w:r>
      <w:bookmarkEnd w:id="133"/>
      <w:bookmarkEnd w:id="134"/>
      <w:bookmarkEnd w:id="135"/>
    </w:p>
    <w:p w14:paraId="302B82E9">
      <w:pPr>
        <w:pStyle w:val="4"/>
        <w:keepNext w:val="0"/>
        <w:jc w:val="left"/>
        <w:rPr>
          <w:rFonts w:hint="eastAsia" w:ascii="宋体" w:hAnsi="宋体" w:eastAsia="宋体" w:cs="宋体"/>
          <w:b/>
          <w:color w:val="auto"/>
          <w:sz w:val="21"/>
          <w:szCs w:val="21"/>
        </w:rPr>
      </w:pPr>
      <w:bookmarkStart w:id="136" w:name="_Toc503235812"/>
      <w:bookmarkStart w:id="137" w:name="_Toc510015744"/>
      <w:r>
        <w:rPr>
          <w:rFonts w:hint="eastAsia" w:ascii="宋体" w:hAnsi="宋体" w:eastAsia="宋体" w:cs="宋体"/>
          <w:b/>
          <w:color w:val="auto"/>
          <w:sz w:val="21"/>
          <w:szCs w:val="21"/>
          <w:highlight w:val="white"/>
        </w:rPr>
        <w:t>3.1 第一个信封初步评审</w:t>
      </w:r>
      <w:bookmarkEnd w:id="136"/>
      <w:bookmarkEnd w:id="137"/>
    </w:p>
    <w:p w14:paraId="296E0E2B">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083B75F6">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14:paraId="64919904">
      <w:pPr>
        <w:pStyle w:val="4"/>
        <w:keepNext w:val="0"/>
        <w:jc w:val="left"/>
        <w:rPr>
          <w:rFonts w:hint="eastAsia" w:ascii="宋体" w:hAnsi="宋体" w:eastAsia="宋体" w:cs="宋体"/>
          <w:b/>
          <w:color w:val="auto"/>
          <w:sz w:val="21"/>
          <w:szCs w:val="21"/>
        </w:rPr>
      </w:pPr>
      <w:bookmarkStart w:id="138" w:name="_Toc510015745"/>
      <w:bookmarkStart w:id="139" w:name="_Toc503235813"/>
      <w:r>
        <w:rPr>
          <w:rFonts w:hint="eastAsia" w:ascii="宋体" w:hAnsi="宋体" w:eastAsia="宋体" w:cs="宋体"/>
          <w:b/>
          <w:color w:val="auto"/>
          <w:sz w:val="21"/>
          <w:szCs w:val="21"/>
          <w:highlight w:val="white"/>
        </w:rPr>
        <w:t>3.2 第一个信封详细评审</w:t>
      </w:r>
      <w:bookmarkEnd w:id="138"/>
      <w:bookmarkEnd w:id="139"/>
    </w:p>
    <w:p w14:paraId="1963F0F6">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3.2.1 评标委员会按本章第2.2款规定的量化因素和分值进行打分，并计算出各投标人的商务和技术得分。</w:t>
      </w:r>
    </w:p>
    <w:p w14:paraId="0F25CF51">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（1）按本章第2.2.4项（1）目规定的评审因素和分值对技术建议书部分计算出得分A；</w:t>
      </w:r>
    </w:p>
    <w:p w14:paraId="712FD2BA">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（2）按本章第2.2.4项（2）目规定的评审因素和分值对主要人员部分计算出得分B；</w:t>
      </w:r>
    </w:p>
    <w:p w14:paraId="325293AF">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（3）按本章第2.2.4项（4）目规定的评审因素和分值对其他部分计算出得分D。</w:t>
      </w:r>
    </w:p>
    <w:p w14:paraId="0A71FEFB">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3.2.2 投标人的商务和技术得分分值计算保留小数点后两位，小数点后第三位“四舍五入”。</w:t>
      </w:r>
    </w:p>
    <w:p w14:paraId="31385C30">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 xml:space="preserve">3.2.3 投标人的商务和技术得分=A+B+D。 </w:t>
      </w:r>
    </w:p>
    <w:p w14:paraId="358112F7">
      <w:pPr>
        <w:pStyle w:val="4"/>
        <w:keepNext w:val="0"/>
        <w:jc w:val="left"/>
        <w:rPr>
          <w:rFonts w:hint="eastAsia" w:ascii="宋体" w:hAnsi="宋体" w:eastAsia="宋体" w:cs="宋体"/>
          <w:b/>
          <w:color w:val="auto"/>
          <w:sz w:val="21"/>
          <w:szCs w:val="21"/>
        </w:rPr>
      </w:pPr>
      <w:bookmarkStart w:id="140" w:name="_Toc510015746"/>
      <w:bookmarkStart w:id="141" w:name="_Toc503235814"/>
      <w:r>
        <w:rPr>
          <w:rFonts w:hint="eastAsia" w:ascii="宋体" w:hAnsi="宋体" w:eastAsia="宋体" w:cs="宋体"/>
          <w:b/>
          <w:color w:val="auto"/>
          <w:sz w:val="21"/>
          <w:szCs w:val="21"/>
          <w:highlight w:val="white"/>
        </w:rPr>
        <w:t>3.3 第二个信封开标</w:t>
      </w:r>
      <w:bookmarkEnd w:id="140"/>
      <w:bookmarkEnd w:id="141"/>
    </w:p>
    <w:p w14:paraId="439AE0D4">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14:paraId="392402DD">
      <w:pPr>
        <w:pStyle w:val="4"/>
        <w:keepNext w:val="0"/>
        <w:jc w:val="left"/>
        <w:rPr>
          <w:rFonts w:hint="eastAsia" w:ascii="宋体" w:hAnsi="宋体" w:eastAsia="宋体" w:cs="宋体"/>
          <w:b/>
          <w:color w:val="auto"/>
          <w:sz w:val="21"/>
          <w:szCs w:val="21"/>
        </w:rPr>
      </w:pPr>
      <w:bookmarkStart w:id="142" w:name="_Toc510015747"/>
      <w:bookmarkStart w:id="143" w:name="_Toc503235815"/>
      <w:r>
        <w:rPr>
          <w:rFonts w:hint="eastAsia" w:ascii="宋体" w:hAnsi="宋体" w:eastAsia="宋体" w:cs="宋体"/>
          <w:b/>
          <w:color w:val="auto"/>
          <w:sz w:val="21"/>
          <w:szCs w:val="21"/>
          <w:highlight w:val="white"/>
        </w:rPr>
        <w:t>3.4 第二个信封初步评审</w:t>
      </w:r>
      <w:bookmarkEnd w:id="142"/>
      <w:bookmarkEnd w:id="143"/>
    </w:p>
    <w:p w14:paraId="3702C375">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*3.4.1 评标委员会依据本章第2.1.1项、第2.1.3项规定的评审标准对投标文件第二个信封（报价文件）进行初步评审。有一项不符合评审标准的，评标委员会应否决其投标。</w:t>
      </w:r>
    </w:p>
    <w:p w14:paraId="7EF5DDF4">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*3.4.2 投标报价有算术错误的，评标委员会按以下原则对投标报价进行修正，修正的价格经投标人书面确认后具有约束力。投标人不接受修正价格的，评标委员会应否决其投标。</w:t>
      </w:r>
    </w:p>
    <w:p w14:paraId="4482D209">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（1）投标文件中的大写金额与小写金额不一致的，以大写金额为准；</w:t>
      </w:r>
    </w:p>
    <w:p w14:paraId="740B431F">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（2）总价金额与依据单价计算出的结果不一致的，以单价金额为准修正总价，但单价金额小数点有明显错误的除外；</w:t>
      </w:r>
    </w:p>
    <w:p w14:paraId="2DFDD842">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（3）当单价与数量相乘不等于合价时，以单价计算为准，如果单价有明显的小数点位置差错，应以标出的合价为准，同时对单价予以修正；</w:t>
      </w:r>
    </w:p>
    <w:p w14:paraId="046E25B9">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（4）当各子目的合价累计不等于总价时，应以各子目合价累计数为准，修正总价。</w:t>
      </w:r>
    </w:p>
    <w:p w14:paraId="4236908C">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*3.4.3 修正后的最终投标报价若超过最高投标限价（如有），评标委员会应否决其投标。</w:t>
      </w:r>
    </w:p>
    <w:p w14:paraId="056538AC">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3.4.4 修正后的最终投标报价仅作为签订合同的一个依据，不参与评标价得分的计算。</w:t>
      </w:r>
    </w:p>
    <w:p w14:paraId="1C1F0B0C">
      <w:pPr>
        <w:pStyle w:val="4"/>
        <w:keepNext w:val="0"/>
        <w:jc w:val="left"/>
        <w:rPr>
          <w:rFonts w:hint="eastAsia" w:ascii="宋体" w:hAnsi="宋体" w:eastAsia="宋体" w:cs="宋体"/>
          <w:b/>
          <w:color w:val="auto"/>
          <w:sz w:val="21"/>
          <w:szCs w:val="21"/>
        </w:rPr>
      </w:pPr>
      <w:bookmarkStart w:id="144" w:name="_Toc510015748"/>
      <w:bookmarkStart w:id="145" w:name="_Toc503235816"/>
      <w:r>
        <w:rPr>
          <w:rFonts w:hint="eastAsia" w:ascii="宋体" w:hAnsi="宋体" w:eastAsia="宋体" w:cs="宋体"/>
          <w:b/>
          <w:color w:val="auto"/>
          <w:sz w:val="21"/>
          <w:szCs w:val="21"/>
          <w:highlight w:val="white"/>
        </w:rPr>
        <w:t>3.5 第二个信封详细评审</w:t>
      </w:r>
      <w:bookmarkEnd w:id="144"/>
      <w:bookmarkEnd w:id="145"/>
    </w:p>
    <w:p w14:paraId="292E0DA0">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3.5.1 评标委员会按本章第2.2.4项（3）目规定的评审因素和分值对评标价计算出得分C。评标价得分分值计算保留小数点后两位，小数点后第三位“四舍五入”。</w:t>
      </w:r>
    </w:p>
    <w:p w14:paraId="77C67EB0">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3.5.2 投标人综合得分=投标人的商务和技术得分+C。</w:t>
      </w:r>
    </w:p>
    <w:p w14:paraId="38956147">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4E874BEE">
      <w:pPr>
        <w:pStyle w:val="4"/>
        <w:keepNext w:val="0"/>
        <w:jc w:val="left"/>
        <w:rPr>
          <w:rFonts w:hint="eastAsia" w:ascii="宋体" w:hAnsi="宋体" w:eastAsia="宋体" w:cs="宋体"/>
          <w:b/>
          <w:color w:val="auto"/>
          <w:sz w:val="21"/>
          <w:szCs w:val="21"/>
        </w:rPr>
      </w:pPr>
      <w:bookmarkStart w:id="146" w:name="_Toc503235817"/>
      <w:bookmarkStart w:id="147" w:name="_Toc510015749"/>
      <w:r>
        <w:rPr>
          <w:rFonts w:hint="eastAsia" w:ascii="宋体" w:hAnsi="宋体" w:eastAsia="宋体" w:cs="宋体"/>
          <w:b/>
          <w:color w:val="auto"/>
          <w:sz w:val="21"/>
          <w:szCs w:val="21"/>
          <w:highlight w:val="white"/>
        </w:rPr>
        <w:t>3.6 投标文件相关信息的核查</w:t>
      </w:r>
      <w:bookmarkEnd w:id="146"/>
      <w:bookmarkEnd w:id="147"/>
    </w:p>
    <w:p w14:paraId="41169108">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37666119">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6C397E65">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（1）有下列情形之一的，属于投标人相互串通投标：</w:t>
      </w:r>
    </w:p>
    <w:p w14:paraId="3688C786">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a.投标人之间协商投标报价等投标文件的实质性内容；</w:t>
      </w:r>
    </w:p>
    <w:p w14:paraId="24CFF427">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b.投标人之间约定中标人；</w:t>
      </w:r>
    </w:p>
    <w:p w14:paraId="60E0F7C1">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c.投标人之间约定部分投标人放弃投标或中标；</w:t>
      </w:r>
    </w:p>
    <w:p w14:paraId="2A2EA4E3">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d.属于同一集团、协会、商会等组织成员的投标人按照该组织要求协同投标；</w:t>
      </w:r>
    </w:p>
    <w:p w14:paraId="3A746D84">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e.投标人之间为谋取中标或排斥特定投标人而采取的其他联合行动。</w:t>
      </w:r>
    </w:p>
    <w:p w14:paraId="4F2E165E">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（2）有下列情形之一的，视为投标人相互串通投标：</w:t>
      </w:r>
    </w:p>
    <w:p w14:paraId="7F410546">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a.不同投标人的投标文件由同一单位或个人编制；</w:t>
      </w:r>
    </w:p>
    <w:p w14:paraId="64FF63EE">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b.不同投标人委托同一单位或个人办理投标事宜；</w:t>
      </w:r>
    </w:p>
    <w:p w14:paraId="1C0313CB">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c.不同投标人的投标文件载明的项目管理成员为同一人；</w:t>
      </w:r>
    </w:p>
    <w:p w14:paraId="58AD464D">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d.不同投标人的投标文件异常一致或投标报价呈规律性差异；</w:t>
      </w:r>
    </w:p>
    <w:p w14:paraId="497A3E3D">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e.不同投标人的投标文件相互混装；</w:t>
      </w:r>
    </w:p>
    <w:p w14:paraId="7689782E">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f.不同投标人的投标保证金从同一单位或个人的账户转出；</w:t>
      </w:r>
    </w:p>
    <w:p w14:paraId="4510C713">
      <w:pPr>
        <w:widowControl/>
        <w:ind w:left="420"/>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g.不同投标人提交电子投标文件IP地址相同且无法合理说明的；</w:t>
      </w:r>
    </w:p>
    <w:p w14:paraId="25126FFF">
      <w:pPr>
        <w:widowControl/>
        <w:ind w:left="420"/>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h.不同投标人提交电子投标文件的IP地址在某一特定区域且无法合理说明的；</w:t>
      </w:r>
    </w:p>
    <w:p w14:paraId="5AD7C9C5">
      <w:pPr>
        <w:widowControl/>
        <w:ind w:left="420"/>
        <w:jc w:val="left"/>
        <w:rPr>
          <w:rFonts w:hint="eastAsia" w:ascii="宋体" w:hAnsi="宋体" w:eastAsia="宋体" w:cs="宋体"/>
          <w:color w:val="auto"/>
          <w:kern w:val="0"/>
          <w:sz w:val="21"/>
          <w:szCs w:val="21"/>
        </w:rPr>
      </w:pPr>
      <w:r>
        <w:rPr>
          <w:rFonts w:hint="eastAsia" w:ascii="宋体" w:hAnsi="宋体" w:eastAsia="宋体" w:cs="宋体"/>
          <w:color w:val="auto"/>
          <w:sz w:val="21"/>
          <w:szCs w:val="21"/>
          <w:highlight w:val="white"/>
        </w:rPr>
        <w:t>i.电子投标文件硬件信息相同且无法合理说明的。</w:t>
      </w:r>
    </w:p>
    <w:p w14:paraId="215EF2FA">
      <w:pPr>
        <w:spacing w:line="400" w:lineRule="atLeast"/>
        <w:ind w:firstLine="420" w:firstLineChars="200"/>
        <w:rPr>
          <w:rFonts w:hint="eastAsia" w:ascii="宋体" w:hAnsi="宋体" w:eastAsia="宋体" w:cs="宋体"/>
          <w:color w:val="auto"/>
          <w:sz w:val="21"/>
          <w:szCs w:val="21"/>
        </w:rPr>
      </w:pPr>
    </w:p>
    <w:p w14:paraId="7C6F0343">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（3）有下列情形之一的，属于招标人与投标人串通投标：</w:t>
      </w:r>
    </w:p>
    <w:p w14:paraId="62F12E73">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a.招标人在开标前开启投标文件并将有关信息泄露给其他投标人;</w:t>
      </w:r>
    </w:p>
    <w:p w14:paraId="442BCDC0">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b.招标人直接或间接向投标人泄露标底、评标委员会成员等信息；</w:t>
      </w:r>
    </w:p>
    <w:p w14:paraId="10DDAD49">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c.招标人明示或暗示投标人压低或抬高投标报价；</w:t>
      </w:r>
    </w:p>
    <w:p w14:paraId="5A89A395">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d.招标人授意投标人撤换、修改投标文件；</w:t>
      </w:r>
    </w:p>
    <w:p w14:paraId="34188B54">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e.招标人明示或暗示投标人为特定投标人中标提供方便；</w:t>
      </w:r>
    </w:p>
    <w:p w14:paraId="42A5B933">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f.招标人与投标人为谋求特定投标人中标而采取的其他串通行为。</w:t>
      </w:r>
    </w:p>
    <w:p w14:paraId="7BB5C9AC">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（4）投标人有下列情形之一的，属于弄虚作假的行为：</w:t>
      </w:r>
    </w:p>
    <w:p w14:paraId="38A50C1F">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a.使用通过受让或租借等方式获取的资格、资质证书投标；</w:t>
      </w:r>
    </w:p>
    <w:p w14:paraId="22B2BDCB">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b.使用伪造、变造的许可证件；</w:t>
      </w:r>
    </w:p>
    <w:p w14:paraId="0E40F4B4">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c.提供虚假的业绩；</w:t>
      </w:r>
    </w:p>
    <w:p w14:paraId="722C32E2">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d.提供虚假的项目负责人或主要技术人员简历、劳动关系证明；</w:t>
      </w:r>
    </w:p>
    <w:p w14:paraId="4B484D06">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e.提供虚假的信用状况；</w:t>
      </w:r>
    </w:p>
    <w:p w14:paraId="37148CF3">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f.其他弄虚作假的行为。</w:t>
      </w:r>
    </w:p>
    <w:p w14:paraId="39C9CB7D">
      <w:pPr>
        <w:pStyle w:val="4"/>
        <w:keepNext w:val="0"/>
        <w:jc w:val="left"/>
        <w:rPr>
          <w:rFonts w:hint="eastAsia" w:ascii="宋体" w:hAnsi="宋体" w:eastAsia="宋体" w:cs="宋体"/>
          <w:b/>
          <w:color w:val="auto"/>
          <w:sz w:val="21"/>
          <w:szCs w:val="21"/>
        </w:rPr>
      </w:pPr>
      <w:bookmarkStart w:id="148" w:name="_Toc503235818"/>
      <w:bookmarkStart w:id="149" w:name="_Toc510015750"/>
      <w:r>
        <w:rPr>
          <w:rFonts w:hint="eastAsia" w:ascii="宋体" w:hAnsi="宋体" w:eastAsia="宋体" w:cs="宋体"/>
          <w:b/>
          <w:color w:val="auto"/>
          <w:sz w:val="21"/>
          <w:szCs w:val="21"/>
          <w:highlight w:val="white"/>
        </w:rPr>
        <w:t>3.7 投标文件的澄清和说明</w:t>
      </w:r>
      <w:bookmarkEnd w:id="148"/>
      <w:bookmarkEnd w:id="149"/>
    </w:p>
    <w:p w14:paraId="2359893D">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0C0C99F1">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3.7.2 澄清和说明不得超出投标文件的范围或改变投标文件的实质性内容（算术性错误的修正除外）。投标人的书面澄清、说明属于投标文件的组成部分。</w:t>
      </w:r>
    </w:p>
    <w:p w14:paraId="236993B0">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3.7.3 评标委员会不得暗示或诱导投标人作出澄清、说明，对投标人提交的澄清、说明有疑问的，可以要求投标人进一步澄清或说明，直至满足评标委员会的要求。</w:t>
      </w:r>
    </w:p>
    <w:p w14:paraId="430B7BB1">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3.7.4 凡超出招标文件规定的或给委托人带来未曾要求的利益的变化、偏差或其他因素在评标时不予考虑。</w:t>
      </w:r>
    </w:p>
    <w:p w14:paraId="70EA6AF5">
      <w:pPr>
        <w:pStyle w:val="4"/>
        <w:keepNext w:val="0"/>
        <w:jc w:val="left"/>
        <w:rPr>
          <w:rFonts w:hint="eastAsia" w:ascii="宋体" w:hAnsi="宋体" w:eastAsia="宋体" w:cs="宋体"/>
          <w:b/>
          <w:color w:val="auto"/>
          <w:sz w:val="21"/>
          <w:szCs w:val="21"/>
        </w:rPr>
      </w:pPr>
      <w:bookmarkStart w:id="150" w:name="_Toc503235819"/>
      <w:bookmarkStart w:id="151" w:name="_Toc510015751"/>
      <w:bookmarkStart w:id="152" w:name="_Toc501257170"/>
      <w:r>
        <w:rPr>
          <w:rFonts w:hint="eastAsia" w:ascii="宋体" w:hAnsi="宋体" w:eastAsia="宋体" w:cs="宋体"/>
          <w:b/>
          <w:color w:val="auto"/>
          <w:sz w:val="21"/>
          <w:szCs w:val="21"/>
          <w:highlight w:val="white"/>
        </w:rPr>
        <w:t>3.8 不得否决投标的情形</w:t>
      </w:r>
      <w:bookmarkEnd w:id="150"/>
      <w:bookmarkEnd w:id="151"/>
      <w:bookmarkEnd w:id="152"/>
    </w:p>
    <w:p w14:paraId="4E90D065">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投标文件存在第二章“投标人须知”第1.12.3项所列情形的，均视为细微偏差，评标委员会不得否决投标人的投标，应按照第二章“投标人须知”第1.12.4项规定的原则处理。</w:t>
      </w:r>
    </w:p>
    <w:p w14:paraId="679C59CA">
      <w:pPr>
        <w:pStyle w:val="4"/>
        <w:keepNext w:val="0"/>
        <w:jc w:val="left"/>
        <w:rPr>
          <w:rFonts w:hint="eastAsia" w:ascii="宋体" w:hAnsi="宋体" w:eastAsia="宋体" w:cs="宋体"/>
          <w:b/>
          <w:color w:val="auto"/>
          <w:sz w:val="21"/>
          <w:szCs w:val="21"/>
        </w:rPr>
      </w:pPr>
      <w:bookmarkStart w:id="153" w:name="_Toc510015752"/>
      <w:bookmarkStart w:id="154" w:name="_Toc503235820"/>
      <w:r>
        <w:rPr>
          <w:rFonts w:hint="eastAsia" w:ascii="宋体" w:hAnsi="宋体" w:eastAsia="宋体" w:cs="宋体"/>
          <w:b/>
          <w:color w:val="auto"/>
          <w:sz w:val="21"/>
          <w:szCs w:val="21"/>
          <w:highlight w:val="white"/>
        </w:rPr>
        <w:t>3.9 评标结果</w:t>
      </w:r>
      <w:bookmarkEnd w:id="153"/>
      <w:bookmarkEnd w:id="154"/>
    </w:p>
    <w:p w14:paraId="52BF35FF">
      <w:pPr>
        <w:spacing w:line="40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3.9.1 除第二章“投标人须知”前附表授权直接确定中标人外，评标委员会按照得分由高到低的顺序推荐中标候选人，并标明排序。</w:t>
      </w:r>
    </w:p>
    <w:p w14:paraId="10510D99">
      <w:pPr>
        <w:ind w:firstLine="420" w:firstLineChars="200"/>
        <w:rPr>
          <w:rFonts w:hint="eastAsia" w:ascii="宋体" w:hAnsi="宋体" w:eastAsia="宋体" w:cs="宋体"/>
          <w:color w:val="auto"/>
          <w:sz w:val="24"/>
          <w:szCs w:val="24"/>
        </w:rPr>
      </w:pPr>
      <w:r>
        <w:rPr>
          <w:rFonts w:hint="eastAsia" w:ascii="宋体" w:hAnsi="宋体" w:eastAsia="宋体" w:cs="宋体"/>
          <w:color w:val="auto"/>
          <w:sz w:val="21"/>
          <w:szCs w:val="21"/>
          <w:highlight w:val="white"/>
        </w:rPr>
        <w:t>3.9.2 评标委员会完成评标后，应向招标人提交书面评标报告。</w:t>
      </w:r>
    </w:p>
    <w:p w14:paraId="6888D049">
      <w:pPr>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br w:type="page"/>
      </w:r>
    </w:p>
    <w:p w14:paraId="5164696B">
      <w:pPr>
        <w:pStyle w:val="15"/>
        <w:keepNext/>
        <w:keepLines/>
        <w:spacing w:before="240" w:after="240" w:line="240" w:lineRule="atLeast"/>
        <w:jc w:val="center"/>
        <w:outlineLvl w:val="0"/>
        <w:rPr>
          <w:rStyle w:val="13"/>
          <w:rFonts w:hint="eastAsia" w:ascii="宋体" w:hAnsi="宋体" w:eastAsia="宋体" w:cs="宋体"/>
          <w:color w:val="auto"/>
          <w:highlight w:val="none"/>
        </w:rPr>
      </w:pPr>
      <w:bookmarkStart w:id="155" w:name="_Toc256000012"/>
      <w:bookmarkStart w:id="156" w:name="_Toc3478"/>
      <w:bookmarkStart w:id="157" w:name="_Toc256000048"/>
      <w:bookmarkStart w:id="158" w:name="_Toc256000037"/>
      <w:r>
        <w:rPr>
          <w:rStyle w:val="13"/>
          <w:rFonts w:hint="eastAsia" w:ascii="宋体" w:hAnsi="宋体" w:eastAsia="宋体" w:cs="宋体"/>
          <w:b/>
          <w:bCs/>
          <w:color w:val="auto"/>
          <w:kern w:val="44"/>
          <w:sz w:val="28"/>
          <w:szCs w:val="28"/>
          <w:highlight w:val="none"/>
          <w:lang w:val="zh-CN"/>
        </w:rPr>
        <w:t>附件3 项目概况</w:t>
      </w:r>
      <w:bookmarkEnd w:id="155"/>
      <w:bookmarkEnd w:id="156"/>
      <w:bookmarkEnd w:id="157"/>
      <w:bookmarkEnd w:id="158"/>
    </w:p>
    <w:p w14:paraId="2B5E0686">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1.项目简介</w:t>
      </w:r>
    </w:p>
    <w:p w14:paraId="5C4EB2BA">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1.1概述</w:t>
      </w:r>
    </w:p>
    <w:p w14:paraId="7F48C1CE">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许广高速茶亭互通至长沙绕城高速公路，主线起于许广高速（岳望段）茶亭互通，经过桥驿镇，在长湖州南部上跨沙河及京广铁路，经新源社区、天胜社区、群力社区后沿现有中青路设高架桥，止于捞刀河枢纽互通，与长沙绕城高速相接，全长约23.3公里。全线共设置茶亭（枢纽）、桥驿、青竹湖、捞刀河（枢纽）共4处互通式立交，另设置桥驿连接约2.2公里，同步建设必要的交通工程和沿线设施。项目主线采用双向六车道高速公路标准建设，设计速度采用120公里/小时，路基宽度34米，桥涵设计汽车荷载等级采用公路-Ⅰ级，桥驿连接线采用二级公路标准建设，设计速度采用60公里/小时，路基宽度12米（跨京广铁路桥宽17米）。</w:t>
      </w:r>
    </w:p>
    <w:p w14:paraId="33FEE821">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1.2路线起终点、中间控制点、全长、沿线主要城镇、河流、公路及铁路等</w:t>
      </w:r>
    </w:p>
    <w:p w14:paraId="3AC6A58C">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1.2.1路线起终点、中间控制点及路线走向 </w:t>
      </w:r>
    </w:p>
    <w:p w14:paraId="60BF22E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许广高速茶亭互通至长沙绕城高速公路项目是长沙市往西北方向的一条放射线，沿线途经开福区、望城区等县区，是长沙市与岳阳市之间的一条高速公路，路线全长约 </w:t>
      </w:r>
      <w:r>
        <w:rPr>
          <w:rStyle w:val="13"/>
          <w:rFonts w:hint="eastAsia" w:ascii="宋体" w:hAnsi="宋体" w:eastAsia="宋体" w:cs="宋体"/>
          <w:b w:val="0"/>
          <w:bCs/>
          <w:color w:val="auto"/>
          <w:szCs w:val="21"/>
          <w:highlight w:val="none"/>
          <w:lang w:val="en-US" w:eastAsia="zh-CN"/>
        </w:rPr>
        <w:t>23.</w:t>
      </w:r>
      <w:r>
        <w:rPr>
          <w:rStyle w:val="13"/>
          <w:rFonts w:hint="eastAsia" w:ascii="宋体" w:hAnsi="宋体" w:eastAsia="宋体" w:cs="宋体"/>
          <w:b w:val="0"/>
          <w:bCs/>
          <w:color w:val="auto"/>
          <w:szCs w:val="21"/>
          <w:highlight w:val="none"/>
          <w:lang w:val="en-US" w:eastAsia="zh-CN"/>
        </w:rPr>
        <w:t>3</w:t>
      </w:r>
      <w:r>
        <w:rPr>
          <w:rStyle w:val="13"/>
          <w:rFonts w:hint="eastAsia" w:ascii="宋体" w:hAnsi="宋体" w:eastAsia="宋体" w:cs="宋体"/>
          <w:b w:val="0"/>
          <w:bCs/>
          <w:color w:val="auto"/>
          <w:szCs w:val="21"/>
          <w:highlight w:val="none"/>
          <w:lang w:val="en-US" w:eastAsia="zh-CN"/>
        </w:rPr>
        <w:t>km</w:t>
      </w:r>
      <w:r>
        <w:rPr>
          <w:rStyle w:val="13"/>
          <w:rFonts w:hint="eastAsia" w:ascii="宋体" w:hAnsi="宋体" w:eastAsia="宋体" w:cs="宋体"/>
          <w:b w:val="0"/>
          <w:bCs/>
          <w:color w:val="auto"/>
          <w:szCs w:val="21"/>
          <w:highlight w:val="none"/>
          <w:lang w:val="en-US" w:eastAsia="zh-CN"/>
        </w:rPr>
        <w:t xml:space="preserve">。路线起于许广高速公路茶亭互通，往东南经望城区、开福区，止于长沙绕城高速捞刀河互通，全线按双向六车道高速公路标准建设，设计速度为 </w:t>
      </w:r>
      <w:r>
        <w:rPr>
          <w:rStyle w:val="13"/>
          <w:rFonts w:hint="eastAsia" w:ascii="宋体" w:hAnsi="宋体" w:eastAsia="宋体" w:cs="宋体"/>
          <w:b w:val="0"/>
          <w:bCs/>
          <w:color w:val="auto"/>
          <w:szCs w:val="21"/>
          <w:highlight w:val="none"/>
          <w:lang w:val="en-US" w:eastAsia="zh-CN"/>
        </w:rPr>
        <w:t>120km/h</w:t>
      </w:r>
      <w:r>
        <w:rPr>
          <w:rStyle w:val="13"/>
          <w:rFonts w:hint="eastAsia" w:ascii="宋体" w:hAnsi="宋体" w:eastAsia="宋体" w:cs="宋体"/>
          <w:b w:val="0"/>
          <w:bCs/>
          <w:color w:val="auto"/>
          <w:szCs w:val="21"/>
          <w:highlight w:val="none"/>
          <w:lang w:val="en-US" w:eastAsia="zh-CN"/>
        </w:rPr>
        <w:t xml:space="preserve">，路基宽度为 </w:t>
      </w:r>
      <w:r>
        <w:rPr>
          <w:rStyle w:val="13"/>
          <w:rFonts w:hint="eastAsia" w:ascii="宋体" w:hAnsi="宋体" w:eastAsia="宋体" w:cs="宋体"/>
          <w:b w:val="0"/>
          <w:bCs/>
          <w:color w:val="auto"/>
          <w:szCs w:val="21"/>
          <w:highlight w:val="none"/>
          <w:lang w:val="en-US" w:eastAsia="zh-CN"/>
        </w:rPr>
        <w:t>34m</w:t>
      </w:r>
      <w:r>
        <w:rPr>
          <w:rStyle w:val="13"/>
          <w:rFonts w:hint="eastAsia" w:ascii="宋体" w:hAnsi="宋体" w:eastAsia="宋体" w:cs="宋体"/>
          <w:b w:val="0"/>
          <w:bCs/>
          <w:color w:val="auto"/>
          <w:szCs w:val="21"/>
          <w:highlight w:val="none"/>
          <w:lang w:val="en-US" w:eastAsia="zh-CN"/>
        </w:rPr>
        <w:t xml:space="preserve">。其中： </w:t>
      </w:r>
    </w:p>
    <w:p w14:paraId="789061F9">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本项目在终点段与现状中青路重合，桩号范围 </w:t>
      </w:r>
      <w:r>
        <w:rPr>
          <w:rStyle w:val="13"/>
          <w:rFonts w:hint="eastAsia" w:ascii="宋体" w:hAnsi="宋体" w:eastAsia="宋体" w:cs="宋体"/>
          <w:b w:val="0"/>
          <w:bCs/>
          <w:color w:val="auto"/>
          <w:szCs w:val="21"/>
          <w:highlight w:val="none"/>
          <w:lang w:val="en-US" w:eastAsia="zh-CN"/>
        </w:rPr>
        <w:t>K18+039.885—K23+678.266</w:t>
      </w:r>
      <w:r>
        <w:rPr>
          <w:rStyle w:val="13"/>
          <w:rFonts w:hint="eastAsia" w:ascii="宋体" w:hAnsi="宋体" w:eastAsia="宋体" w:cs="宋体"/>
          <w:b w:val="0"/>
          <w:bCs/>
          <w:color w:val="auto"/>
          <w:szCs w:val="21"/>
          <w:highlight w:val="none"/>
          <w:lang w:val="en-US" w:eastAsia="zh-CN"/>
        </w:rPr>
        <w:t>，路线长约</w:t>
      </w:r>
      <w:r>
        <w:rPr>
          <w:rStyle w:val="13"/>
          <w:rFonts w:hint="eastAsia" w:ascii="宋体" w:hAnsi="宋体" w:eastAsia="宋体" w:cs="宋体"/>
          <w:b w:val="0"/>
          <w:bCs/>
          <w:color w:val="auto"/>
          <w:szCs w:val="21"/>
          <w:highlight w:val="none"/>
          <w:lang w:val="en-US" w:eastAsia="zh-CN"/>
        </w:rPr>
        <w:t>5.64km</w:t>
      </w:r>
      <w:r>
        <w:rPr>
          <w:rStyle w:val="13"/>
          <w:rFonts w:hint="eastAsia" w:ascii="宋体" w:hAnsi="宋体" w:eastAsia="宋体" w:cs="宋体"/>
          <w:b w:val="0"/>
          <w:bCs/>
          <w:color w:val="auto"/>
          <w:szCs w:val="21"/>
          <w:highlight w:val="none"/>
          <w:lang w:val="en-US" w:eastAsia="zh-CN"/>
        </w:rPr>
        <w:t xml:space="preserve">。中青路现状为城市主干路，双向六车道，现状标准宽度 </w:t>
      </w:r>
      <w:r>
        <w:rPr>
          <w:rStyle w:val="13"/>
          <w:rFonts w:hint="eastAsia" w:ascii="宋体" w:hAnsi="宋体" w:eastAsia="宋体" w:cs="宋体"/>
          <w:b w:val="0"/>
          <w:bCs/>
          <w:color w:val="auto"/>
          <w:szCs w:val="21"/>
          <w:highlight w:val="none"/>
          <w:lang w:val="en-US" w:eastAsia="zh-CN"/>
        </w:rPr>
        <w:t>46m</w:t>
      </w:r>
      <w:r>
        <w:rPr>
          <w:rStyle w:val="13"/>
          <w:rFonts w:hint="eastAsia" w:ascii="宋体" w:hAnsi="宋体" w:eastAsia="宋体" w:cs="宋体"/>
          <w:b w:val="0"/>
          <w:bCs/>
          <w:color w:val="auto"/>
          <w:szCs w:val="21"/>
          <w:highlight w:val="none"/>
          <w:lang w:val="en-US" w:eastAsia="zh-CN"/>
        </w:rPr>
        <w:t xml:space="preserve">，远期规划 </w:t>
      </w:r>
      <w:r>
        <w:rPr>
          <w:rStyle w:val="13"/>
          <w:rFonts w:hint="eastAsia" w:ascii="宋体" w:hAnsi="宋体" w:eastAsia="宋体" w:cs="宋体"/>
          <w:b w:val="0"/>
          <w:bCs/>
          <w:color w:val="auto"/>
          <w:szCs w:val="21"/>
          <w:highlight w:val="none"/>
          <w:lang w:val="en-US" w:eastAsia="zh-CN"/>
        </w:rPr>
        <w:t>86</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66</w:t>
      </w:r>
      <w:r>
        <w:rPr>
          <w:rStyle w:val="13"/>
          <w:rFonts w:hint="eastAsia" w:ascii="宋体" w:hAnsi="宋体" w:eastAsia="宋体" w:cs="宋体"/>
          <w:b w:val="0"/>
          <w:bCs/>
          <w:color w:val="auto"/>
          <w:szCs w:val="21"/>
          <w:highlight w:val="none"/>
          <w:lang w:val="en-US" w:eastAsia="zh-CN"/>
        </w:rPr>
        <w:t xml:space="preserve">）米；本项目在中青路段设高架桥，与现状城市道路中青路形成上下两层的复合通道，为湖南省首条高速与市政复合通道项目。本项目的建设对现状中青路造成一定影响，需对中青路进行还建，还建范围包括：现状中青路北端至捞刀河互通南端的长青路，长约 </w:t>
      </w:r>
      <w:r>
        <w:rPr>
          <w:rStyle w:val="13"/>
          <w:rFonts w:hint="eastAsia" w:ascii="宋体" w:hAnsi="宋体" w:eastAsia="宋体" w:cs="宋体"/>
          <w:b w:val="0"/>
          <w:bCs/>
          <w:color w:val="auto"/>
          <w:szCs w:val="21"/>
          <w:highlight w:val="none"/>
          <w:lang w:val="en-US" w:eastAsia="zh-CN"/>
        </w:rPr>
        <w:t>5.64km</w:t>
      </w:r>
      <w:r>
        <w:rPr>
          <w:rStyle w:val="13"/>
          <w:rFonts w:hint="eastAsia" w:ascii="宋体" w:hAnsi="宋体" w:eastAsia="宋体" w:cs="宋体"/>
          <w:b w:val="0"/>
          <w:bCs/>
          <w:color w:val="auto"/>
          <w:szCs w:val="21"/>
          <w:highlight w:val="none"/>
          <w:lang w:val="en-US" w:eastAsia="zh-CN"/>
        </w:rPr>
        <w:t xml:space="preserve">，涉及路基路面、管线迁改、景观绿化、照明、交安及交通疏解等工程。 </w:t>
      </w:r>
    </w:p>
    <w:p w14:paraId="606CD8EF">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主要控制点：望城区茶亭镇、桥驿镇、开福区城镇规划、许广高速茶亭互通、长沙绕城高速捞刀河互通、芙蓉北路、黄桥大道、垃圾专用线、中青路、青竹湖路、大安路、前塘路、京广铁路、沙河、渝长厦高铁、高压铁塔群、西气东输长沙支线、中石油昆仑燃气、国家管网北方油管等。 </w:t>
      </w:r>
    </w:p>
    <w:p w14:paraId="785B4557">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1.2.2 路线所经主要城镇 </w:t>
      </w:r>
    </w:p>
    <w:p w14:paraId="7ACDD8A0">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本项目位于长沙市望城区、开福区境内，所经过的乡镇主要有茶亭镇、桥驿镇、金霞经济开发区。 </w:t>
      </w:r>
    </w:p>
    <w:p w14:paraId="3350C7B2">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1.2.3 路线所经主要河流 </w:t>
      </w:r>
    </w:p>
    <w:p w14:paraId="7658E8FE">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沙河。 </w:t>
      </w:r>
    </w:p>
    <w:p w14:paraId="1524A46C">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1.2.4 沿线公路分布 </w:t>
      </w:r>
    </w:p>
    <w:p w14:paraId="3DDB39DD">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区域路网发达，与本项目相交的高速公路有：许广高速公路、长沙绕城高速公路以及浏阳沙市至宁乡高速公路（规划）；其他等级公路主要有芙蓉北路 </w:t>
      </w:r>
      <w:r>
        <w:rPr>
          <w:rStyle w:val="13"/>
          <w:rFonts w:hint="eastAsia" w:ascii="宋体" w:hAnsi="宋体" w:eastAsia="宋体" w:cs="宋体"/>
          <w:b w:val="0"/>
          <w:bCs/>
          <w:color w:val="auto"/>
          <w:szCs w:val="21"/>
          <w:highlight w:val="none"/>
          <w:lang w:val="en-US" w:eastAsia="zh-CN"/>
        </w:rPr>
        <w:t>G240</w:t>
      </w:r>
      <w:r>
        <w:rPr>
          <w:rStyle w:val="13"/>
          <w:rFonts w:hint="eastAsia" w:ascii="宋体" w:hAnsi="宋体" w:eastAsia="宋体" w:cs="宋体"/>
          <w:b w:val="0"/>
          <w:bCs/>
          <w:color w:val="auto"/>
          <w:szCs w:val="21"/>
          <w:highlight w:val="none"/>
          <w:lang w:val="en-US" w:eastAsia="zh-CN"/>
        </w:rPr>
        <w:t xml:space="preserve">、黄桥大道、垃圾专用线；本项目位于城区，沿线还涉及较多城市道路：中青路、青竹湖路、大安路、前塘路、长青路等。 </w:t>
      </w:r>
    </w:p>
    <w:p w14:paraId="102FEAFF">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G0421 </w:t>
      </w:r>
      <w:r>
        <w:rPr>
          <w:rStyle w:val="13"/>
          <w:rFonts w:hint="eastAsia" w:ascii="宋体" w:hAnsi="宋体" w:eastAsia="宋体" w:cs="宋体"/>
          <w:b/>
          <w:bCs w:val="0"/>
          <w:color w:val="auto"/>
          <w:szCs w:val="21"/>
          <w:highlight w:val="none"/>
          <w:lang w:val="en-US" w:eastAsia="zh-CN"/>
        </w:rPr>
        <w:t>许广高速公路：</w:t>
      </w:r>
      <w:r>
        <w:rPr>
          <w:rStyle w:val="13"/>
          <w:rFonts w:hint="eastAsia" w:ascii="宋体" w:hAnsi="宋体" w:eastAsia="宋体" w:cs="宋体"/>
          <w:b w:val="0"/>
          <w:bCs/>
          <w:color w:val="auto"/>
          <w:szCs w:val="21"/>
          <w:highlight w:val="none"/>
          <w:lang w:val="en-US" w:eastAsia="zh-CN"/>
        </w:rPr>
        <w:t xml:space="preserve">即许昌至广州国家高速公路，是 </w:t>
      </w:r>
      <w:r>
        <w:rPr>
          <w:rStyle w:val="13"/>
          <w:rFonts w:hint="eastAsia" w:ascii="宋体" w:hAnsi="宋体" w:eastAsia="宋体" w:cs="宋体"/>
          <w:b w:val="0"/>
          <w:bCs/>
          <w:color w:val="auto"/>
          <w:szCs w:val="21"/>
          <w:highlight w:val="none"/>
          <w:lang w:val="en-US" w:eastAsia="zh-CN"/>
        </w:rPr>
        <w:t xml:space="preserve">G4 </w:t>
      </w:r>
      <w:r>
        <w:rPr>
          <w:rStyle w:val="13"/>
          <w:rFonts w:hint="eastAsia" w:ascii="宋体" w:hAnsi="宋体" w:eastAsia="宋体" w:cs="宋体"/>
          <w:b w:val="0"/>
          <w:bCs/>
          <w:color w:val="auto"/>
          <w:szCs w:val="21"/>
          <w:highlight w:val="none"/>
          <w:lang w:val="en-US" w:eastAsia="zh-CN"/>
        </w:rPr>
        <w:t xml:space="preserve">京港澳高速公路的西并行线。起于河南许昌，经湖南省岳阳、长沙、衡阳、郴州，终于广州市，于 </w:t>
      </w:r>
      <w:r>
        <w:rPr>
          <w:rStyle w:val="13"/>
          <w:rFonts w:hint="eastAsia" w:ascii="宋体" w:hAnsi="宋体" w:eastAsia="宋体" w:cs="宋体"/>
          <w:b w:val="0"/>
          <w:bCs/>
          <w:color w:val="auto"/>
          <w:szCs w:val="21"/>
          <w:highlight w:val="none"/>
          <w:lang w:val="en-US" w:eastAsia="zh-CN"/>
        </w:rPr>
        <w:t xml:space="preserve">2018 </w:t>
      </w:r>
      <w:r>
        <w:rPr>
          <w:rStyle w:val="13"/>
          <w:rFonts w:hint="eastAsia" w:ascii="宋体" w:hAnsi="宋体" w:eastAsia="宋体" w:cs="宋体"/>
          <w:b w:val="0"/>
          <w:bCs/>
          <w:color w:val="auto"/>
          <w:szCs w:val="21"/>
          <w:highlight w:val="none"/>
          <w:lang w:val="en-US" w:eastAsia="zh-CN"/>
        </w:rPr>
        <w:t xml:space="preserve">年 </w:t>
      </w:r>
      <w:r>
        <w:rPr>
          <w:rStyle w:val="13"/>
          <w:rFonts w:hint="eastAsia" w:ascii="宋体" w:hAnsi="宋体" w:eastAsia="宋体" w:cs="宋体"/>
          <w:b w:val="0"/>
          <w:bCs/>
          <w:color w:val="auto"/>
          <w:szCs w:val="21"/>
          <w:highlight w:val="none"/>
          <w:lang w:val="en-US" w:eastAsia="zh-CN"/>
        </w:rPr>
        <w:t xml:space="preserve">9 </w:t>
      </w:r>
      <w:r>
        <w:rPr>
          <w:rStyle w:val="13"/>
          <w:rFonts w:hint="eastAsia" w:ascii="宋体" w:hAnsi="宋体" w:eastAsia="宋体" w:cs="宋体"/>
          <w:b w:val="0"/>
          <w:bCs/>
          <w:color w:val="auto"/>
          <w:szCs w:val="21"/>
          <w:highlight w:val="none"/>
          <w:lang w:val="en-US" w:eastAsia="zh-CN"/>
        </w:rPr>
        <w:t xml:space="preserve">月全线建成通车。其湖南境内全长约 </w:t>
      </w:r>
      <w:r>
        <w:rPr>
          <w:rStyle w:val="13"/>
          <w:rFonts w:hint="eastAsia" w:ascii="宋体" w:hAnsi="宋体" w:eastAsia="宋体" w:cs="宋体"/>
          <w:b w:val="0"/>
          <w:bCs/>
          <w:color w:val="auto"/>
          <w:szCs w:val="21"/>
          <w:highlight w:val="none"/>
          <w:lang w:val="en-US" w:eastAsia="zh-CN"/>
        </w:rPr>
        <w:t xml:space="preserve">532 </w:t>
      </w:r>
      <w:r>
        <w:rPr>
          <w:rStyle w:val="13"/>
          <w:rFonts w:hint="eastAsia" w:ascii="宋体" w:hAnsi="宋体" w:eastAsia="宋体" w:cs="宋体"/>
          <w:b w:val="0"/>
          <w:bCs/>
          <w:color w:val="auto"/>
          <w:szCs w:val="21"/>
          <w:highlight w:val="none"/>
          <w:lang w:val="en-US" w:eastAsia="zh-CN"/>
        </w:rPr>
        <w:t xml:space="preserve">公里，分为随岳、岳望、长湘、潭衡西、衡桂、桂武六段，全线除潭衡西段外均为双向六车道高速公路。在项目直接影响区内为长湘、潭衡西两段，设计速度 </w:t>
      </w:r>
      <w:r>
        <w:rPr>
          <w:rStyle w:val="13"/>
          <w:rFonts w:hint="eastAsia" w:ascii="宋体" w:hAnsi="宋体" w:eastAsia="宋体" w:cs="宋体"/>
          <w:b w:val="0"/>
          <w:bCs/>
          <w:color w:val="auto"/>
          <w:szCs w:val="21"/>
          <w:highlight w:val="none"/>
          <w:lang w:val="en-US" w:eastAsia="zh-CN"/>
        </w:rPr>
        <w:t>120km/h</w:t>
      </w:r>
      <w:r>
        <w:rPr>
          <w:rStyle w:val="13"/>
          <w:rFonts w:hint="eastAsia" w:ascii="宋体" w:hAnsi="宋体" w:eastAsia="宋体" w:cs="宋体"/>
          <w:b w:val="0"/>
          <w:bCs/>
          <w:color w:val="auto"/>
          <w:szCs w:val="21"/>
          <w:highlight w:val="none"/>
          <w:lang w:val="en-US" w:eastAsia="zh-CN"/>
        </w:rPr>
        <w:t xml:space="preserve">。 </w:t>
      </w:r>
    </w:p>
    <w:p w14:paraId="0452A52F">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G0401 </w:t>
      </w:r>
      <w:r>
        <w:rPr>
          <w:rStyle w:val="13"/>
          <w:rFonts w:hint="eastAsia" w:ascii="宋体" w:hAnsi="宋体" w:eastAsia="宋体" w:cs="宋体"/>
          <w:b/>
          <w:bCs w:val="0"/>
          <w:color w:val="auto"/>
          <w:szCs w:val="21"/>
          <w:highlight w:val="none"/>
          <w:lang w:val="en-US" w:eastAsia="zh-CN"/>
        </w:rPr>
        <w:t>长沙绕城高速公路：</w:t>
      </w:r>
      <w:r>
        <w:rPr>
          <w:rStyle w:val="13"/>
          <w:rFonts w:hint="eastAsia" w:ascii="宋体" w:hAnsi="宋体" w:eastAsia="宋体" w:cs="宋体"/>
          <w:b w:val="0"/>
          <w:bCs/>
          <w:color w:val="auto"/>
          <w:szCs w:val="21"/>
          <w:highlight w:val="none"/>
          <w:lang w:val="en-US" w:eastAsia="zh-CN"/>
        </w:rPr>
        <w:t xml:space="preserve">长沙绕城高速公路也称为三环线，北起京港澳高速公路杨梓冲互通，西穿长张高速；南跨 </w:t>
      </w:r>
      <w:r>
        <w:rPr>
          <w:rStyle w:val="13"/>
          <w:rFonts w:hint="eastAsia" w:ascii="宋体" w:hAnsi="宋体" w:eastAsia="宋体" w:cs="宋体"/>
          <w:b w:val="0"/>
          <w:bCs/>
          <w:color w:val="auto"/>
          <w:szCs w:val="21"/>
          <w:highlight w:val="none"/>
          <w:lang w:val="en-US" w:eastAsia="zh-CN"/>
        </w:rPr>
        <w:t xml:space="preserve">107 </w:t>
      </w:r>
      <w:r>
        <w:rPr>
          <w:rStyle w:val="13"/>
          <w:rFonts w:hint="eastAsia" w:ascii="宋体" w:hAnsi="宋体" w:eastAsia="宋体" w:cs="宋体"/>
          <w:b w:val="0"/>
          <w:bCs/>
          <w:color w:val="auto"/>
          <w:szCs w:val="21"/>
          <w:highlight w:val="none"/>
          <w:lang w:val="en-US" w:eastAsia="zh-CN"/>
        </w:rPr>
        <w:t xml:space="preserve">国道与京港澳高速公路李家塘互通，项目路线全长 </w:t>
      </w:r>
      <w:r>
        <w:rPr>
          <w:rStyle w:val="13"/>
          <w:rFonts w:hint="eastAsia" w:ascii="宋体" w:hAnsi="宋体" w:eastAsia="宋体" w:cs="宋体"/>
          <w:b w:val="0"/>
          <w:bCs/>
          <w:color w:val="auto"/>
          <w:szCs w:val="21"/>
          <w:highlight w:val="none"/>
          <w:lang w:val="en-US" w:eastAsia="zh-CN"/>
        </w:rPr>
        <w:t xml:space="preserve">98 </w:t>
      </w:r>
      <w:r>
        <w:rPr>
          <w:rStyle w:val="13"/>
          <w:rFonts w:hint="eastAsia" w:ascii="宋体" w:hAnsi="宋体" w:eastAsia="宋体" w:cs="宋体"/>
          <w:b w:val="0"/>
          <w:bCs/>
          <w:color w:val="auto"/>
          <w:szCs w:val="21"/>
          <w:highlight w:val="none"/>
          <w:lang w:val="en-US" w:eastAsia="zh-CN"/>
        </w:rPr>
        <w:t xml:space="preserve">公里，设计速度 </w:t>
      </w:r>
      <w:r>
        <w:rPr>
          <w:rStyle w:val="13"/>
          <w:rFonts w:hint="eastAsia" w:ascii="宋体" w:hAnsi="宋体" w:eastAsia="宋体" w:cs="宋体"/>
          <w:b w:val="0"/>
          <w:bCs/>
          <w:color w:val="auto"/>
          <w:szCs w:val="21"/>
          <w:highlight w:val="none"/>
          <w:lang w:val="en-US" w:eastAsia="zh-CN"/>
        </w:rPr>
        <w:t>100km/h</w:t>
      </w:r>
      <w:r>
        <w:rPr>
          <w:rStyle w:val="13"/>
          <w:rFonts w:hint="eastAsia" w:ascii="宋体" w:hAnsi="宋体" w:eastAsia="宋体" w:cs="宋体"/>
          <w:b w:val="0"/>
          <w:bCs/>
          <w:color w:val="auto"/>
          <w:szCs w:val="21"/>
          <w:highlight w:val="none"/>
          <w:lang w:val="en-US" w:eastAsia="zh-CN"/>
        </w:rPr>
        <w:t xml:space="preserve">。 </w:t>
      </w:r>
    </w:p>
    <w:p w14:paraId="02273F4D">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浏阳沙市至宁乡高速公路（规划）：</w:t>
      </w:r>
      <w:r>
        <w:rPr>
          <w:rStyle w:val="13"/>
          <w:rFonts w:hint="eastAsia" w:ascii="宋体" w:hAnsi="宋体" w:eastAsia="宋体" w:cs="宋体"/>
          <w:b w:val="0"/>
          <w:bCs/>
          <w:color w:val="auto"/>
          <w:szCs w:val="21"/>
          <w:highlight w:val="none"/>
          <w:lang w:val="en-US" w:eastAsia="zh-CN"/>
        </w:rPr>
        <w:t xml:space="preserve">目前处于预可阶段，采用设计速度 </w:t>
      </w:r>
      <w:r>
        <w:rPr>
          <w:rStyle w:val="13"/>
          <w:rFonts w:hint="eastAsia" w:ascii="宋体" w:hAnsi="宋体" w:eastAsia="宋体" w:cs="宋体"/>
          <w:b w:val="0"/>
          <w:bCs/>
          <w:color w:val="auto"/>
          <w:szCs w:val="21"/>
          <w:highlight w:val="none"/>
          <w:lang w:val="en-US" w:eastAsia="zh-CN"/>
        </w:rPr>
        <w:t xml:space="preserve">120km/h </w:t>
      </w:r>
      <w:r>
        <w:rPr>
          <w:rStyle w:val="13"/>
          <w:rFonts w:hint="eastAsia" w:ascii="宋体" w:hAnsi="宋体" w:eastAsia="宋体" w:cs="宋体"/>
          <w:b w:val="0"/>
          <w:bCs/>
          <w:color w:val="auto"/>
          <w:szCs w:val="21"/>
          <w:highlight w:val="none"/>
          <w:lang w:val="en-US" w:eastAsia="zh-CN"/>
        </w:rPr>
        <w:t xml:space="preserve">的六车道高速公路标准，路基宽度采用 </w:t>
      </w:r>
      <w:r>
        <w:rPr>
          <w:rStyle w:val="13"/>
          <w:rFonts w:hint="eastAsia" w:ascii="宋体" w:hAnsi="宋体" w:eastAsia="宋体" w:cs="宋体"/>
          <w:b w:val="0"/>
          <w:bCs/>
          <w:color w:val="auto"/>
          <w:szCs w:val="21"/>
          <w:highlight w:val="none"/>
          <w:lang w:val="en-US" w:eastAsia="zh-CN"/>
        </w:rPr>
        <w:t xml:space="preserve">34 </w:t>
      </w:r>
      <w:r>
        <w:rPr>
          <w:rStyle w:val="13"/>
          <w:rFonts w:hint="eastAsia" w:ascii="宋体" w:hAnsi="宋体" w:eastAsia="宋体" w:cs="宋体"/>
          <w:b w:val="0"/>
          <w:bCs/>
          <w:color w:val="auto"/>
          <w:szCs w:val="21"/>
          <w:highlight w:val="none"/>
          <w:lang w:val="en-US" w:eastAsia="zh-CN"/>
        </w:rPr>
        <w:t xml:space="preserve">米，与本项目十字交叉。 </w:t>
      </w:r>
    </w:p>
    <w:p w14:paraId="7155CBC6">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垃圾专用线：</w:t>
      </w:r>
      <w:r>
        <w:rPr>
          <w:rStyle w:val="13"/>
          <w:rFonts w:hint="eastAsia" w:ascii="宋体" w:hAnsi="宋体" w:eastAsia="宋体" w:cs="宋体"/>
          <w:b w:val="0"/>
          <w:bCs/>
          <w:color w:val="auto"/>
          <w:szCs w:val="21"/>
          <w:highlight w:val="none"/>
          <w:lang w:val="en-US" w:eastAsia="zh-CN"/>
        </w:rPr>
        <w:t>承担着长沙市“六区一县”的生活垃圾、</w:t>
      </w:r>
      <w:r>
        <w:rPr>
          <w:rStyle w:val="13"/>
          <w:rFonts w:hint="eastAsia" w:ascii="宋体" w:hAnsi="宋体" w:eastAsia="宋体" w:cs="宋体"/>
          <w:b w:val="0"/>
          <w:bCs/>
          <w:color w:val="auto"/>
          <w:szCs w:val="21"/>
          <w:highlight w:val="none"/>
          <w:lang w:val="en-US" w:eastAsia="zh-CN"/>
        </w:rPr>
        <w:t xml:space="preserve">13 </w:t>
      </w:r>
      <w:r>
        <w:rPr>
          <w:rStyle w:val="13"/>
          <w:rFonts w:hint="eastAsia" w:ascii="宋体" w:hAnsi="宋体" w:eastAsia="宋体" w:cs="宋体"/>
          <w:b w:val="0"/>
          <w:bCs/>
          <w:color w:val="auto"/>
          <w:szCs w:val="21"/>
          <w:highlight w:val="none"/>
          <w:lang w:val="en-US" w:eastAsia="zh-CN"/>
        </w:rPr>
        <w:t xml:space="preserve">个市政污水处理厂的市政污泥以及库区内所有渗滤液的运输功能。 </w:t>
      </w:r>
    </w:p>
    <w:p w14:paraId="4AA0E050">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沿线现状道路：</w:t>
      </w:r>
      <w:r>
        <w:rPr>
          <w:rStyle w:val="13"/>
          <w:rFonts w:hint="eastAsia" w:ascii="宋体" w:hAnsi="宋体" w:eastAsia="宋体" w:cs="宋体"/>
          <w:b w:val="0"/>
          <w:bCs/>
          <w:color w:val="auto"/>
          <w:szCs w:val="21"/>
          <w:highlight w:val="none"/>
          <w:lang w:val="en-US" w:eastAsia="zh-CN"/>
        </w:rPr>
        <w:t xml:space="preserve">芙蓉北路、黄桥大道、垃圾专用线、中青路、青竹湖互通、大安路、长青路等。 </w:t>
      </w:r>
    </w:p>
    <w:p w14:paraId="40B46268">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沿线其他规划道路：</w:t>
      </w:r>
      <w:r>
        <w:rPr>
          <w:rStyle w:val="13"/>
          <w:rFonts w:hint="eastAsia" w:ascii="宋体" w:hAnsi="宋体" w:eastAsia="宋体" w:cs="宋体"/>
          <w:b w:val="0"/>
          <w:bCs/>
          <w:color w:val="auto"/>
          <w:szCs w:val="21"/>
          <w:highlight w:val="none"/>
          <w:lang w:val="en-US" w:eastAsia="zh-CN"/>
        </w:rPr>
        <w:t xml:space="preserve">复兴大道、省道 </w:t>
      </w:r>
      <w:r>
        <w:rPr>
          <w:rStyle w:val="13"/>
          <w:rFonts w:hint="eastAsia" w:ascii="宋体" w:hAnsi="宋体" w:eastAsia="宋体" w:cs="宋体"/>
          <w:b w:val="0"/>
          <w:bCs/>
          <w:color w:val="auto"/>
          <w:szCs w:val="21"/>
          <w:highlight w:val="none"/>
          <w:lang w:val="en-US" w:eastAsia="zh-CN"/>
        </w:rPr>
        <w:t>S324</w:t>
      </w:r>
      <w:r>
        <w:rPr>
          <w:rStyle w:val="13"/>
          <w:rFonts w:hint="eastAsia" w:ascii="宋体" w:hAnsi="宋体" w:eastAsia="宋体" w:cs="宋体"/>
          <w:b w:val="0"/>
          <w:bCs/>
          <w:color w:val="auto"/>
          <w:szCs w:val="21"/>
          <w:highlight w:val="none"/>
          <w:lang w:val="en-US" w:eastAsia="zh-CN"/>
        </w:rPr>
        <w:t xml:space="preserve">、桥汨线南延线、黑麋峰大道、前塘路等。 </w:t>
      </w:r>
    </w:p>
    <w:p w14:paraId="63FF97AB">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1.2.5 沿线铁路分布</w:t>
      </w:r>
      <w:r>
        <w:rPr>
          <w:rStyle w:val="13"/>
          <w:rFonts w:hint="eastAsia" w:ascii="宋体" w:hAnsi="宋体" w:eastAsia="宋体" w:cs="宋体"/>
          <w:b w:val="0"/>
          <w:bCs/>
          <w:color w:val="auto"/>
          <w:szCs w:val="21"/>
          <w:highlight w:val="none"/>
          <w:lang w:val="en-US" w:eastAsia="zh-CN"/>
        </w:rPr>
        <w:t xml:space="preserve"> </w:t>
      </w:r>
    </w:p>
    <w:p w14:paraId="7C8AC1E9">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主要交叉铁路：京广铁路、渝长厦高铁（正在开展初步设计）。</w:t>
      </w:r>
    </w:p>
    <w:p w14:paraId="3E0766AB">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2.技术标准</w:t>
      </w:r>
    </w:p>
    <w:p w14:paraId="224481BE">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本项目主线采用如下技术标准： </w:t>
      </w:r>
    </w:p>
    <w:p w14:paraId="4542BA1F">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 xml:space="preserve">）公路等级：六车道高速公路。 </w:t>
      </w:r>
    </w:p>
    <w:p w14:paraId="6AFBEDB3">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2</w:t>
      </w:r>
      <w:r>
        <w:rPr>
          <w:rStyle w:val="13"/>
          <w:rFonts w:hint="eastAsia" w:ascii="宋体" w:hAnsi="宋体" w:eastAsia="宋体" w:cs="宋体"/>
          <w:b w:val="0"/>
          <w:bCs/>
          <w:color w:val="auto"/>
          <w:szCs w:val="21"/>
          <w:highlight w:val="none"/>
          <w:lang w:val="en-US" w:eastAsia="zh-CN"/>
        </w:rPr>
        <w:t>）设计速度：</w:t>
      </w:r>
      <w:r>
        <w:rPr>
          <w:rStyle w:val="13"/>
          <w:rFonts w:hint="eastAsia" w:ascii="宋体" w:hAnsi="宋体" w:eastAsia="宋体" w:cs="宋体"/>
          <w:b w:val="0"/>
          <w:bCs/>
          <w:color w:val="auto"/>
          <w:szCs w:val="21"/>
          <w:highlight w:val="none"/>
          <w:lang w:val="en-US" w:eastAsia="zh-CN"/>
        </w:rPr>
        <w:t>120km/h</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100km/h</w:t>
      </w:r>
      <w:r>
        <w:rPr>
          <w:rStyle w:val="13"/>
          <w:rFonts w:hint="eastAsia" w:ascii="宋体" w:hAnsi="宋体" w:eastAsia="宋体" w:cs="宋体"/>
          <w:b w:val="0"/>
          <w:bCs/>
          <w:color w:val="auto"/>
          <w:szCs w:val="21"/>
          <w:highlight w:val="none"/>
          <w:lang w:val="en-US" w:eastAsia="zh-CN"/>
        </w:rPr>
        <w:t xml:space="preserve">）。 </w:t>
      </w:r>
    </w:p>
    <w:p w14:paraId="5D6D989E">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3</w:t>
      </w:r>
      <w:r>
        <w:rPr>
          <w:rStyle w:val="13"/>
          <w:rFonts w:hint="eastAsia" w:ascii="宋体" w:hAnsi="宋体" w:eastAsia="宋体" w:cs="宋体"/>
          <w:b w:val="0"/>
          <w:bCs/>
          <w:color w:val="auto"/>
          <w:szCs w:val="21"/>
          <w:highlight w:val="none"/>
          <w:lang w:val="en-US" w:eastAsia="zh-CN"/>
        </w:rPr>
        <w:t>）设计荷载：公路</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 xml:space="preserve">Ⅰ级。 </w:t>
      </w:r>
    </w:p>
    <w:p w14:paraId="56E3B459">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4</w:t>
      </w:r>
      <w:r>
        <w:rPr>
          <w:rStyle w:val="13"/>
          <w:rFonts w:hint="eastAsia" w:ascii="宋体" w:hAnsi="宋体" w:eastAsia="宋体" w:cs="宋体"/>
          <w:b w:val="0"/>
          <w:bCs/>
          <w:color w:val="auto"/>
          <w:szCs w:val="21"/>
          <w:highlight w:val="none"/>
          <w:lang w:val="en-US" w:eastAsia="zh-CN"/>
        </w:rPr>
        <w:t xml:space="preserve">）设计洪水频率：特大桥 </w:t>
      </w:r>
      <w:r>
        <w:rPr>
          <w:rStyle w:val="13"/>
          <w:rFonts w:hint="eastAsia" w:ascii="宋体" w:hAnsi="宋体" w:eastAsia="宋体" w:cs="宋体"/>
          <w:b w:val="0"/>
          <w:bCs/>
          <w:color w:val="auto"/>
          <w:szCs w:val="21"/>
          <w:highlight w:val="none"/>
          <w:lang w:val="en-US" w:eastAsia="zh-CN"/>
        </w:rPr>
        <w:t>1/300</w:t>
      </w:r>
      <w:r>
        <w:rPr>
          <w:rStyle w:val="13"/>
          <w:rFonts w:hint="eastAsia" w:ascii="宋体" w:hAnsi="宋体" w:eastAsia="宋体" w:cs="宋体"/>
          <w:b w:val="0"/>
          <w:bCs/>
          <w:color w:val="auto"/>
          <w:szCs w:val="21"/>
          <w:highlight w:val="none"/>
          <w:lang w:val="en-US" w:eastAsia="zh-CN"/>
        </w:rPr>
        <w:t xml:space="preserve">，其余桥涵、路基 </w:t>
      </w:r>
      <w:r>
        <w:rPr>
          <w:rStyle w:val="13"/>
          <w:rFonts w:hint="eastAsia" w:ascii="宋体" w:hAnsi="宋体" w:eastAsia="宋体" w:cs="宋体"/>
          <w:b w:val="0"/>
          <w:bCs/>
          <w:color w:val="auto"/>
          <w:szCs w:val="21"/>
          <w:highlight w:val="none"/>
          <w:lang w:val="en-US" w:eastAsia="zh-CN"/>
        </w:rPr>
        <w:t>1/100</w:t>
      </w:r>
      <w:r>
        <w:rPr>
          <w:rStyle w:val="13"/>
          <w:rFonts w:hint="eastAsia" w:ascii="宋体" w:hAnsi="宋体" w:eastAsia="宋体" w:cs="宋体"/>
          <w:b w:val="0"/>
          <w:bCs/>
          <w:color w:val="auto"/>
          <w:szCs w:val="21"/>
          <w:highlight w:val="none"/>
          <w:lang w:val="en-US" w:eastAsia="zh-CN"/>
        </w:rPr>
        <w:t xml:space="preserve">。 </w:t>
      </w:r>
    </w:p>
    <w:p w14:paraId="2D385556">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 xml:space="preserve">）路基宽度： </w:t>
      </w:r>
    </w:p>
    <w:p w14:paraId="1473266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路基宽度 </w:t>
      </w:r>
      <w:r>
        <w:rPr>
          <w:rStyle w:val="13"/>
          <w:rFonts w:hint="eastAsia" w:ascii="宋体" w:hAnsi="宋体" w:eastAsia="宋体" w:cs="宋体"/>
          <w:b w:val="0"/>
          <w:bCs/>
          <w:color w:val="auto"/>
          <w:szCs w:val="21"/>
          <w:highlight w:val="none"/>
          <w:lang w:val="en-US" w:eastAsia="zh-CN"/>
        </w:rPr>
        <w:t>34m</w:t>
      </w:r>
      <w:r>
        <w:rPr>
          <w:rStyle w:val="13"/>
          <w:rFonts w:hint="eastAsia" w:ascii="宋体" w:hAnsi="宋体" w:eastAsia="宋体" w:cs="宋体"/>
          <w:b w:val="0"/>
          <w:bCs/>
          <w:color w:val="auto"/>
          <w:szCs w:val="21"/>
          <w:highlight w:val="none"/>
          <w:lang w:val="en-US" w:eastAsia="zh-CN"/>
        </w:rPr>
        <w:t xml:space="preserve">，其中中央分隔带 </w:t>
      </w:r>
      <w:r>
        <w:rPr>
          <w:rStyle w:val="13"/>
          <w:rFonts w:hint="eastAsia" w:ascii="宋体" w:hAnsi="宋体" w:eastAsia="宋体" w:cs="宋体"/>
          <w:b w:val="0"/>
          <w:bCs/>
          <w:color w:val="auto"/>
          <w:szCs w:val="21"/>
          <w:highlight w:val="none"/>
          <w:lang w:val="en-US" w:eastAsia="zh-CN"/>
        </w:rPr>
        <w:t>2.5m</w:t>
      </w:r>
      <w:r>
        <w:rPr>
          <w:rStyle w:val="13"/>
          <w:rFonts w:hint="eastAsia" w:ascii="宋体" w:hAnsi="宋体" w:eastAsia="宋体" w:cs="宋体"/>
          <w:b w:val="0"/>
          <w:bCs/>
          <w:color w:val="auto"/>
          <w:szCs w:val="21"/>
          <w:highlight w:val="none"/>
          <w:lang w:val="en-US" w:eastAsia="zh-CN"/>
        </w:rPr>
        <w:t xml:space="preserve">，左侧路缘带 </w:t>
      </w:r>
      <w:r>
        <w:rPr>
          <w:rStyle w:val="13"/>
          <w:rFonts w:hint="eastAsia" w:ascii="宋体" w:hAnsi="宋体" w:eastAsia="宋体" w:cs="宋体"/>
          <w:b w:val="0"/>
          <w:bCs/>
          <w:color w:val="auto"/>
          <w:szCs w:val="21"/>
          <w:highlight w:val="none"/>
          <w:lang w:val="en-US" w:eastAsia="zh-CN"/>
        </w:rPr>
        <w:t>0.75m</w:t>
      </w:r>
      <w:r>
        <w:rPr>
          <w:rStyle w:val="13"/>
          <w:rFonts w:hint="eastAsia" w:ascii="宋体" w:hAnsi="宋体" w:eastAsia="宋体" w:cs="宋体"/>
          <w:b w:val="0"/>
          <w:bCs/>
          <w:color w:val="auto"/>
          <w:szCs w:val="21"/>
          <w:highlight w:val="none"/>
          <w:lang w:val="en-US" w:eastAsia="zh-CN"/>
        </w:rPr>
        <w:t xml:space="preserve">，车道 </w:t>
      </w:r>
      <w:r>
        <w:rPr>
          <w:rStyle w:val="13"/>
          <w:rFonts w:hint="eastAsia" w:ascii="宋体" w:hAnsi="宋体" w:eastAsia="宋体" w:cs="宋体"/>
          <w:b w:val="0"/>
          <w:bCs/>
          <w:color w:val="auto"/>
          <w:szCs w:val="21"/>
          <w:highlight w:val="none"/>
          <w:lang w:val="en-US" w:eastAsia="zh-CN"/>
        </w:rPr>
        <w:t>3x3.75m</w:t>
      </w:r>
      <w:r>
        <w:rPr>
          <w:rStyle w:val="13"/>
          <w:rFonts w:hint="eastAsia" w:ascii="宋体" w:hAnsi="宋体" w:eastAsia="宋体" w:cs="宋体"/>
          <w:b w:val="0"/>
          <w:bCs/>
          <w:color w:val="auto"/>
          <w:szCs w:val="21"/>
          <w:highlight w:val="none"/>
          <w:lang w:val="en-US" w:eastAsia="zh-CN"/>
        </w:rPr>
        <w:t xml:space="preserve">，右侧硬路肩 </w:t>
      </w:r>
      <w:r>
        <w:rPr>
          <w:rStyle w:val="13"/>
          <w:rFonts w:hint="eastAsia" w:ascii="宋体" w:hAnsi="宋体" w:eastAsia="宋体" w:cs="宋体"/>
          <w:b w:val="0"/>
          <w:bCs/>
          <w:color w:val="auto"/>
          <w:szCs w:val="21"/>
          <w:highlight w:val="none"/>
          <w:lang w:val="en-US" w:eastAsia="zh-CN"/>
        </w:rPr>
        <w:t>3.0m</w:t>
      </w:r>
      <w:r>
        <w:rPr>
          <w:rStyle w:val="13"/>
          <w:rFonts w:hint="eastAsia" w:ascii="宋体" w:hAnsi="宋体" w:eastAsia="宋体" w:cs="宋体"/>
          <w:b w:val="0"/>
          <w:bCs/>
          <w:color w:val="auto"/>
          <w:szCs w:val="21"/>
          <w:highlight w:val="none"/>
          <w:lang w:val="en-US" w:eastAsia="zh-CN"/>
        </w:rPr>
        <w:t xml:space="preserve">，土路肩 </w:t>
      </w:r>
      <w:r>
        <w:rPr>
          <w:rStyle w:val="13"/>
          <w:rFonts w:hint="eastAsia" w:ascii="宋体" w:hAnsi="宋体" w:eastAsia="宋体" w:cs="宋体"/>
          <w:b w:val="0"/>
          <w:bCs/>
          <w:color w:val="auto"/>
          <w:szCs w:val="21"/>
          <w:highlight w:val="none"/>
          <w:lang w:val="en-US" w:eastAsia="zh-CN"/>
        </w:rPr>
        <w:t>0.75m</w:t>
      </w:r>
      <w:r>
        <w:rPr>
          <w:rStyle w:val="13"/>
          <w:rFonts w:hint="eastAsia" w:ascii="宋体" w:hAnsi="宋体" w:eastAsia="宋体" w:cs="宋体"/>
          <w:b w:val="0"/>
          <w:bCs/>
          <w:color w:val="auto"/>
          <w:szCs w:val="21"/>
          <w:highlight w:val="none"/>
          <w:lang w:val="en-US" w:eastAsia="zh-CN"/>
        </w:rPr>
        <w:t xml:space="preserve">。 </w:t>
      </w:r>
    </w:p>
    <w:p w14:paraId="5E42B16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6</w:t>
      </w:r>
      <w:r>
        <w:rPr>
          <w:rStyle w:val="13"/>
          <w:rFonts w:hint="eastAsia" w:ascii="宋体" w:hAnsi="宋体" w:eastAsia="宋体" w:cs="宋体"/>
          <w:b w:val="0"/>
          <w:bCs/>
          <w:color w:val="auto"/>
          <w:szCs w:val="21"/>
          <w:highlight w:val="none"/>
          <w:lang w:val="en-US" w:eastAsia="zh-CN"/>
        </w:rPr>
        <w:t>）其他指标按交通运输部《公路工程技术标准》（</w:t>
      </w:r>
      <w:r>
        <w:rPr>
          <w:rStyle w:val="13"/>
          <w:rFonts w:hint="eastAsia" w:ascii="宋体" w:hAnsi="宋体" w:eastAsia="宋体" w:cs="宋体"/>
          <w:b w:val="0"/>
          <w:bCs/>
          <w:color w:val="auto"/>
          <w:szCs w:val="21"/>
          <w:highlight w:val="none"/>
          <w:lang w:val="en-US" w:eastAsia="zh-CN"/>
        </w:rPr>
        <w:t>JTG B01-2014</w:t>
      </w:r>
      <w:r>
        <w:rPr>
          <w:rStyle w:val="13"/>
          <w:rFonts w:hint="eastAsia" w:ascii="宋体" w:hAnsi="宋体" w:eastAsia="宋体" w:cs="宋体"/>
          <w:b w:val="0"/>
          <w:bCs/>
          <w:color w:val="auto"/>
          <w:szCs w:val="21"/>
          <w:highlight w:val="none"/>
          <w:lang w:val="en-US" w:eastAsia="zh-CN"/>
        </w:rPr>
        <w:t xml:space="preserve">）的规定执行。 </w:t>
      </w:r>
    </w:p>
    <w:p w14:paraId="7A45DB00">
      <w:pPr>
        <w:pStyle w:val="15"/>
        <w:spacing w:line="440" w:lineRule="exact"/>
        <w:ind w:firstLine="420" w:firstLineChars="200"/>
        <w:rPr>
          <w:rStyle w:val="13"/>
          <w:rFonts w:hint="eastAsia" w:ascii="宋体" w:hAnsi="宋体" w:eastAsia="宋体" w:cs="宋体"/>
          <w:color w:val="auto"/>
          <w:highlight w:val="none"/>
        </w:rPr>
      </w:pPr>
      <w:r>
        <w:rPr>
          <w:rStyle w:val="13"/>
          <w:rFonts w:hint="eastAsia" w:ascii="宋体" w:hAnsi="宋体" w:eastAsia="宋体" w:cs="宋体"/>
          <w:b w:val="0"/>
          <w:bCs/>
          <w:color w:val="auto"/>
          <w:szCs w:val="21"/>
          <w:highlight w:val="none"/>
          <w:lang w:val="en-US" w:eastAsia="zh-CN"/>
        </w:rPr>
        <w:t>本项目主线、连接线主要技术指标情况如下表：</w:t>
      </w:r>
      <w:r>
        <w:rPr>
          <w:rStyle w:val="13"/>
          <w:rFonts w:hint="eastAsia" w:ascii="宋体" w:hAnsi="宋体" w:eastAsia="宋体" w:cs="宋体"/>
          <w:color w:val="auto"/>
          <w:kern w:val="0"/>
          <w:sz w:val="24"/>
          <w:szCs w:val="24"/>
          <w:highlight w:val="none"/>
          <w:lang w:val="en-US" w:eastAsia="zh-CN" w:bidi="ar"/>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465"/>
        <w:gridCol w:w="2223"/>
        <w:gridCol w:w="2223"/>
      </w:tblGrid>
      <w:tr w14:paraId="3C87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6752FDC2">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序号</w:t>
            </w:r>
          </w:p>
        </w:tc>
        <w:tc>
          <w:tcPr>
            <w:tcW w:w="3465" w:type="dxa"/>
            <w:noWrap w:val="0"/>
            <w:vAlign w:val="center"/>
          </w:tcPr>
          <w:p w14:paraId="7AE5BBAD">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项目</w:t>
            </w:r>
          </w:p>
        </w:tc>
        <w:tc>
          <w:tcPr>
            <w:tcW w:w="4446" w:type="dxa"/>
            <w:gridSpan w:val="2"/>
            <w:noWrap w:val="0"/>
            <w:vAlign w:val="center"/>
          </w:tcPr>
          <w:p w14:paraId="39D8D9C3">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指标</w:t>
            </w:r>
          </w:p>
        </w:tc>
      </w:tr>
      <w:tr w14:paraId="715B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58825657">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w:t>
            </w:r>
          </w:p>
        </w:tc>
        <w:tc>
          <w:tcPr>
            <w:tcW w:w="3465" w:type="dxa"/>
            <w:noWrap w:val="0"/>
            <w:vAlign w:val="center"/>
          </w:tcPr>
          <w:p w14:paraId="1D137CEB">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类别</w:t>
            </w:r>
          </w:p>
        </w:tc>
        <w:tc>
          <w:tcPr>
            <w:tcW w:w="2223" w:type="dxa"/>
            <w:noWrap w:val="0"/>
            <w:vAlign w:val="center"/>
          </w:tcPr>
          <w:p w14:paraId="43B838AF">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主线</w:t>
            </w:r>
          </w:p>
        </w:tc>
        <w:tc>
          <w:tcPr>
            <w:tcW w:w="2223" w:type="dxa"/>
            <w:noWrap w:val="0"/>
            <w:vAlign w:val="center"/>
          </w:tcPr>
          <w:p w14:paraId="5A261D97">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桥驿连接线</w:t>
            </w:r>
          </w:p>
        </w:tc>
      </w:tr>
      <w:tr w14:paraId="787E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3884C728">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2</w:t>
            </w:r>
          </w:p>
        </w:tc>
        <w:tc>
          <w:tcPr>
            <w:tcW w:w="3465" w:type="dxa"/>
            <w:noWrap w:val="0"/>
            <w:vAlign w:val="center"/>
          </w:tcPr>
          <w:p w14:paraId="04056ED4">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道路等级</w:t>
            </w:r>
          </w:p>
        </w:tc>
        <w:tc>
          <w:tcPr>
            <w:tcW w:w="2223" w:type="dxa"/>
            <w:noWrap w:val="0"/>
            <w:vAlign w:val="center"/>
          </w:tcPr>
          <w:p w14:paraId="541D2EAC">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高速公路</w:t>
            </w:r>
          </w:p>
        </w:tc>
        <w:tc>
          <w:tcPr>
            <w:tcW w:w="2223" w:type="dxa"/>
            <w:noWrap w:val="0"/>
            <w:vAlign w:val="center"/>
          </w:tcPr>
          <w:p w14:paraId="0D7347A7">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二级公路</w:t>
            </w:r>
          </w:p>
        </w:tc>
      </w:tr>
      <w:tr w14:paraId="02CA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54243062">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w:t>
            </w:r>
          </w:p>
        </w:tc>
        <w:tc>
          <w:tcPr>
            <w:tcW w:w="3465" w:type="dxa"/>
            <w:noWrap w:val="0"/>
            <w:vAlign w:val="center"/>
          </w:tcPr>
          <w:p w14:paraId="686C92F0">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路基宽度</w:t>
            </w:r>
          </w:p>
        </w:tc>
        <w:tc>
          <w:tcPr>
            <w:tcW w:w="2223" w:type="dxa"/>
            <w:noWrap w:val="0"/>
            <w:vAlign w:val="center"/>
          </w:tcPr>
          <w:p w14:paraId="2879D10E">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34m</w:t>
            </w:r>
          </w:p>
        </w:tc>
        <w:tc>
          <w:tcPr>
            <w:tcW w:w="2223" w:type="dxa"/>
            <w:noWrap w:val="0"/>
            <w:vAlign w:val="center"/>
          </w:tcPr>
          <w:p w14:paraId="0A136734">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12m</w:t>
            </w:r>
          </w:p>
        </w:tc>
      </w:tr>
      <w:tr w14:paraId="18D5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41A5BDD8">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4</w:t>
            </w:r>
          </w:p>
        </w:tc>
        <w:tc>
          <w:tcPr>
            <w:tcW w:w="3465" w:type="dxa"/>
            <w:noWrap w:val="0"/>
            <w:vAlign w:val="center"/>
          </w:tcPr>
          <w:p w14:paraId="7CDB398D">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设计速度</w:t>
            </w:r>
          </w:p>
        </w:tc>
        <w:tc>
          <w:tcPr>
            <w:tcW w:w="2223" w:type="dxa"/>
            <w:noWrap w:val="0"/>
            <w:vAlign w:val="center"/>
          </w:tcPr>
          <w:p w14:paraId="10669432">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120km/h（100km/h）</w:t>
            </w:r>
          </w:p>
        </w:tc>
        <w:tc>
          <w:tcPr>
            <w:tcW w:w="2223" w:type="dxa"/>
            <w:noWrap w:val="0"/>
            <w:vAlign w:val="center"/>
          </w:tcPr>
          <w:p w14:paraId="7BAC8067">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60km/h</w:t>
            </w:r>
          </w:p>
        </w:tc>
      </w:tr>
      <w:tr w14:paraId="390F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49659D51">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5</w:t>
            </w:r>
          </w:p>
        </w:tc>
        <w:tc>
          <w:tcPr>
            <w:tcW w:w="3465" w:type="dxa"/>
            <w:noWrap w:val="0"/>
            <w:vAlign w:val="center"/>
          </w:tcPr>
          <w:p w14:paraId="34F6B020">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行车道宽度</w:t>
            </w:r>
          </w:p>
        </w:tc>
        <w:tc>
          <w:tcPr>
            <w:tcW w:w="2223" w:type="dxa"/>
            <w:noWrap w:val="0"/>
            <w:vAlign w:val="center"/>
          </w:tcPr>
          <w:p w14:paraId="480FAD88">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3.75m</w:t>
            </w:r>
          </w:p>
        </w:tc>
        <w:tc>
          <w:tcPr>
            <w:tcW w:w="2223" w:type="dxa"/>
            <w:noWrap w:val="0"/>
            <w:vAlign w:val="center"/>
          </w:tcPr>
          <w:p w14:paraId="6177C53D">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3.5m</w:t>
            </w:r>
          </w:p>
        </w:tc>
      </w:tr>
      <w:tr w14:paraId="1764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1A5A3CBD">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6</w:t>
            </w:r>
          </w:p>
        </w:tc>
        <w:tc>
          <w:tcPr>
            <w:tcW w:w="3465" w:type="dxa"/>
            <w:noWrap w:val="0"/>
            <w:vAlign w:val="center"/>
          </w:tcPr>
          <w:p w14:paraId="71C86C77">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左侧路缘带宽度</w:t>
            </w:r>
          </w:p>
        </w:tc>
        <w:tc>
          <w:tcPr>
            <w:tcW w:w="2223" w:type="dxa"/>
            <w:noWrap w:val="0"/>
            <w:vAlign w:val="center"/>
          </w:tcPr>
          <w:p w14:paraId="3755DB5B">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0.75m</w:t>
            </w:r>
          </w:p>
        </w:tc>
        <w:tc>
          <w:tcPr>
            <w:tcW w:w="2223" w:type="dxa"/>
            <w:noWrap w:val="0"/>
            <w:vAlign w:val="center"/>
          </w:tcPr>
          <w:p w14:paraId="572FB3E2">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w:t>
            </w:r>
          </w:p>
        </w:tc>
      </w:tr>
      <w:tr w14:paraId="578A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1B69CC2B">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7</w:t>
            </w:r>
          </w:p>
        </w:tc>
        <w:tc>
          <w:tcPr>
            <w:tcW w:w="3465" w:type="dxa"/>
            <w:noWrap w:val="0"/>
            <w:vAlign w:val="center"/>
          </w:tcPr>
          <w:p w14:paraId="201371BC">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硬路肩宽度</w:t>
            </w:r>
          </w:p>
        </w:tc>
        <w:tc>
          <w:tcPr>
            <w:tcW w:w="2223" w:type="dxa"/>
            <w:noWrap w:val="0"/>
            <w:vAlign w:val="center"/>
          </w:tcPr>
          <w:p w14:paraId="38B48272">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3.0m</w:t>
            </w:r>
          </w:p>
        </w:tc>
        <w:tc>
          <w:tcPr>
            <w:tcW w:w="2223" w:type="dxa"/>
            <w:noWrap w:val="0"/>
            <w:vAlign w:val="center"/>
          </w:tcPr>
          <w:p w14:paraId="5238D913">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1.75m</w:t>
            </w:r>
          </w:p>
        </w:tc>
      </w:tr>
      <w:tr w14:paraId="67FF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5DA70C8C">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8</w:t>
            </w:r>
          </w:p>
        </w:tc>
        <w:tc>
          <w:tcPr>
            <w:tcW w:w="3465" w:type="dxa"/>
            <w:noWrap w:val="0"/>
            <w:vAlign w:val="center"/>
          </w:tcPr>
          <w:p w14:paraId="5EC034E6">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土路肩宽度</w:t>
            </w:r>
          </w:p>
        </w:tc>
        <w:tc>
          <w:tcPr>
            <w:tcW w:w="2223" w:type="dxa"/>
            <w:noWrap w:val="0"/>
            <w:vAlign w:val="center"/>
          </w:tcPr>
          <w:p w14:paraId="5BCC9616">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0.75m</w:t>
            </w:r>
          </w:p>
        </w:tc>
        <w:tc>
          <w:tcPr>
            <w:tcW w:w="2223" w:type="dxa"/>
            <w:noWrap w:val="0"/>
            <w:vAlign w:val="center"/>
          </w:tcPr>
          <w:p w14:paraId="47988991">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0.75m</w:t>
            </w:r>
          </w:p>
        </w:tc>
      </w:tr>
      <w:tr w14:paraId="7671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0D0CA445">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9</w:t>
            </w:r>
          </w:p>
        </w:tc>
        <w:tc>
          <w:tcPr>
            <w:tcW w:w="3465" w:type="dxa"/>
            <w:noWrap w:val="0"/>
            <w:vAlign w:val="center"/>
          </w:tcPr>
          <w:p w14:paraId="717E1BDD">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停车视距</w:t>
            </w:r>
          </w:p>
        </w:tc>
        <w:tc>
          <w:tcPr>
            <w:tcW w:w="2223" w:type="dxa"/>
            <w:noWrap w:val="0"/>
            <w:vAlign w:val="center"/>
          </w:tcPr>
          <w:p w14:paraId="75B97557">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210m</w:t>
            </w:r>
          </w:p>
        </w:tc>
        <w:tc>
          <w:tcPr>
            <w:tcW w:w="2223" w:type="dxa"/>
            <w:noWrap w:val="0"/>
            <w:vAlign w:val="center"/>
          </w:tcPr>
          <w:p w14:paraId="75177BF1">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75m</w:t>
            </w:r>
          </w:p>
        </w:tc>
      </w:tr>
      <w:tr w14:paraId="118F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0C3E21BA">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10</w:t>
            </w:r>
          </w:p>
        </w:tc>
        <w:tc>
          <w:tcPr>
            <w:tcW w:w="3465" w:type="dxa"/>
            <w:noWrap w:val="0"/>
            <w:vAlign w:val="center"/>
          </w:tcPr>
          <w:p w14:paraId="35240782">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圆曲线最小半径</w:t>
            </w:r>
          </w:p>
        </w:tc>
        <w:tc>
          <w:tcPr>
            <w:tcW w:w="2223" w:type="dxa"/>
            <w:noWrap w:val="0"/>
            <w:vAlign w:val="center"/>
          </w:tcPr>
          <w:p w14:paraId="63CEAF51">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1250m</w:t>
            </w:r>
          </w:p>
        </w:tc>
        <w:tc>
          <w:tcPr>
            <w:tcW w:w="2223" w:type="dxa"/>
            <w:noWrap w:val="0"/>
            <w:vAlign w:val="center"/>
          </w:tcPr>
          <w:p w14:paraId="5C9A044B">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150m</w:t>
            </w:r>
          </w:p>
        </w:tc>
      </w:tr>
      <w:tr w14:paraId="0192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00FE4991">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11</w:t>
            </w:r>
          </w:p>
        </w:tc>
        <w:tc>
          <w:tcPr>
            <w:tcW w:w="3465" w:type="dxa"/>
            <w:noWrap w:val="0"/>
            <w:vAlign w:val="center"/>
          </w:tcPr>
          <w:p w14:paraId="19A64C00">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最大纵坡</w:t>
            </w:r>
          </w:p>
        </w:tc>
        <w:tc>
          <w:tcPr>
            <w:tcW w:w="2223" w:type="dxa"/>
            <w:noWrap w:val="0"/>
            <w:vAlign w:val="center"/>
          </w:tcPr>
          <w:p w14:paraId="10E4634C">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w:t>
            </w:r>
          </w:p>
        </w:tc>
        <w:tc>
          <w:tcPr>
            <w:tcW w:w="2223" w:type="dxa"/>
            <w:noWrap w:val="0"/>
            <w:vAlign w:val="center"/>
          </w:tcPr>
          <w:p w14:paraId="52A2F27A">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3.34%</w:t>
            </w:r>
          </w:p>
        </w:tc>
      </w:tr>
      <w:tr w14:paraId="5376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3638A9E5">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12</w:t>
            </w:r>
          </w:p>
        </w:tc>
        <w:tc>
          <w:tcPr>
            <w:tcW w:w="3465" w:type="dxa"/>
            <w:noWrap w:val="0"/>
            <w:vAlign w:val="center"/>
          </w:tcPr>
          <w:p w14:paraId="2A592345">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汽车荷载等级</w:t>
            </w:r>
          </w:p>
        </w:tc>
        <w:tc>
          <w:tcPr>
            <w:tcW w:w="4446" w:type="dxa"/>
            <w:gridSpan w:val="2"/>
            <w:noWrap w:val="0"/>
            <w:vAlign w:val="center"/>
          </w:tcPr>
          <w:p w14:paraId="14CBC9AF">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公路-Ⅰ级</w:t>
            </w:r>
          </w:p>
        </w:tc>
      </w:tr>
      <w:tr w14:paraId="5D3A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12D1A655">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13</w:t>
            </w:r>
          </w:p>
        </w:tc>
        <w:tc>
          <w:tcPr>
            <w:tcW w:w="3465" w:type="dxa"/>
            <w:noWrap w:val="0"/>
            <w:vAlign w:val="center"/>
          </w:tcPr>
          <w:p w14:paraId="1B630A3F">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设计洪水频率</w:t>
            </w:r>
          </w:p>
        </w:tc>
        <w:tc>
          <w:tcPr>
            <w:tcW w:w="4446" w:type="dxa"/>
            <w:gridSpan w:val="2"/>
            <w:noWrap w:val="0"/>
            <w:vAlign w:val="center"/>
          </w:tcPr>
          <w:p w14:paraId="6A4D2375">
            <w:pPr>
              <w:pStyle w:val="17"/>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特大桥1/300，其他桥梁和路基1/100</w:t>
            </w:r>
          </w:p>
        </w:tc>
      </w:tr>
    </w:tbl>
    <w:p w14:paraId="17594253">
      <w:pPr>
        <w:pStyle w:val="17"/>
        <w:rPr>
          <w:rStyle w:val="13"/>
          <w:rFonts w:hint="eastAsia" w:ascii="宋体" w:hAnsi="宋体" w:eastAsia="宋体" w:cs="宋体"/>
          <w:color w:val="auto"/>
          <w:highlight w:val="none"/>
          <w:lang w:val="en-US" w:eastAsia="zh-CN"/>
        </w:rPr>
      </w:pPr>
    </w:p>
    <w:p w14:paraId="47A2B84A">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 </w:t>
      </w:r>
      <w:r>
        <w:rPr>
          <w:rStyle w:val="13"/>
          <w:rFonts w:hint="eastAsia" w:ascii="宋体" w:hAnsi="宋体" w:eastAsia="宋体" w:cs="宋体"/>
          <w:b/>
          <w:bCs w:val="0"/>
          <w:color w:val="auto"/>
          <w:szCs w:val="21"/>
          <w:highlight w:val="none"/>
          <w:lang w:val="en-US" w:eastAsia="zh-CN"/>
        </w:rPr>
        <w:t xml:space="preserve">自然地理条件 </w:t>
      </w:r>
    </w:p>
    <w:p w14:paraId="6409FB45">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3.1 地形、地貌 </w:t>
      </w:r>
    </w:p>
    <w:p w14:paraId="2B85C26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线路走廊带位于长沙市北部，湘浏盆地向洞庭湖平原的过渡带，地貌形态以剥蚀微丘为主， 地形略有起伏，整体呈南北低，中部高趋势，线路中部所经太阳山森林公园一段为侵蚀剥蚀构造高丘，地势相对较高。区内标高一般为 </w:t>
      </w:r>
      <w:r>
        <w:rPr>
          <w:rStyle w:val="13"/>
          <w:rFonts w:hint="eastAsia" w:ascii="宋体" w:hAnsi="宋体" w:eastAsia="宋体" w:cs="宋体"/>
          <w:b w:val="0"/>
          <w:bCs/>
          <w:color w:val="auto"/>
          <w:szCs w:val="21"/>
          <w:highlight w:val="none"/>
          <w:lang w:val="en-US" w:eastAsia="zh-CN"/>
        </w:rPr>
        <w:t>50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90m</w:t>
      </w:r>
      <w:r>
        <w:rPr>
          <w:rStyle w:val="13"/>
          <w:rFonts w:hint="eastAsia" w:ascii="宋体" w:hAnsi="宋体" w:eastAsia="宋体" w:cs="宋体"/>
          <w:b w:val="0"/>
          <w:bCs/>
          <w:color w:val="auto"/>
          <w:szCs w:val="21"/>
          <w:highlight w:val="none"/>
          <w:lang w:val="en-US" w:eastAsia="zh-CN"/>
        </w:rPr>
        <w:t xml:space="preserve">，海拔最高处位于神仙岭沿线，标高 </w:t>
      </w:r>
      <w:r>
        <w:rPr>
          <w:rStyle w:val="13"/>
          <w:rFonts w:hint="eastAsia" w:ascii="宋体" w:hAnsi="宋体" w:eastAsia="宋体" w:cs="宋体"/>
          <w:b w:val="0"/>
          <w:bCs/>
          <w:color w:val="auto"/>
          <w:szCs w:val="21"/>
          <w:highlight w:val="none"/>
          <w:lang w:val="en-US" w:eastAsia="zh-CN"/>
        </w:rPr>
        <w:t>196.9m</w:t>
      </w:r>
      <w:r>
        <w:rPr>
          <w:rStyle w:val="13"/>
          <w:rFonts w:hint="eastAsia" w:ascii="宋体" w:hAnsi="宋体" w:eastAsia="宋体" w:cs="宋体"/>
          <w:b w:val="0"/>
          <w:bCs/>
          <w:color w:val="auto"/>
          <w:szCs w:val="21"/>
          <w:highlight w:val="none"/>
          <w:lang w:val="en-US" w:eastAsia="zh-CN"/>
        </w:rPr>
        <w:t xml:space="preserve">， 最小标高 </w:t>
      </w:r>
      <w:r>
        <w:rPr>
          <w:rStyle w:val="13"/>
          <w:rFonts w:hint="eastAsia" w:ascii="宋体" w:hAnsi="宋体" w:eastAsia="宋体" w:cs="宋体"/>
          <w:b w:val="0"/>
          <w:bCs/>
          <w:color w:val="auto"/>
          <w:szCs w:val="21"/>
          <w:highlight w:val="none"/>
          <w:lang w:val="en-US" w:eastAsia="zh-CN"/>
        </w:rPr>
        <w:t>35.1m</w:t>
      </w:r>
      <w:r>
        <w:rPr>
          <w:rStyle w:val="13"/>
          <w:rFonts w:hint="eastAsia" w:ascii="宋体" w:hAnsi="宋体" w:eastAsia="宋体" w:cs="宋体"/>
          <w:b w:val="0"/>
          <w:bCs/>
          <w:color w:val="auto"/>
          <w:szCs w:val="21"/>
          <w:highlight w:val="none"/>
          <w:lang w:val="en-US" w:eastAsia="zh-CN"/>
        </w:rPr>
        <w:t xml:space="preserve">，位于桥驿镇沙河沿线。山体走向以北东向为主，丘陵、丘岗由第四系更新统河相沉积物以及风化花岗岩、板岩组成。区内分布湘江支流沙河、石渚河，多水田、池塘，植被覆盖率较高。线路沿线与多条现状县道、乡道、村道相交，交通条件一般，其中 </w:t>
      </w:r>
      <w:r>
        <w:rPr>
          <w:rStyle w:val="13"/>
          <w:rFonts w:hint="eastAsia" w:ascii="宋体" w:hAnsi="宋体" w:eastAsia="宋体" w:cs="宋体"/>
          <w:b w:val="0"/>
          <w:bCs/>
          <w:color w:val="auto"/>
          <w:szCs w:val="21"/>
          <w:highlight w:val="none"/>
          <w:lang w:val="en-US" w:eastAsia="zh-CN"/>
        </w:rPr>
        <w:t>K1+450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K9+000</w:t>
      </w:r>
      <w:r>
        <w:rPr>
          <w:rStyle w:val="13"/>
          <w:rFonts w:hint="eastAsia" w:ascii="宋体" w:hAnsi="宋体" w:eastAsia="宋体" w:cs="宋体"/>
          <w:b w:val="0"/>
          <w:bCs/>
          <w:color w:val="auto"/>
          <w:szCs w:val="21"/>
          <w:highlight w:val="none"/>
          <w:lang w:val="en-US" w:eastAsia="zh-CN"/>
        </w:rPr>
        <w:t>与现状芙蓉北大道走向接近，线路内有多条县道、乡道与芙蓉北路相交，交通条件较为便利；</w:t>
      </w:r>
      <w:r>
        <w:rPr>
          <w:rStyle w:val="13"/>
          <w:rFonts w:hint="eastAsia" w:ascii="宋体" w:hAnsi="宋体" w:eastAsia="宋体" w:cs="宋体"/>
          <w:b w:val="0"/>
          <w:bCs/>
          <w:color w:val="auto"/>
          <w:szCs w:val="21"/>
          <w:highlight w:val="none"/>
          <w:lang w:val="en-US" w:eastAsia="zh-CN"/>
        </w:rPr>
        <w:t>K19+200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 xml:space="preserve">K23+310 </w:t>
      </w:r>
      <w:r>
        <w:rPr>
          <w:rStyle w:val="13"/>
          <w:rFonts w:hint="eastAsia" w:ascii="宋体" w:hAnsi="宋体" w:eastAsia="宋体" w:cs="宋体"/>
          <w:b w:val="0"/>
          <w:bCs/>
          <w:color w:val="auto"/>
          <w:szCs w:val="21"/>
          <w:highlight w:val="none"/>
          <w:lang w:val="en-US" w:eastAsia="zh-CN"/>
        </w:rPr>
        <w:t xml:space="preserve">线路利用现状中青路修建桥梁，交通条件便利；总体而言，本项目的交通条件一般。 </w:t>
      </w:r>
    </w:p>
    <w:p w14:paraId="4E35708F">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3.2 气象 </w:t>
      </w:r>
    </w:p>
    <w:p w14:paraId="58056006">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长沙地区属中亚热带湿润季风气候区，具有四季分明、温暖潮湿、雨量充沛、严寒期短等特点。多年平均气温 17.4 度，日平均最高气 38.1 度，日平均最低气温 0.4 度，7 月份平均气温28.5 度，极端最高气温 40.6 度(1963.8.31)，1 月份平均气温 6.1 度，极端最低气温-10.1度（1977.1.30）；年平均相对湿度 79.5％，年最小相对湿度 14.2％，常年主导风向为东南风，多年平均降雨量 1394.6mm，最大年降雨量 1751.2mm（1998），最小年降雨量 708.8mm（1953），最大月降雨量 515.3mm，最小月降雨量 1.2mm，最大日降雨量 192.5mm，每年 5-9 月为雨季，其降雨量约占全年的 80％。 </w:t>
      </w:r>
    </w:p>
    <w:p w14:paraId="0C59200D">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长沙地区的主要灾害天气是低温、雨雪、冰冻，可能出现的时期主要在 1 月初至 2 月中旬，根据统计结果，从 1 月初至 2 月中旬，历年日平均最高和最低气温平均分别为 20℃、7.90℃。 </w:t>
      </w:r>
    </w:p>
    <w:p w14:paraId="659C4635">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3.3 水文 </w:t>
      </w:r>
    </w:p>
    <w:p w14:paraId="104B19B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项目区内内河川属于湘江水系，其中沙河为沿线最大河流，沙河又名“青江”，发源于岳阳市汨罗市分水坳，经三姊桥、高家坊至长沙市望城区桥驿镇界耙山入境，在望城区丁字湾街道境内汇入湘江，为湘江下游右岸的一级支流，河流全长</w:t>
      </w:r>
      <w:r>
        <w:rPr>
          <w:rStyle w:val="13"/>
          <w:rFonts w:hint="eastAsia" w:ascii="宋体" w:hAnsi="宋体" w:eastAsia="宋体" w:cs="宋体"/>
          <w:b w:val="0"/>
          <w:bCs/>
          <w:color w:val="auto"/>
          <w:szCs w:val="21"/>
          <w:highlight w:val="none"/>
          <w:lang w:val="en-US" w:eastAsia="zh-CN"/>
        </w:rPr>
        <w:t>34km</w:t>
      </w:r>
      <w:r>
        <w:rPr>
          <w:rStyle w:val="13"/>
          <w:rFonts w:hint="eastAsia" w:ascii="宋体" w:hAnsi="宋体" w:eastAsia="宋体" w:cs="宋体"/>
          <w:b w:val="0"/>
          <w:bCs/>
          <w:color w:val="auto"/>
          <w:szCs w:val="21"/>
          <w:highlight w:val="none"/>
          <w:lang w:val="en-US" w:eastAsia="zh-CN"/>
        </w:rPr>
        <w:t>，长沙境内长</w:t>
      </w:r>
      <w:r>
        <w:rPr>
          <w:rStyle w:val="13"/>
          <w:rFonts w:hint="eastAsia" w:ascii="宋体" w:hAnsi="宋体" w:eastAsia="宋体" w:cs="宋体"/>
          <w:b w:val="0"/>
          <w:bCs/>
          <w:color w:val="auto"/>
          <w:szCs w:val="21"/>
          <w:highlight w:val="none"/>
          <w:lang w:val="en-US" w:eastAsia="zh-CN"/>
        </w:rPr>
        <w:t>18.1km</w:t>
      </w:r>
      <w:r>
        <w:rPr>
          <w:rStyle w:val="13"/>
          <w:rFonts w:hint="eastAsia" w:ascii="宋体" w:hAnsi="宋体" w:eastAsia="宋体" w:cs="宋体"/>
          <w:b w:val="0"/>
          <w:bCs/>
          <w:color w:val="auto"/>
          <w:szCs w:val="21"/>
          <w:highlight w:val="none"/>
          <w:lang w:val="en-US" w:eastAsia="zh-CN"/>
        </w:rPr>
        <w:t>，流域面积</w:t>
      </w:r>
      <w:r>
        <w:rPr>
          <w:rStyle w:val="13"/>
          <w:rFonts w:hint="eastAsia" w:ascii="宋体" w:hAnsi="宋体" w:eastAsia="宋体" w:cs="宋体"/>
          <w:b w:val="0"/>
          <w:bCs/>
          <w:color w:val="auto"/>
          <w:szCs w:val="21"/>
          <w:highlight w:val="none"/>
          <w:lang w:val="en-US" w:eastAsia="zh-CN"/>
        </w:rPr>
        <w:t>220km2</w:t>
      </w:r>
      <w:r>
        <w:rPr>
          <w:rStyle w:val="13"/>
          <w:rFonts w:hint="eastAsia" w:ascii="宋体" w:hAnsi="宋体" w:eastAsia="宋体" w:cs="宋体"/>
          <w:b w:val="0"/>
          <w:bCs/>
          <w:color w:val="auto"/>
          <w:szCs w:val="21"/>
          <w:highlight w:val="none"/>
          <w:lang w:val="en-US" w:eastAsia="zh-CN"/>
        </w:rPr>
        <w:t xml:space="preserve">，于线路在 </w:t>
      </w:r>
      <w:r>
        <w:rPr>
          <w:rStyle w:val="13"/>
          <w:rFonts w:hint="eastAsia" w:ascii="宋体" w:hAnsi="宋体" w:eastAsia="宋体" w:cs="宋体"/>
          <w:b w:val="0"/>
          <w:bCs/>
          <w:color w:val="auto"/>
          <w:szCs w:val="21"/>
          <w:highlight w:val="none"/>
          <w:lang w:val="en-US" w:eastAsia="zh-CN"/>
        </w:rPr>
        <w:t xml:space="preserve">K10+700 </w:t>
      </w:r>
      <w:r>
        <w:rPr>
          <w:rStyle w:val="13"/>
          <w:rFonts w:hint="eastAsia" w:ascii="宋体" w:hAnsi="宋体" w:eastAsia="宋体" w:cs="宋体"/>
          <w:b w:val="0"/>
          <w:bCs/>
          <w:color w:val="auto"/>
          <w:szCs w:val="21"/>
          <w:highlight w:val="none"/>
          <w:lang w:val="en-US" w:eastAsia="zh-CN"/>
        </w:rPr>
        <w:t>附近相交。路线于</w:t>
      </w:r>
      <w:r>
        <w:rPr>
          <w:rStyle w:val="13"/>
          <w:rFonts w:hint="eastAsia" w:ascii="宋体" w:hAnsi="宋体" w:eastAsia="宋体" w:cs="宋体"/>
          <w:b w:val="0"/>
          <w:bCs/>
          <w:color w:val="auto"/>
          <w:szCs w:val="21"/>
          <w:highlight w:val="none"/>
          <w:lang w:val="en-US" w:eastAsia="zh-CN"/>
        </w:rPr>
        <w:t xml:space="preserve">K3+100 </w:t>
      </w:r>
      <w:r>
        <w:rPr>
          <w:rStyle w:val="13"/>
          <w:rFonts w:hint="eastAsia" w:ascii="宋体" w:hAnsi="宋体" w:eastAsia="宋体" w:cs="宋体"/>
          <w:b w:val="0"/>
          <w:bCs/>
          <w:color w:val="auto"/>
          <w:szCs w:val="21"/>
          <w:highlight w:val="none"/>
          <w:lang w:val="en-US" w:eastAsia="zh-CN"/>
        </w:rPr>
        <w:t>附近与石渚河相交，起于茶亭水库，止于铜官古城桥，全长约</w:t>
      </w:r>
      <w:r>
        <w:rPr>
          <w:rStyle w:val="13"/>
          <w:rFonts w:hint="eastAsia" w:ascii="宋体" w:hAnsi="宋体" w:eastAsia="宋体" w:cs="宋体"/>
          <w:b w:val="0"/>
          <w:bCs/>
          <w:color w:val="auto"/>
          <w:szCs w:val="21"/>
          <w:highlight w:val="none"/>
          <w:lang w:val="en-US" w:eastAsia="zh-CN"/>
        </w:rPr>
        <w:t>23km</w:t>
      </w:r>
      <w:r>
        <w:rPr>
          <w:rStyle w:val="13"/>
          <w:rFonts w:hint="eastAsia" w:ascii="宋体" w:hAnsi="宋体" w:eastAsia="宋体" w:cs="宋体"/>
          <w:b w:val="0"/>
          <w:bCs/>
          <w:color w:val="auto"/>
          <w:szCs w:val="21"/>
          <w:highlight w:val="none"/>
          <w:lang w:val="en-US" w:eastAsia="zh-CN"/>
        </w:rPr>
        <w:t xml:space="preserve">。项目沿线水塘较为发育，多为养殖塘，水量受降雨影响明显。 </w:t>
      </w:r>
    </w:p>
    <w:p w14:paraId="13D12B42">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3.4 地层岩性 </w:t>
      </w:r>
    </w:p>
    <w:p w14:paraId="15253316">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上覆土层：为全新统及更新统地层。其中，全新统主要分布于沿线冲沟、河谷等地势低洼地段，一般为冲、洪积成因的可～硬塑状粉质黏土，稍密～中密状砂、圆砾、卵石等，土层厚度一般为 </w:t>
      </w:r>
      <w:r>
        <w:rPr>
          <w:rStyle w:val="13"/>
          <w:rFonts w:hint="eastAsia"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7m</w:t>
      </w:r>
      <w:r>
        <w:rPr>
          <w:rStyle w:val="13"/>
          <w:rFonts w:hint="eastAsia" w:ascii="宋体" w:hAnsi="宋体" w:eastAsia="宋体" w:cs="宋体"/>
          <w:b w:val="0"/>
          <w:bCs/>
          <w:color w:val="auto"/>
          <w:szCs w:val="21"/>
          <w:highlight w:val="none"/>
          <w:lang w:val="en-US" w:eastAsia="zh-CN"/>
        </w:rPr>
        <w:t xml:space="preserve">；局部地段发育流塑～软塑状淤泥质粉质黏土或粉质黏土，厚度一般为 </w:t>
      </w:r>
      <w:r>
        <w:rPr>
          <w:rStyle w:val="13"/>
          <w:rFonts w:hint="eastAsia"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3m</w:t>
      </w:r>
      <w:r>
        <w:rPr>
          <w:rStyle w:val="13"/>
          <w:rFonts w:hint="eastAsia" w:ascii="宋体" w:hAnsi="宋体" w:eastAsia="宋体" w:cs="宋体"/>
          <w:b w:val="0"/>
          <w:bCs/>
          <w:color w:val="auto"/>
          <w:szCs w:val="21"/>
          <w:highlight w:val="none"/>
          <w:lang w:val="en-US" w:eastAsia="zh-CN"/>
        </w:rPr>
        <w:t>。 更新统为白沙井组和汨罗组黏土和砂层，呈明显的沉积韵律，黏土呈硬塑～半成岩状，砂层呈中密～半成岩状，厚度大，据区域地质资料，深者约</w:t>
      </w:r>
      <w:r>
        <w:rPr>
          <w:rStyle w:val="13"/>
          <w:rFonts w:hint="eastAsia" w:ascii="宋体" w:hAnsi="宋体" w:eastAsia="宋体" w:cs="宋体"/>
          <w:b w:val="0"/>
          <w:bCs/>
          <w:color w:val="auto"/>
          <w:szCs w:val="21"/>
          <w:highlight w:val="none"/>
          <w:lang w:val="en-US" w:eastAsia="zh-CN"/>
        </w:rPr>
        <w:t>155m</w:t>
      </w:r>
      <w:r>
        <w:rPr>
          <w:rStyle w:val="13"/>
          <w:rFonts w:hint="eastAsia" w:ascii="宋体" w:hAnsi="宋体" w:eastAsia="宋体" w:cs="宋体"/>
          <w:b w:val="0"/>
          <w:bCs/>
          <w:color w:val="auto"/>
          <w:szCs w:val="21"/>
          <w:highlight w:val="none"/>
          <w:lang w:val="en-US" w:eastAsia="zh-CN"/>
        </w:rPr>
        <w:t xml:space="preserve">。 </w:t>
      </w:r>
    </w:p>
    <w:p w14:paraId="2BCE1ADC">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下伏基岩：勘察区地层岩性较稳定，分别为元古界冷家溪群板岩和燕山晚期花岗岩。 </w:t>
      </w:r>
    </w:p>
    <w:p w14:paraId="50C32049">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现按层序由新到老叙述如下： </w:t>
      </w:r>
    </w:p>
    <w:p w14:paraId="5D29AD6D">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第四系全新统（</w:t>
      </w:r>
      <w:r>
        <w:rPr>
          <w:rStyle w:val="13"/>
          <w:rFonts w:hint="eastAsia" w:ascii="宋体" w:hAnsi="宋体" w:eastAsia="宋体" w:cs="宋体"/>
          <w:b w:val="0"/>
          <w:bCs/>
          <w:color w:val="auto"/>
          <w:szCs w:val="21"/>
          <w:highlight w:val="none"/>
          <w:lang w:val="en-US" w:eastAsia="zh-CN"/>
        </w:rPr>
        <w:t>Qh</w:t>
      </w:r>
      <w:r>
        <w:rPr>
          <w:rStyle w:val="13"/>
          <w:rFonts w:hint="eastAsia" w:ascii="宋体" w:hAnsi="宋体" w:eastAsia="宋体" w:cs="宋体"/>
          <w:b w:val="0"/>
          <w:bCs/>
          <w:color w:val="auto"/>
          <w:szCs w:val="21"/>
          <w:highlight w:val="none"/>
          <w:lang w:val="en-US" w:eastAsia="zh-CN"/>
        </w:rPr>
        <w:t xml:space="preserve">） </w:t>
      </w:r>
    </w:p>
    <w:p w14:paraId="1C59F185">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沿线第四系全新统地层主要有冲积土层、残坡积土层等，冲积土层主要在沙河、石渚河等较大河流两岸分布，洪积地层分布在冲沟及大的山间盆地，残坡积土层广泛分布于山坡，厚度小，一般为 </w:t>
      </w:r>
      <w:r>
        <w:rPr>
          <w:rStyle w:val="13"/>
          <w:rFonts w:hint="eastAsia"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5m</w:t>
      </w:r>
      <w:r>
        <w:rPr>
          <w:rStyle w:val="13"/>
          <w:rFonts w:hint="eastAsia" w:ascii="宋体" w:hAnsi="宋体" w:eastAsia="宋体" w:cs="宋体"/>
          <w:b w:val="0"/>
          <w:bCs/>
          <w:color w:val="auto"/>
          <w:szCs w:val="21"/>
          <w:highlight w:val="none"/>
          <w:lang w:val="en-US" w:eastAsia="zh-CN"/>
        </w:rPr>
        <w:t xml:space="preserve">。 </w:t>
      </w:r>
    </w:p>
    <w:p w14:paraId="112F602B">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 xml:space="preserve">）素填土：灰黄色、灰褐色，主要由粘性土组成，部分含砂、碎石，结构松散～中实，稍湿～湿。主要分布于现状路基、沟堤、宅基，厚度 </w:t>
      </w:r>
      <w:r>
        <w:rPr>
          <w:rStyle w:val="13"/>
          <w:rFonts w:hint="eastAsia"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6m</w:t>
      </w:r>
      <w:r>
        <w:rPr>
          <w:rStyle w:val="13"/>
          <w:rFonts w:hint="eastAsia" w:ascii="宋体" w:hAnsi="宋体" w:eastAsia="宋体" w:cs="宋体"/>
          <w:b w:val="0"/>
          <w:bCs/>
          <w:color w:val="auto"/>
          <w:szCs w:val="21"/>
          <w:highlight w:val="none"/>
          <w:lang w:val="en-US" w:eastAsia="zh-CN"/>
        </w:rPr>
        <w:t xml:space="preserve">。 </w:t>
      </w:r>
    </w:p>
    <w:p w14:paraId="7C4CBC09">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2</w:t>
      </w:r>
      <w:r>
        <w:rPr>
          <w:rStyle w:val="13"/>
          <w:rFonts w:hint="eastAsia" w:ascii="宋体" w:hAnsi="宋体" w:eastAsia="宋体" w:cs="宋体"/>
          <w:b w:val="0"/>
          <w:bCs/>
          <w:color w:val="auto"/>
          <w:szCs w:val="21"/>
          <w:highlight w:val="none"/>
          <w:lang w:val="en-US" w:eastAsia="zh-CN"/>
        </w:rPr>
        <w:t xml:space="preserve">）填石：灰白色，松散～中密，主要分布于白石隧道出口，为停产矿区弃渣，主要成分为强、中风化花岗岩，厚度较大，一般为 </w:t>
      </w:r>
      <w:r>
        <w:rPr>
          <w:rStyle w:val="13"/>
          <w:rFonts w:hint="eastAsia" w:ascii="宋体" w:hAnsi="宋体" w:eastAsia="宋体" w:cs="宋体"/>
          <w:b w:val="0"/>
          <w:bCs/>
          <w:color w:val="auto"/>
          <w:szCs w:val="21"/>
          <w:highlight w:val="none"/>
          <w:lang w:val="en-US" w:eastAsia="zh-CN"/>
        </w:rPr>
        <w:t>3</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12.8m</w:t>
      </w:r>
      <w:r>
        <w:rPr>
          <w:rStyle w:val="13"/>
          <w:rFonts w:hint="eastAsia" w:ascii="宋体" w:hAnsi="宋体" w:eastAsia="宋体" w:cs="宋体"/>
          <w:b w:val="0"/>
          <w:bCs/>
          <w:color w:val="auto"/>
          <w:szCs w:val="21"/>
          <w:highlight w:val="none"/>
          <w:lang w:val="en-US" w:eastAsia="zh-CN"/>
        </w:rPr>
        <w:t xml:space="preserve">。 </w:t>
      </w:r>
    </w:p>
    <w:p w14:paraId="1D2D9463">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3</w:t>
      </w:r>
      <w:r>
        <w:rPr>
          <w:rStyle w:val="13"/>
          <w:rFonts w:hint="eastAsia" w:ascii="宋体" w:hAnsi="宋体" w:eastAsia="宋体" w:cs="宋体"/>
          <w:b w:val="0"/>
          <w:bCs/>
          <w:color w:val="auto"/>
          <w:szCs w:val="21"/>
          <w:highlight w:val="none"/>
          <w:lang w:val="en-US" w:eastAsia="zh-CN"/>
        </w:rPr>
        <w:t xml:space="preserve">）种植土：灰褐色、灰黄色、褐红色，多为山坡、旱地、水田表土，结构松散，稻田种植土一般稀软、饱水。厚度 </w:t>
      </w:r>
      <w:r>
        <w:rPr>
          <w:rStyle w:val="13"/>
          <w:rFonts w:hint="eastAsia" w:ascii="宋体" w:hAnsi="宋体" w:eastAsia="宋体" w:cs="宋体"/>
          <w:b w:val="0"/>
          <w:bCs/>
          <w:color w:val="auto"/>
          <w:szCs w:val="21"/>
          <w:highlight w:val="none"/>
          <w:lang w:val="en-US" w:eastAsia="zh-CN"/>
        </w:rPr>
        <w:t>0.3</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0.5m</w:t>
      </w:r>
      <w:r>
        <w:rPr>
          <w:rStyle w:val="13"/>
          <w:rFonts w:hint="eastAsia" w:ascii="宋体" w:hAnsi="宋体" w:eastAsia="宋体" w:cs="宋体"/>
          <w:b w:val="0"/>
          <w:bCs/>
          <w:color w:val="auto"/>
          <w:szCs w:val="21"/>
          <w:highlight w:val="none"/>
          <w:lang w:val="en-US" w:eastAsia="zh-CN"/>
        </w:rPr>
        <w:t xml:space="preserve">。沿线均有分布。 </w:t>
      </w:r>
    </w:p>
    <w:p w14:paraId="0B0F8BD6">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4</w:t>
      </w:r>
      <w:r>
        <w:rPr>
          <w:rStyle w:val="13"/>
          <w:rFonts w:hint="eastAsia" w:ascii="宋体" w:hAnsi="宋体" w:eastAsia="宋体" w:cs="宋体"/>
          <w:b w:val="0"/>
          <w:bCs/>
          <w:color w:val="auto"/>
          <w:szCs w:val="21"/>
          <w:highlight w:val="none"/>
          <w:lang w:val="en-US" w:eastAsia="zh-CN"/>
        </w:rPr>
        <w:t xml:space="preserve">）粉质粘土：灰黄色、灰褐色，可～硬塑状，主要分布在较大河流两岸及山间冲沟地段，厚度 </w:t>
      </w:r>
      <w:r>
        <w:rPr>
          <w:rStyle w:val="13"/>
          <w:rFonts w:hint="eastAsia" w:ascii="宋体" w:hAnsi="宋体" w:eastAsia="宋体" w:cs="宋体"/>
          <w:b w:val="0"/>
          <w:bCs/>
          <w:color w:val="auto"/>
          <w:szCs w:val="21"/>
          <w:highlight w:val="none"/>
          <w:lang w:val="en-US" w:eastAsia="zh-CN"/>
        </w:rPr>
        <w:t>3</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5m</w:t>
      </w:r>
      <w:r>
        <w:rPr>
          <w:rStyle w:val="13"/>
          <w:rFonts w:hint="eastAsia" w:ascii="宋体" w:hAnsi="宋体" w:eastAsia="宋体" w:cs="宋体"/>
          <w:b w:val="0"/>
          <w:bCs/>
          <w:color w:val="auto"/>
          <w:szCs w:val="21"/>
          <w:highlight w:val="none"/>
          <w:lang w:val="en-US" w:eastAsia="zh-CN"/>
        </w:rPr>
        <w:t xml:space="preserve">，厚者约 </w:t>
      </w:r>
      <w:r>
        <w:rPr>
          <w:rStyle w:val="13"/>
          <w:rFonts w:hint="eastAsia" w:ascii="宋体" w:hAnsi="宋体" w:eastAsia="宋体" w:cs="宋体"/>
          <w:b w:val="0"/>
          <w:bCs/>
          <w:color w:val="auto"/>
          <w:szCs w:val="21"/>
          <w:highlight w:val="none"/>
          <w:lang w:val="en-US" w:eastAsia="zh-CN"/>
        </w:rPr>
        <w:t>10m</w:t>
      </w:r>
      <w:r>
        <w:rPr>
          <w:rStyle w:val="13"/>
          <w:rFonts w:hint="eastAsia" w:ascii="宋体" w:hAnsi="宋体" w:eastAsia="宋体" w:cs="宋体"/>
          <w:b w:val="0"/>
          <w:bCs/>
          <w:color w:val="auto"/>
          <w:szCs w:val="21"/>
          <w:highlight w:val="none"/>
          <w:lang w:val="en-US" w:eastAsia="zh-CN"/>
        </w:rPr>
        <w:t xml:space="preserve">。 </w:t>
      </w:r>
    </w:p>
    <w:p w14:paraId="520C78E8">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4</w:t>
      </w:r>
      <w:r>
        <w:rPr>
          <w:rStyle w:val="13"/>
          <w:rFonts w:hint="eastAsia" w:ascii="宋体" w:hAnsi="宋体" w:eastAsia="宋体" w:cs="宋体"/>
          <w:b w:val="0"/>
          <w:bCs/>
          <w:color w:val="auto"/>
          <w:szCs w:val="21"/>
          <w:highlight w:val="none"/>
          <w:lang w:val="en-US" w:eastAsia="zh-CN"/>
        </w:rPr>
        <w:t xml:space="preserve">）砂：灰黄色，稍密，分布在河流阶地，厚 </w:t>
      </w:r>
      <w:r>
        <w:rPr>
          <w:rStyle w:val="13"/>
          <w:rFonts w:hint="eastAsia"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7m</w:t>
      </w:r>
      <w:r>
        <w:rPr>
          <w:rStyle w:val="13"/>
          <w:rFonts w:hint="eastAsia" w:ascii="宋体" w:hAnsi="宋体" w:eastAsia="宋体" w:cs="宋体"/>
          <w:b w:val="0"/>
          <w:bCs/>
          <w:color w:val="auto"/>
          <w:szCs w:val="21"/>
          <w:highlight w:val="none"/>
          <w:lang w:val="en-US" w:eastAsia="zh-CN"/>
        </w:rPr>
        <w:t xml:space="preserve">。 </w:t>
      </w:r>
    </w:p>
    <w:p w14:paraId="7B263FE0">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）圆砾：灰黄色、褐黄色，石英、长石质，稍密～中实，磨圆度一般，次棱角</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 xml:space="preserve">亚圆形，分布在较大河流阶地，厚 </w:t>
      </w:r>
      <w:r>
        <w:rPr>
          <w:rStyle w:val="13"/>
          <w:rFonts w:hint="eastAsia"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3m</w:t>
      </w:r>
      <w:r>
        <w:rPr>
          <w:rStyle w:val="13"/>
          <w:rFonts w:hint="eastAsia" w:ascii="宋体" w:hAnsi="宋体" w:eastAsia="宋体" w:cs="宋体"/>
          <w:b w:val="0"/>
          <w:bCs/>
          <w:color w:val="auto"/>
          <w:szCs w:val="21"/>
          <w:highlight w:val="none"/>
          <w:lang w:val="en-US" w:eastAsia="zh-CN"/>
        </w:rPr>
        <w:t xml:space="preserve">。 </w:t>
      </w:r>
    </w:p>
    <w:p w14:paraId="2EBAF01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6</w:t>
      </w:r>
      <w:r>
        <w:rPr>
          <w:rStyle w:val="13"/>
          <w:rFonts w:hint="eastAsia" w:ascii="宋体" w:hAnsi="宋体" w:eastAsia="宋体" w:cs="宋体"/>
          <w:b w:val="0"/>
          <w:bCs/>
          <w:color w:val="auto"/>
          <w:szCs w:val="21"/>
          <w:highlight w:val="none"/>
          <w:lang w:val="en-US" w:eastAsia="zh-CN"/>
        </w:rPr>
        <w:t xml:space="preserve">）卵石：灰黄色、杂色，卵石成分一般为石英、砂岩等，稍密～中实，分布在较大河流阶地，厚 </w:t>
      </w:r>
      <w:r>
        <w:rPr>
          <w:rStyle w:val="13"/>
          <w:rFonts w:hint="eastAsia"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3m</w:t>
      </w:r>
      <w:r>
        <w:rPr>
          <w:rStyle w:val="13"/>
          <w:rFonts w:hint="eastAsia" w:ascii="宋体" w:hAnsi="宋体" w:eastAsia="宋体" w:cs="宋体"/>
          <w:b w:val="0"/>
          <w:bCs/>
          <w:color w:val="auto"/>
          <w:szCs w:val="21"/>
          <w:highlight w:val="none"/>
          <w:lang w:val="en-US" w:eastAsia="zh-CN"/>
        </w:rPr>
        <w:t xml:space="preserve">。 </w:t>
      </w:r>
    </w:p>
    <w:p w14:paraId="081FE28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第四系更新统（</w:t>
      </w:r>
      <w:r>
        <w:rPr>
          <w:rStyle w:val="13"/>
          <w:rFonts w:hint="eastAsia" w:ascii="宋体" w:hAnsi="宋体" w:eastAsia="宋体" w:cs="宋体"/>
          <w:b w:val="0"/>
          <w:bCs/>
          <w:color w:val="auto"/>
          <w:szCs w:val="21"/>
          <w:highlight w:val="none"/>
          <w:lang w:val="en-US" w:eastAsia="zh-CN"/>
        </w:rPr>
        <w:t>Qp</w:t>
      </w:r>
      <w:r>
        <w:rPr>
          <w:rStyle w:val="13"/>
          <w:rFonts w:hint="eastAsia" w:ascii="宋体" w:hAnsi="宋体" w:eastAsia="宋体" w:cs="宋体"/>
          <w:b w:val="0"/>
          <w:bCs/>
          <w:color w:val="auto"/>
          <w:szCs w:val="21"/>
          <w:highlight w:val="none"/>
          <w:lang w:val="en-US" w:eastAsia="zh-CN"/>
        </w:rPr>
        <w:t xml:space="preserve">） </w:t>
      </w:r>
    </w:p>
    <w:p w14:paraId="6F70D3C2">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7</w:t>
      </w:r>
      <w:r>
        <w:rPr>
          <w:rStyle w:val="13"/>
          <w:rFonts w:hint="eastAsia" w:ascii="宋体" w:hAnsi="宋体" w:eastAsia="宋体" w:cs="宋体"/>
          <w:b w:val="0"/>
          <w:bCs/>
          <w:color w:val="auto"/>
          <w:szCs w:val="21"/>
          <w:highlight w:val="none"/>
          <w:lang w:val="en-US" w:eastAsia="zh-CN"/>
        </w:rPr>
        <w:t>）黏土（</w:t>
      </w:r>
      <w:r>
        <w:rPr>
          <w:rStyle w:val="13"/>
          <w:rFonts w:hint="eastAsia" w:ascii="宋体" w:hAnsi="宋体" w:eastAsia="宋体" w:cs="宋体"/>
          <w:b w:val="0"/>
          <w:bCs/>
          <w:color w:val="auto"/>
          <w:szCs w:val="21"/>
          <w:highlight w:val="none"/>
          <w:lang w:val="en-US" w:eastAsia="zh-CN"/>
        </w:rPr>
        <w:t>Q2</w:t>
      </w:r>
      <w:r>
        <w:rPr>
          <w:rStyle w:val="13"/>
          <w:rFonts w:hint="eastAsia" w:ascii="宋体" w:hAnsi="宋体" w:eastAsia="宋体" w:cs="宋体"/>
          <w:b w:val="0"/>
          <w:bCs/>
          <w:color w:val="auto"/>
          <w:szCs w:val="21"/>
          <w:highlight w:val="none"/>
          <w:lang w:val="en-US" w:eastAsia="zh-CN"/>
        </w:rPr>
        <w:t xml:space="preserve">）：棕红色，硬塑，网纹红土，红白相间，白色为高岭土，分布于茶亭互通、 </w:t>
      </w:r>
      <w:r>
        <w:rPr>
          <w:rStyle w:val="13"/>
          <w:rFonts w:hint="eastAsia" w:ascii="宋体" w:hAnsi="宋体" w:eastAsia="宋体" w:cs="宋体"/>
          <w:b w:val="0"/>
          <w:bCs/>
          <w:color w:val="auto"/>
          <w:szCs w:val="21"/>
          <w:highlight w:val="none"/>
          <w:lang w:val="en-US" w:eastAsia="zh-CN"/>
        </w:rPr>
        <w:t>K0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 xml:space="preserve">K3 </w:t>
      </w:r>
      <w:r>
        <w:rPr>
          <w:rStyle w:val="13"/>
          <w:rFonts w:hint="eastAsia" w:ascii="宋体" w:hAnsi="宋体" w:eastAsia="宋体" w:cs="宋体"/>
          <w:b w:val="0"/>
          <w:bCs/>
          <w:color w:val="auto"/>
          <w:szCs w:val="21"/>
          <w:highlight w:val="none"/>
          <w:lang w:val="en-US" w:eastAsia="zh-CN"/>
        </w:rPr>
        <w:t xml:space="preserve">沿线平缓的岗丘，厚度一般为 </w:t>
      </w:r>
      <w:r>
        <w:rPr>
          <w:rStyle w:val="13"/>
          <w:rFonts w:hint="eastAsia"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10m</w:t>
      </w:r>
      <w:r>
        <w:rPr>
          <w:rStyle w:val="13"/>
          <w:rFonts w:hint="eastAsia" w:ascii="宋体" w:hAnsi="宋体" w:eastAsia="宋体" w:cs="宋体"/>
          <w:b w:val="0"/>
          <w:bCs/>
          <w:color w:val="auto"/>
          <w:szCs w:val="21"/>
          <w:highlight w:val="none"/>
          <w:lang w:val="en-US" w:eastAsia="zh-CN"/>
        </w:rPr>
        <w:t xml:space="preserve">，最大约 </w:t>
      </w:r>
      <w:r>
        <w:rPr>
          <w:rStyle w:val="13"/>
          <w:rFonts w:hint="eastAsia" w:ascii="宋体" w:hAnsi="宋体" w:eastAsia="宋体" w:cs="宋体"/>
          <w:b w:val="0"/>
          <w:bCs/>
          <w:color w:val="auto"/>
          <w:szCs w:val="21"/>
          <w:highlight w:val="none"/>
          <w:lang w:val="en-US" w:eastAsia="zh-CN"/>
        </w:rPr>
        <w:t>20m</w:t>
      </w:r>
      <w:r>
        <w:rPr>
          <w:rStyle w:val="13"/>
          <w:rFonts w:hint="eastAsia" w:ascii="宋体" w:hAnsi="宋体" w:eastAsia="宋体" w:cs="宋体"/>
          <w:b w:val="0"/>
          <w:bCs/>
          <w:color w:val="auto"/>
          <w:szCs w:val="21"/>
          <w:highlight w:val="none"/>
          <w:lang w:val="en-US" w:eastAsia="zh-CN"/>
        </w:rPr>
        <w:t xml:space="preserve">。 </w:t>
      </w:r>
    </w:p>
    <w:p w14:paraId="5F772732">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8</w:t>
      </w:r>
      <w:r>
        <w:rPr>
          <w:rStyle w:val="13"/>
          <w:rFonts w:hint="eastAsia" w:ascii="宋体" w:hAnsi="宋体" w:eastAsia="宋体" w:cs="宋体"/>
          <w:b w:val="0"/>
          <w:bCs/>
          <w:color w:val="auto"/>
          <w:szCs w:val="21"/>
          <w:highlight w:val="none"/>
          <w:lang w:val="en-US" w:eastAsia="zh-CN"/>
        </w:rPr>
        <w:t>）砂质黏土（</w:t>
      </w:r>
      <w:r>
        <w:rPr>
          <w:rStyle w:val="13"/>
          <w:rFonts w:hint="eastAsia" w:ascii="宋体" w:hAnsi="宋体" w:eastAsia="宋体" w:cs="宋体"/>
          <w:b w:val="0"/>
          <w:bCs/>
          <w:color w:val="auto"/>
          <w:szCs w:val="21"/>
          <w:highlight w:val="none"/>
          <w:lang w:val="en-US" w:eastAsia="zh-CN"/>
        </w:rPr>
        <w:t>Q2</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 xml:space="preserve">: </w:t>
      </w:r>
      <w:r>
        <w:rPr>
          <w:rStyle w:val="13"/>
          <w:rFonts w:hint="eastAsia" w:ascii="宋体" w:hAnsi="宋体" w:eastAsia="宋体" w:cs="宋体"/>
          <w:b w:val="0"/>
          <w:bCs/>
          <w:color w:val="auto"/>
          <w:szCs w:val="21"/>
          <w:highlight w:val="none"/>
          <w:lang w:val="en-US" w:eastAsia="zh-CN"/>
        </w:rPr>
        <w:t xml:space="preserve">褐黄色、灰白色，硬塑，含约 </w:t>
      </w:r>
      <w:r>
        <w:rPr>
          <w:rStyle w:val="13"/>
          <w:rFonts w:hint="eastAsia" w:ascii="宋体" w:hAnsi="宋体" w:eastAsia="宋体" w:cs="宋体"/>
          <w:b w:val="0"/>
          <w:bCs/>
          <w:color w:val="auto"/>
          <w:szCs w:val="21"/>
          <w:highlight w:val="none"/>
          <w:lang w:val="en-US" w:eastAsia="zh-CN"/>
        </w:rPr>
        <w:t>20%</w:t>
      </w:r>
      <w:r>
        <w:rPr>
          <w:rStyle w:val="13"/>
          <w:rFonts w:hint="eastAsia" w:ascii="宋体" w:hAnsi="宋体" w:eastAsia="宋体" w:cs="宋体"/>
          <w:b w:val="0"/>
          <w:bCs/>
          <w:color w:val="auto"/>
          <w:szCs w:val="21"/>
          <w:highlight w:val="none"/>
          <w:lang w:val="en-US" w:eastAsia="zh-CN"/>
        </w:rPr>
        <w:t>石英质砂粒，局部夹白色高岭土，略具膨胀性，分布于茶亭互通、</w:t>
      </w:r>
      <w:r>
        <w:rPr>
          <w:rStyle w:val="13"/>
          <w:rFonts w:hint="eastAsia" w:ascii="宋体" w:hAnsi="宋体" w:eastAsia="宋体" w:cs="宋体"/>
          <w:b w:val="0"/>
          <w:bCs/>
          <w:color w:val="auto"/>
          <w:szCs w:val="21"/>
          <w:highlight w:val="none"/>
          <w:lang w:val="en-US" w:eastAsia="zh-CN"/>
        </w:rPr>
        <w:t>K0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 xml:space="preserve">K3 </w:t>
      </w:r>
      <w:r>
        <w:rPr>
          <w:rStyle w:val="13"/>
          <w:rFonts w:hint="eastAsia" w:ascii="宋体" w:hAnsi="宋体" w:eastAsia="宋体" w:cs="宋体"/>
          <w:b w:val="0"/>
          <w:bCs/>
          <w:color w:val="auto"/>
          <w:szCs w:val="21"/>
          <w:highlight w:val="none"/>
          <w:lang w:val="en-US" w:eastAsia="zh-CN"/>
        </w:rPr>
        <w:t xml:space="preserve">沿线平缓的岗丘，厚度一般为 </w:t>
      </w:r>
      <w:r>
        <w:rPr>
          <w:rStyle w:val="13"/>
          <w:rFonts w:hint="eastAsia" w:ascii="宋体" w:hAnsi="宋体" w:eastAsia="宋体" w:cs="宋体"/>
          <w:b w:val="0"/>
          <w:bCs/>
          <w:color w:val="auto"/>
          <w:szCs w:val="21"/>
          <w:highlight w:val="none"/>
          <w:lang w:val="en-US" w:eastAsia="zh-CN"/>
        </w:rPr>
        <w:t>4</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8m</w:t>
      </w:r>
      <w:r>
        <w:rPr>
          <w:rStyle w:val="13"/>
          <w:rFonts w:hint="eastAsia" w:ascii="宋体" w:hAnsi="宋体" w:eastAsia="宋体" w:cs="宋体"/>
          <w:b w:val="0"/>
          <w:bCs/>
          <w:color w:val="auto"/>
          <w:szCs w:val="21"/>
          <w:highlight w:val="none"/>
          <w:lang w:val="en-US" w:eastAsia="zh-CN"/>
        </w:rPr>
        <w:t xml:space="preserve">，最大约 </w:t>
      </w:r>
      <w:r>
        <w:rPr>
          <w:rStyle w:val="13"/>
          <w:rFonts w:hint="eastAsia" w:ascii="宋体" w:hAnsi="宋体" w:eastAsia="宋体" w:cs="宋体"/>
          <w:b w:val="0"/>
          <w:bCs/>
          <w:color w:val="auto"/>
          <w:szCs w:val="21"/>
          <w:highlight w:val="none"/>
          <w:lang w:val="en-US" w:eastAsia="zh-CN"/>
        </w:rPr>
        <w:t>18m</w:t>
      </w:r>
      <w:r>
        <w:rPr>
          <w:rStyle w:val="13"/>
          <w:rFonts w:hint="eastAsia" w:ascii="宋体" w:hAnsi="宋体" w:eastAsia="宋体" w:cs="宋体"/>
          <w:b w:val="0"/>
          <w:bCs/>
          <w:color w:val="auto"/>
          <w:szCs w:val="21"/>
          <w:highlight w:val="none"/>
          <w:lang w:val="en-US" w:eastAsia="zh-CN"/>
        </w:rPr>
        <w:t xml:space="preserve">。 </w:t>
      </w:r>
    </w:p>
    <w:p w14:paraId="1D15F05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9</w:t>
      </w:r>
      <w:r>
        <w:rPr>
          <w:rStyle w:val="13"/>
          <w:rFonts w:hint="eastAsia" w:ascii="宋体" w:hAnsi="宋体" w:eastAsia="宋体" w:cs="宋体"/>
          <w:b w:val="0"/>
          <w:bCs/>
          <w:color w:val="auto"/>
          <w:szCs w:val="21"/>
          <w:highlight w:val="none"/>
          <w:lang w:val="en-US" w:eastAsia="zh-CN"/>
        </w:rPr>
        <w:t>）黏土质砂（</w:t>
      </w:r>
      <w:r>
        <w:rPr>
          <w:rStyle w:val="13"/>
          <w:rFonts w:hint="eastAsia" w:ascii="宋体" w:hAnsi="宋体" w:eastAsia="宋体" w:cs="宋体"/>
          <w:b w:val="0"/>
          <w:bCs/>
          <w:color w:val="auto"/>
          <w:szCs w:val="21"/>
          <w:highlight w:val="none"/>
          <w:lang w:val="en-US" w:eastAsia="zh-CN"/>
        </w:rPr>
        <w:t>Q2</w:t>
      </w:r>
      <w:r>
        <w:rPr>
          <w:rStyle w:val="13"/>
          <w:rFonts w:hint="eastAsia" w:ascii="宋体" w:hAnsi="宋体" w:eastAsia="宋体" w:cs="宋体"/>
          <w:b w:val="0"/>
          <w:bCs/>
          <w:color w:val="auto"/>
          <w:szCs w:val="21"/>
          <w:highlight w:val="none"/>
          <w:lang w:val="en-US" w:eastAsia="zh-CN"/>
        </w:rPr>
        <w:t xml:space="preserve">）：灰白色，稍湿，中密砂粒成分以石英、长石为主，含少量云母，磨圆度一般，圆形，一般粒径 </w:t>
      </w:r>
      <w:r>
        <w:rPr>
          <w:rStyle w:val="13"/>
          <w:rFonts w:hint="eastAsia" w:ascii="宋体" w:hAnsi="宋体" w:eastAsia="宋体" w:cs="宋体"/>
          <w:b w:val="0"/>
          <w:bCs/>
          <w:color w:val="auto"/>
          <w:szCs w:val="21"/>
          <w:highlight w:val="none"/>
          <w:lang w:val="en-US" w:eastAsia="zh-CN"/>
        </w:rPr>
        <w:t>0.25</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2mm</w:t>
      </w:r>
      <w:r>
        <w:rPr>
          <w:rStyle w:val="13"/>
          <w:rFonts w:hint="eastAsia" w:ascii="宋体" w:hAnsi="宋体" w:eastAsia="宋体" w:cs="宋体"/>
          <w:b w:val="0"/>
          <w:bCs/>
          <w:color w:val="auto"/>
          <w:szCs w:val="21"/>
          <w:highlight w:val="none"/>
          <w:lang w:val="en-US" w:eastAsia="zh-CN"/>
        </w:rPr>
        <w:t xml:space="preserve">，砾石约 </w:t>
      </w:r>
      <w:r>
        <w:rPr>
          <w:rStyle w:val="13"/>
          <w:rFonts w:hint="eastAsia"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 xml:space="preserve">，黏粒含量约 </w:t>
      </w:r>
      <w:r>
        <w:rPr>
          <w:rStyle w:val="13"/>
          <w:rFonts w:hint="eastAsia" w:ascii="宋体" w:hAnsi="宋体" w:eastAsia="宋体" w:cs="宋体"/>
          <w:b w:val="0"/>
          <w:bCs/>
          <w:color w:val="auto"/>
          <w:szCs w:val="21"/>
          <w:highlight w:val="none"/>
          <w:lang w:val="en-US" w:eastAsia="zh-CN"/>
        </w:rPr>
        <w:t>15</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35%</w:t>
      </w:r>
      <w:r>
        <w:rPr>
          <w:rStyle w:val="13"/>
          <w:rFonts w:hint="eastAsia" w:ascii="宋体" w:hAnsi="宋体" w:eastAsia="宋体" w:cs="宋体"/>
          <w:b w:val="0"/>
          <w:bCs/>
          <w:color w:val="auto"/>
          <w:szCs w:val="21"/>
          <w:highlight w:val="none"/>
          <w:lang w:val="en-US" w:eastAsia="zh-CN"/>
        </w:rPr>
        <w:t>，胶结较好，揭示厚度</w:t>
      </w:r>
      <w:r>
        <w:rPr>
          <w:rStyle w:val="13"/>
          <w:rFonts w:hint="eastAsia" w:ascii="宋体" w:hAnsi="宋体" w:eastAsia="宋体" w:cs="宋体"/>
          <w:b w:val="0"/>
          <w:bCs/>
          <w:color w:val="auto"/>
          <w:szCs w:val="21"/>
          <w:highlight w:val="none"/>
          <w:lang w:val="en-US" w:eastAsia="zh-CN"/>
        </w:rPr>
        <w:t>1.2-31.8m</w:t>
      </w:r>
      <w:r>
        <w:rPr>
          <w:rStyle w:val="13"/>
          <w:rFonts w:hint="eastAsia" w:ascii="宋体" w:hAnsi="宋体" w:eastAsia="宋体" w:cs="宋体"/>
          <w:b w:val="0"/>
          <w:bCs/>
          <w:color w:val="auto"/>
          <w:szCs w:val="21"/>
          <w:highlight w:val="none"/>
          <w:lang w:val="en-US" w:eastAsia="zh-CN"/>
        </w:rPr>
        <w:t xml:space="preserve">。 </w:t>
      </w:r>
    </w:p>
    <w:p w14:paraId="12427B19">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10</w:t>
      </w:r>
      <w:r>
        <w:rPr>
          <w:rStyle w:val="13"/>
          <w:rFonts w:hint="eastAsia" w:ascii="宋体" w:hAnsi="宋体" w:eastAsia="宋体" w:cs="宋体"/>
          <w:b w:val="0"/>
          <w:bCs/>
          <w:color w:val="auto"/>
          <w:szCs w:val="21"/>
          <w:highlight w:val="none"/>
          <w:lang w:val="en-US" w:eastAsia="zh-CN"/>
        </w:rPr>
        <w:t>）黏土与粉砂互层（</w:t>
      </w:r>
      <w:r>
        <w:rPr>
          <w:rStyle w:val="13"/>
          <w:rFonts w:hint="eastAsia" w:ascii="宋体" w:hAnsi="宋体" w:eastAsia="宋体" w:cs="宋体"/>
          <w:b w:val="0"/>
          <w:bCs/>
          <w:color w:val="auto"/>
          <w:szCs w:val="21"/>
          <w:highlight w:val="none"/>
          <w:lang w:val="en-US" w:eastAsia="zh-CN"/>
        </w:rPr>
        <w:t>Q1</w:t>
      </w:r>
      <w:r>
        <w:rPr>
          <w:rStyle w:val="13"/>
          <w:rFonts w:hint="eastAsia" w:ascii="宋体" w:hAnsi="宋体" w:eastAsia="宋体" w:cs="宋体"/>
          <w:b w:val="0"/>
          <w:bCs/>
          <w:color w:val="auto"/>
          <w:szCs w:val="21"/>
          <w:highlight w:val="none"/>
          <w:lang w:val="en-US" w:eastAsia="zh-CN"/>
        </w:rPr>
        <w:t xml:space="preserve">）：灰绿色，半成岩，黏土与粉砂互层，层厚 </w:t>
      </w:r>
      <w:r>
        <w:rPr>
          <w:rStyle w:val="13"/>
          <w:rFonts w:hint="eastAsia" w:ascii="宋体" w:hAnsi="宋体" w:eastAsia="宋体" w:cs="宋体"/>
          <w:b w:val="0"/>
          <w:bCs/>
          <w:color w:val="auto"/>
          <w:szCs w:val="21"/>
          <w:highlight w:val="none"/>
          <w:lang w:val="en-US" w:eastAsia="zh-CN"/>
        </w:rPr>
        <w:t>2-3m</w:t>
      </w:r>
      <w:r>
        <w:rPr>
          <w:rStyle w:val="13"/>
          <w:rFonts w:hint="eastAsia" w:ascii="宋体" w:hAnsi="宋体" w:eastAsia="宋体" w:cs="宋体"/>
          <w:b w:val="0"/>
          <w:bCs/>
          <w:color w:val="auto"/>
          <w:szCs w:val="21"/>
          <w:highlight w:val="none"/>
          <w:lang w:val="en-US" w:eastAsia="zh-CN"/>
        </w:rPr>
        <w:t xml:space="preserve">，黏土干强度高，韧性强，约含 </w:t>
      </w:r>
      <w:r>
        <w:rPr>
          <w:rStyle w:val="13"/>
          <w:rFonts w:hint="eastAsia"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 xml:space="preserve">粗砂，粉砂砂粒成分主要为石英、长石，棱角状，含 </w:t>
      </w:r>
      <w:r>
        <w:rPr>
          <w:rStyle w:val="13"/>
          <w:rFonts w:hint="eastAsia" w:ascii="宋体" w:hAnsi="宋体" w:eastAsia="宋体" w:cs="宋体"/>
          <w:b w:val="0"/>
          <w:bCs/>
          <w:color w:val="auto"/>
          <w:szCs w:val="21"/>
          <w:highlight w:val="none"/>
          <w:lang w:val="en-US" w:eastAsia="zh-CN"/>
        </w:rPr>
        <w:t>30%</w:t>
      </w:r>
      <w:r>
        <w:rPr>
          <w:rStyle w:val="13"/>
          <w:rFonts w:hint="eastAsia" w:ascii="宋体" w:hAnsi="宋体" w:eastAsia="宋体" w:cs="宋体"/>
          <w:b w:val="0"/>
          <w:bCs/>
          <w:color w:val="auto"/>
          <w:szCs w:val="21"/>
          <w:highlight w:val="none"/>
          <w:lang w:val="en-US" w:eastAsia="zh-CN"/>
        </w:rPr>
        <w:t>黏粒，揭示厚度</w:t>
      </w:r>
      <w:r>
        <w:rPr>
          <w:rStyle w:val="13"/>
          <w:rFonts w:hint="eastAsia" w:ascii="宋体" w:hAnsi="宋体" w:eastAsia="宋体" w:cs="宋体"/>
          <w:b w:val="0"/>
          <w:bCs/>
          <w:color w:val="auto"/>
          <w:szCs w:val="21"/>
          <w:highlight w:val="none"/>
          <w:lang w:val="en-US" w:eastAsia="zh-CN"/>
        </w:rPr>
        <w:t>2.6-19.5m</w:t>
      </w:r>
      <w:r>
        <w:rPr>
          <w:rStyle w:val="13"/>
          <w:rFonts w:hint="eastAsia" w:ascii="宋体" w:hAnsi="宋体" w:eastAsia="宋体" w:cs="宋体"/>
          <w:b w:val="0"/>
          <w:bCs/>
          <w:color w:val="auto"/>
          <w:szCs w:val="21"/>
          <w:highlight w:val="none"/>
          <w:lang w:val="en-US" w:eastAsia="zh-CN"/>
        </w:rPr>
        <w:t xml:space="preserve">。 </w:t>
      </w:r>
    </w:p>
    <w:p w14:paraId="5D4A60ED">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11</w:t>
      </w:r>
      <w:r>
        <w:rPr>
          <w:rStyle w:val="13"/>
          <w:rFonts w:hint="eastAsia" w:ascii="宋体" w:hAnsi="宋体" w:eastAsia="宋体" w:cs="宋体"/>
          <w:b w:val="0"/>
          <w:bCs/>
          <w:color w:val="auto"/>
          <w:szCs w:val="21"/>
          <w:highlight w:val="none"/>
          <w:lang w:val="en-US" w:eastAsia="zh-CN"/>
        </w:rPr>
        <w:t>）粗砂（</w:t>
      </w:r>
      <w:r>
        <w:rPr>
          <w:rStyle w:val="13"/>
          <w:rFonts w:hint="eastAsia" w:ascii="宋体" w:hAnsi="宋体" w:eastAsia="宋体" w:cs="宋体"/>
          <w:b w:val="0"/>
          <w:bCs/>
          <w:color w:val="auto"/>
          <w:szCs w:val="21"/>
          <w:highlight w:val="none"/>
          <w:lang w:val="en-US" w:eastAsia="zh-CN"/>
        </w:rPr>
        <w:t>Q1</w:t>
      </w:r>
      <w:r>
        <w:rPr>
          <w:rStyle w:val="13"/>
          <w:rFonts w:hint="eastAsia" w:ascii="宋体" w:hAnsi="宋体" w:eastAsia="宋体" w:cs="宋体"/>
          <w:b w:val="0"/>
          <w:bCs/>
          <w:color w:val="auto"/>
          <w:szCs w:val="21"/>
          <w:highlight w:val="none"/>
          <w:lang w:val="en-US" w:eastAsia="zh-CN"/>
        </w:rPr>
        <w:t xml:space="preserve">）：灰白色，砂粒成分以石英、长石为主，一般粒径 </w:t>
      </w:r>
      <w:r>
        <w:rPr>
          <w:rStyle w:val="13"/>
          <w:rFonts w:hint="eastAsia" w:ascii="宋体" w:hAnsi="宋体" w:eastAsia="宋体" w:cs="宋体"/>
          <w:b w:val="0"/>
          <w:bCs/>
          <w:color w:val="auto"/>
          <w:szCs w:val="21"/>
          <w:highlight w:val="none"/>
          <w:lang w:val="en-US" w:eastAsia="zh-CN"/>
        </w:rPr>
        <w:t>0.5</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2mm</w:t>
      </w:r>
      <w:r>
        <w:rPr>
          <w:rStyle w:val="13"/>
          <w:rFonts w:hint="eastAsia" w:ascii="宋体" w:hAnsi="宋体" w:eastAsia="宋体" w:cs="宋体"/>
          <w:b w:val="0"/>
          <w:bCs/>
          <w:color w:val="auto"/>
          <w:szCs w:val="21"/>
          <w:highlight w:val="none"/>
          <w:lang w:val="en-US" w:eastAsia="zh-CN"/>
        </w:rPr>
        <w:t xml:space="preserve">，黏粒较高，胶结好，半成岩，厚度一般 </w:t>
      </w:r>
      <w:r>
        <w:rPr>
          <w:rStyle w:val="13"/>
          <w:rFonts w:hint="eastAsia"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25m</w:t>
      </w:r>
      <w:r>
        <w:rPr>
          <w:rStyle w:val="13"/>
          <w:rFonts w:hint="eastAsia" w:ascii="宋体" w:hAnsi="宋体" w:eastAsia="宋体" w:cs="宋体"/>
          <w:b w:val="0"/>
          <w:bCs/>
          <w:color w:val="auto"/>
          <w:szCs w:val="21"/>
          <w:highlight w:val="none"/>
          <w:lang w:val="en-US" w:eastAsia="zh-CN"/>
        </w:rPr>
        <w:t xml:space="preserve">。 </w:t>
      </w:r>
    </w:p>
    <w:p w14:paraId="23AC58D2">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元古界冷家溪群（</w:t>
      </w:r>
      <w:r>
        <w:rPr>
          <w:rStyle w:val="13"/>
          <w:rFonts w:hint="eastAsia" w:ascii="宋体" w:hAnsi="宋体" w:eastAsia="宋体" w:cs="宋体"/>
          <w:b w:val="0"/>
          <w:bCs/>
          <w:color w:val="auto"/>
          <w:szCs w:val="21"/>
          <w:highlight w:val="none"/>
          <w:lang w:val="en-US" w:eastAsia="zh-CN"/>
        </w:rPr>
        <w:t>Ptln</w:t>
      </w:r>
      <w:r>
        <w:rPr>
          <w:rStyle w:val="13"/>
          <w:rFonts w:hint="eastAsia" w:ascii="宋体" w:hAnsi="宋体" w:eastAsia="宋体" w:cs="宋体"/>
          <w:b w:val="0"/>
          <w:bCs/>
          <w:color w:val="auto"/>
          <w:szCs w:val="21"/>
          <w:highlight w:val="none"/>
          <w:lang w:val="en-US" w:eastAsia="zh-CN"/>
        </w:rPr>
        <w:t xml:space="preserve">） </w:t>
      </w:r>
    </w:p>
    <w:p w14:paraId="0BC6C9D3">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本组岩石以紫红、紫灰色条带板岩、砂质板岩、浅灰色、青灰、浅灰绿色绢云母板岩板岩为主，呈薄～中层状构造，局部受燕山晚期花岗岩入侵，发生变质作用，区域厚度大于 </w:t>
      </w:r>
      <w:r>
        <w:rPr>
          <w:rStyle w:val="13"/>
          <w:rFonts w:hint="eastAsia" w:ascii="宋体" w:hAnsi="宋体" w:eastAsia="宋体" w:cs="宋体"/>
          <w:b w:val="0"/>
          <w:bCs/>
          <w:color w:val="auto"/>
          <w:szCs w:val="21"/>
          <w:highlight w:val="none"/>
          <w:lang w:val="en-US" w:eastAsia="zh-CN"/>
        </w:rPr>
        <w:t>500m</w:t>
      </w:r>
      <w:r>
        <w:rPr>
          <w:rStyle w:val="13"/>
          <w:rFonts w:hint="eastAsia" w:ascii="宋体" w:hAnsi="宋体" w:eastAsia="宋体" w:cs="宋体"/>
          <w:b w:val="0"/>
          <w:bCs/>
          <w:color w:val="auto"/>
          <w:szCs w:val="21"/>
          <w:highlight w:val="none"/>
          <w:lang w:val="en-US" w:eastAsia="zh-CN"/>
        </w:rPr>
        <w:t xml:space="preserve">。 </w:t>
      </w:r>
    </w:p>
    <w:p w14:paraId="5296A636">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元古界冷家溪群（</w:t>
      </w:r>
      <w:r>
        <w:rPr>
          <w:rStyle w:val="13"/>
          <w:rFonts w:hint="eastAsia" w:ascii="宋体" w:hAnsi="宋体" w:eastAsia="宋体" w:cs="宋体"/>
          <w:b w:val="0"/>
          <w:bCs/>
          <w:color w:val="auto"/>
          <w:szCs w:val="21"/>
          <w:highlight w:val="none"/>
          <w:lang w:val="en-US" w:eastAsia="zh-CN"/>
        </w:rPr>
        <w:t>Ptln</w:t>
      </w:r>
      <w:r>
        <w:rPr>
          <w:rStyle w:val="13"/>
          <w:rFonts w:hint="eastAsia" w:ascii="宋体" w:hAnsi="宋体" w:eastAsia="宋体" w:cs="宋体"/>
          <w:b w:val="0"/>
          <w:bCs/>
          <w:color w:val="auto"/>
          <w:szCs w:val="21"/>
          <w:highlight w:val="none"/>
          <w:lang w:val="en-US" w:eastAsia="zh-CN"/>
        </w:rPr>
        <w:t>）地层主要分布于</w:t>
      </w:r>
      <w:r>
        <w:rPr>
          <w:rStyle w:val="13"/>
          <w:rFonts w:hint="eastAsia" w:ascii="宋体" w:hAnsi="宋体" w:eastAsia="宋体" w:cs="宋体"/>
          <w:b w:val="0"/>
          <w:bCs/>
          <w:color w:val="auto"/>
          <w:szCs w:val="21"/>
          <w:highlight w:val="none"/>
          <w:lang w:val="en-US" w:eastAsia="zh-CN"/>
        </w:rPr>
        <w:t>K14+800</w:t>
      </w:r>
      <w:r>
        <w:rPr>
          <w:rStyle w:val="13"/>
          <w:rFonts w:hint="eastAsia" w:ascii="宋体" w:hAnsi="宋体" w:eastAsia="宋体" w:cs="宋体"/>
          <w:b w:val="0"/>
          <w:bCs/>
          <w:color w:val="auto"/>
          <w:szCs w:val="21"/>
          <w:highlight w:val="none"/>
          <w:lang w:val="en-US" w:eastAsia="zh-CN"/>
        </w:rPr>
        <w:t>～终点。</w:t>
      </w:r>
    </w:p>
    <w:p w14:paraId="2322F23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燕山晚期侵入岩（</w:t>
      </w:r>
      <w:r>
        <w:rPr>
          <w:rStyle w:val="13"/>
          <w:rFonts w:hint="eastAsia" w:ascii="宋体" w:hAnsi="宋体" w:eastAsia="宋体" w:cs="宋体"/>
          <w:b w:val="0"/>
          <w:bCs/>
          <w:color w:val="auto"/>
          <w:szCs w:val="21"/>
          <w:highlight w:val="none"/>
          <w:lang w:val="en-US" w:eastAsia="zh-CN"/>
        </w:rPr>
        <w:t>ηγ53</w:t>
      </w:r>
      <w:r>
        <w:rPr>
          <w:rStyle w:val="13"/>
          <w:rFonts w:hint="eastAsia" w:ascii="宋体" w:hAnsi="宋体" w:eastAsia="宋体" w:cs="宋体"/>
          <w:b w:val="0"/>
          <w:bCs/>
          <w:color w:val="auto"/>
          <w:szCs w:val="21"/>
          <w:highlight w:val="none"/>
          <w:lang w:val="en-US" w:eastAsia="zh-CN"/>
        </w:rPr>
        <w:t xml:space="preserve">） </w:t>
      </w:r>
    </w:p>
    <w:p w14:paraId="3728F663">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为花岗岩体，岩体与板溪群呈侵入接触，接触线多呈弯曲状，以斑白色二云母二长花岗岩为主，过渡带为黑云母二长花岗岩，岩体为中粗结构为主，部分呈细中粒结构，风化后呈褐黄色、灰白色，风化厚度不均，</w:t>
      </w:r>
      <w:r>
        <w:rPr>
          <w:rStyle w:val="13"/>
          <w:rFonts w:hint="eastAsia"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50m</w:t>
      </w:r>
      <w:r>
        <w:rPr>
          <w:rStyle w:val="13"/>
          <w:rFonts w:hint="eastAsia" w:ascii="宋体" w:hAnsi="宋体" w:eastAsia="宋体" w:cs="宋体"/>
          <w:b w:val="0"/>
          <w:bCs/>
          <w:color w:val="auto"/>
          <w:szCs w:val="21"/>
          <w:highlight w:val="none"/>
          <w:lang w:val="en-US" w:eastAsia="zh-CN"/>
        </w:rPr>
        <w:t>，区域厚度</w:t>
      </w:r>
      <w:r>
        <w:rPr>
          <w:rStyle w:val="13"/>
          <w:rFonts w:hint="eastAsia" w:ascii="宋体" w:hAnsi="宋体" w:eastAsia="宋体" w:cs="宋体"/>
          <w:b w:val="0"/>
          <w:bCs/>
          <w:color w:val="auto"/>
          <w:szCs w:val="21"/>
          <w:highlight w:val="none"/>
          <w:lang w:val="en-US" w:eastAsia="zh-CN"/>
        </w:rPr>
        <w:t>&gt;500m</w:t>
      </w:r>
      <w:r>
        <w:rPr>
          <w:rStyle w:val="13"/>
          <w:rFonts w:hint="eastAsia" w:ascii="宋体" w:hAnsi="宋体" w:eastAsia="宋体" w:cs="宋体"/>
          <w:b w:val="0"/>
          <w:bCs/>
          <w:color w:val="auto"/>
          <w:szCs w:val="21"/>
          <w:highlight w:val="none"/>
          <w:lang w:val="en-US" w:eastAsia="zh-CN"/>
        </w:rPr>
        <w:t xml:space="preserve">。 </w:t>
      </w:r>
    </w:p>
    <w:p w14:paraId="2CDFD79F">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花岗岩体地层主要分布于主线 </w:t>
      </w:r>
      <w:r>
        <w:rPr>
          <w:rStyle w:val="13"/>
          <w:rFonts w:hint="eastAsia" w:ascii="宋体" w:hAnsi="宋体" w:eastAsia="宋体" w:cs="宋体"/>
          <w:b w:val="0"/>
          <w:bCs/>
          <w:color w:val="auto"/>
          <w:szCs w:val="21"/>
          <w:highlight w:val="none"/>
          <w:lang w:val="en-US" w:eastAsia="zh-CN"/>
        </w:rPr>
        <w:t>K2+500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K10+200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K11+200</w:t>
      </w:r>
      <w:r>
        <w:rPr>
          <w:rStyle w:val="13"/>
          <w:rFonts w:hint="eastAsia"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K14+800</w:t>
      </w:r>
      <w:r>
        <w:rPr>
          <w:rStyle w:val="13"/>
          <w:rFonts w:hint="eastAsia" w:ascii="宋体" w:hAnsi="宋体" w:eastAsia="宋体" w:cs="宋体"/>
          <w:b w:val="0"/>
          <w:bCs/>
          <w:color w:val="auto"/>
          <w:szCs w:val="21"/>
          <w:highlight w:val="none"/>
          <w:lang w:val="en-US" w:eastAsia="zh-CN"/>
        </w:rPr>
        <w:t xml:space="preserve">。 </w:t>
      </w:r>
    </w:p>
    <w:p w14:paraId="4D60C4AE">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3.5 区域地质构造 </w:t>
      </w:r>
    </w:p>
    <w:p w14:paraId="06745350">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走廊带位于雪峰构造带-湘东北断隆带边缘，地质历史时期中元古代-震旦纪早期境内地槽发展，形成一套复理石、磨拉石建造碎屑岩，岩石普遍区域变质，形成今日之冷家溪群板岩、千枚岩浅变质岩系，震旦纪早期在武陵-雪峰运动作用下，冷家溪群古老基底被挤压褶皱，形成一系列的北西-南东向背斜、向斜和北西走向的压性断裂，奠定了区域地质构造框架。</w:t>
      </w:r>
    </w:p>
    <w:p w14:paraId="2A7BAA26">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3.6 地震 </w:t>
      </w:r>
    </w:p>
    <w:p w14:paraId="7A8028A8">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根据《中国地震动参数区划图》（GB18306～2015），项目区地震动峰值加速度为 0.05g，地震动加速度反应谱特征周期为 0.35s，地震烈度Ⅵ度区。</w:t>
      </w:r>
    </w:p>
    <w:p w14:paraId="48F14849">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3.7 水文地质条件 </w:t>
      </w:r>
    </w:p>
    <w:p w14:paraId="066D2BDE">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勘察区地下水主要有第四系松散岩类孔隙水、基岩裂隙水两种类型。 </w:t>
      </w:r>
    </w:p>
    <w:p w14:paraId="12BAAC22">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松散岩类孔隙水 </w:t>
      </w:r>
    </w:p>
    <w:p w14:paraId="3BBC09B2">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含水层主要由第四系冲积砂、砂卵石、全风化花岗岩组成，零星分布在沙河、石渚河及沿线冲沟、河谷等地势低洼地段，Ⅰ级阶地含水层厚度一般为 2～10m，水位埋深 2～5m 与河水呈互补关系，在丰水期得到河水补给，枯水期地下水补给河水。渗透性较好，水量较丰富。 </w:t>
      </w:r>
    </w:p>
    <w:p w14:paraId="09CE9AE1">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碎屑岩裂隙水 </w:t>
      </w:r>
    </w:p>
    <w:p w14:paraId="6CB2A780">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主要含水层由泥盆系跳马涧组砂砾岩地层，奥陶系、震旦系、板溪群变质岩地层组成。主要赋存于岩石的裂隙中，接受大气降水补给，水量贫乏。</w:t>
      </w:r>
    </w:p>
    <w:p w14:paraId="2B51B212">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 </w:t>
      </w:r>
      <w:r>
        <w:rPr>
          <w:rStyle w:val="13"/>
          <w:rFonts w:hint="eastAsia" w:ascii="宋体" w:hAnsi="宋体" w:eastAsia="宋体" w:cs="宋体"/>
          <w:b/>
          <w:bCs w:val="0"/>
          <w:color w:val="auto"/>
          <w:szCs w:val="21"/>
          <w:highlight w:val="none"/>
          <w:lang w:val="en-US" w:eastAsia="zh-CN"/>
        </w:rPr>
        <w:t xml:space="preserve">不良地质及特殊性岩土情况 </w:t>
      </w:r>
    </w:p>
    <w:p w14:paraId="4658C364">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勘察区受地形、地层岩性、构造及地下水等因素的影响，沿线不良地质现象，主要有危岩与崩塌、采空区、弃渣。特殊性岩土为软土、花岗岩残积土。 </w:t>
      </w:r>
    </w:p>
    <w:p w14:paraId="6952B415">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4.1危岩与崩塌 </w:t>
      </w:r>
    </w:p>
    <w:p w14:paraId="56CF8597">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根据地质调查，白石隧道进口（ZK7+015 附近）存在一陡直边坡，高度约 35m，边坡体以强、中风化花岗岩为主。花岗岩岩体受节理裂隙面切割明显，主要发育有2组节理，J1产状120°∠15°，间距 30～50cm 平直，微张开，J2 产状 317°∠25°，间距 10～30cm，平直，闭合。强风化层内裂隙间距小，多为 5～15cm，裂隙面风化，结构面强度变差，中风化层裂隙亦发育，间距多在 30～50cm 以内，部分裂隙面微张，多被石英脉充填。 </w:t>
      </w:r>
    </w:p>
    <w:p w14:paraId="3B9376E0">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4.2采空区 </w:t>
      </w:r>
    </w:p>
    <w:p w14:paraId="65757F8C">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该采空区位于路线 K6+300-K6+420 左侧 25m～105m 处，为白石矿洞。据调查，该采空区于1954 年开始露天向下沿矿脉开采云母矿，开采时间约 8 年，开采深度约 50～60m，因地下水不断涌入，向下开采出现困难，试图向四周开采，因开采价值不大，于 1962 年停止开采。地表露天开采面积约 6200m2，与目前现状基本保持一致。 </w:t>
      </w:r>
    </w:p>
    <w:p w14:paraId="22E0429E">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4.3弃渣 </w:t>
      </w:r>
    </w:p>
    <w:p w14:paraId="0F0A11F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发育于白石矿洞（K6+270～495 左幅），为开采弃渣，成分主要为砂性土、云母和石英，厚度约 11.6～12.8m。 </w:t>
      </w:r>
    </w:p>
    <w:p w14:paraId="187197C3">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发育于白石隧道出口采矿区（K8+050～K8+182），成分主要为全、强花岗岩，局部为中风化花岗岩巨石，厚度约 1.1～13.6m。</w:t>
      </w:r>
    </w:p>
    <w:p w14:paraId="61EE7A6D">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4.4软土 </w:t>
      </w:r>
    </w:p>
    <w:p w14:paraId="67834204">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软土主要分布在沿线冲沟、水田及水塘中，成分以黏性土为主，花岗岩地区砂性含量较高，呈软塑状，厚度不大，一般为 1～3m，局部大于 3m，建议清除或抛石挤淤处理。 </w:t>
      </w:r>
    </w:p>
    <w:p w14:paraId="146F88D4">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4.5花岗岩残积土 </w:t>
      </w:r>
    </w:p>
    <w:p w14:paraId="37D1932D">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主线 K3+200～K10+200，花岗岩残积土和全强风化层厚度一般 10～20m，局部受构造影响厚达 30 多米。 </w:t>
      </w:r>
    </w:p>
    <w:p w14:paraId="1D65E115">
      <w:pPr>
        <w:pStyle w:val="17"/>
        <w:rPr>
          <w:rStyle w:val="13"/>
          <w:rFonts w:hint="eastAsia" w:ascii="宋体" w:hAnsi="宋体" w:eastAsia="宋体" w:cs="宋体"/>
          <w:b w:val="0"/>
          <w:bCs/>
          <w:color w:val="auto"/>
          <w:szCs w:val="21"/>
          <w:highlight w:val="none"/>
          <w:lang w:val="en-US" w:eastAsia="zh-CN"/>
        </w:rPr>
      </w:pPr>
    </w:p>
    <w:p w14:paraId="2DCCB4E7">
      <w:pPr>
        <w:pStyle w:val="17"/>
        <w:rPr>
          <w:rStyle w:val="13"/>
          <w:rFonts w:hint="eastAsia" w:ascii="宋体" w:hAnsi="宋体" w:eastAsia="宋体" w:cs="宋体"/>
          <w:b w:val="0"/>
          <w:bCs/>
          <w:color w:val="auto"/>
          <w:szCs w:val="21"/>
          <w:highlight w:val="none"/>
          <w:lang w:val="en-US" w:eastAsia="zh-CN"/>
        </w:rPr>
      </w:pPr>
    </w:p>
    <w:p w14:paraId="68FA2272">
      <w:pPr>
        <w:pStyle w:val="17"/>
        <w:rPr>
          <w:rStyle w:val="13"/>
          <w:rFonts w:hint="eastAsia" w:ascii="宋体" w:hAnsi="宋体" w:eastAsia="宋体" w:cs="宋体"/>
          <w:b w:val="0"/>
          <w:bCs/>
          <w:color w:val="auto"/>
          <w:szCs w:val="21"/>
          <w:highlight w:val="none"/>
          <w:lang w:val="en-US" w:eastAsia="zh-CN"/>
        </w:rPr>
      </w:pPr>
    </w:p>
    <w:p w14:paraId="2696E0AE">
      <w:pPr>
        <w:pStyle w:val="17"/>
        <w:rPr>
          <w:rStyle w:val="13"/>
          <w:rFonts w:hint="eastAsia" w:ascii="宋体" w:hAnsi="宋体" w:eastAsia="宋体" w:cs="宋体"/>
          <w:b w:val="0"/>
          <w:bCs/>
          <w:color w:val="auto"/>
          <w:szCs w:val="21"/>
          <w:highlight w:val="none"/>
          <w:lang w:val="en-US" w:eastAsia="zh-CN"/>
        </w:rPr>
      </w:pPr>
    </w:p>
    <w:p w14:paraId="394F2C72">
      <w:pPr>
        <w:pStyle w:val="17"/>
        <w:rPr>
          <w:rStyle w:val="13"/>
          <w:rFonts w:hint="eastAsia" w:ascii="宋体" w:hAnsi="宋体" w:eastAsia="宋体" w:cs="宋体"/>
          <w:b w:val="0"/>
          <w:bCs/>
          <w:color w:val="auto"/>
          <w:szCs w:val="21"/>
          <w:highlight w:val="none"/>
          <w:lang w:val="en-US" w:eastAsia="zh-CN"/>
        </w:rPr>
      </w:pPr>
    </w:p>
    <w:p w14:paraId="5BF17009">
      <w:pPr>
        <w:pStyle w:val="17"/>
        <w:rPr>
          <w:rStyle w:val="13"/>
          <w:rFonts w:hint="eastAsia" w:ascii="宋体" w:hAnsi="宋体" w:eastAsia="宋体" w:cs="宋体"/>
          <w:b w:val="0"/>
          <w:bCs/>
          <w:color w:val="auto"/>
          <w:szCs w:val="21"/>
          <w:highlight w:val="none"/>
          <w:lang w:val="en-US" w:eastAsia="zh-CN"/>
        </w:rPr>
      </w:pPr>
    </w:p>
    <w:p w14:paraId="1273F9FA">
      <w:pPr>
        <w:pStyle w:val="17"/>
        <w:rPr>
          <w:rStyle w:val="13"/>
          <w:rFonts w:hint="eastAsia" w:ascii="宋体" w:hAnsi="宋体" w:eastAsia="宋体" w:cs="宋体"/>
          <w:b w:val="0"/>
          <w:bCs/>
          <w:color w:val="auto"/>
          <w:szCs w:val="21"/>
          <w:highlight w:val="none"/>
          <w:lang w:val="en-US" w:eastAsia="zh-CN"/>
        </w:rPr>
      </w:pPr>
    </w:p>
    <w:p w14:paraId="24DEFD17">
      <w:pPr>
        <w:pStyle w:val="17"/>
        <w:rPr>
          <w:rStyle w:val="13"/>
          <w:rFonts w:hint="eastAsia" w:ascii="宋体" w:hAnsi="宋体" w:eastAsia="宋体" w:cs="宋体"/>
          <w:b w:val="0"/>
          <w:bCs/>
          <w:color w:val="auto"/>
          <w:szCs w:val="21"/>
          <w:highlight w:val="none"/>
          <w:lang w:val="en-US" w:eastAsia="zh-CN"/>
        </w:rPr>
      </w:pPr>
    </w:p>
    <w:p w14:paraId="272C493E">
      <w:pPr>
        <w:pStyle w:val="17"/>
        <w:rPr>
          <w:rStyle w:val="13"/>
          <w:rFonts w:hint="eastAsia" w:ascii="宋体" w:hAnsi="宋体" w:eastAsia="宋体" w:cs="宋体"/>
          <w:b w:val="0"/>
          <w:bCs/>
          <w:color w:val="auto"/>
          <w:szCs w:val="21"/>
          <w:highlight w:val="none"/>
          <w:lang w:val="en-US" w:eastAsia="zh-CN"/>
        </w:rPr>
      </w:pPr>
    </w:p>
    <w:p w14:paraId="71D62996">
      <w:pPr>
        <w:pStyle w:val="17"/>
        <w:rPr>
          <w:rStyle w:val="13"/>
          <w:rFonts w:hint="eastAsia" w:ascii="宋体" w:hAnsi="宋体" w:eastAsia="宋体" w:cs="宋体"/>
          <w:b w:val="0"/>
          <w:bCs/>
          <w:color w:val="auto"/>
          <w:szCs w:val="21"/>
          <w:highlight w:val="none"/>
          <w:lang w:val="en-US" w:eastAsia="zh-CN"/>
        </w:rPr>
      </w:pPr>
    </w:p>
    <w:p w14:paraId="207CF034">
      <w:pPr>
        <w:pStyle w:val="17"/>
        <w:rPr>
          <w:rStyle w:val="13"/>
          <w:rFonts w:hint="eastAsia" w:ascii="宋体" w:hAnsi="宋体" w:eastAsia="宋体" w:cs="宋体"/>
          <w:b w:val="0"/>
          <w:bCs/>
          <w:color w:val="auto"/>
          <w:szCs w:val="21"/>
          <w:highlight w:val="none"/>
          <w:lang w:val="en-US" w:eastAsia="zh-CN"/>
        </w:rPr>
      </w:pPr>
    </w:p>
    <w:p w14:paraId="0E79ED55">
      <w:pPr>
        <w:pStyle w:val="17"/>
        <w:rPr>
          <w:rStyle w:val="13"/>
          <w:rFonts w:hint="eastAsia" w:ascii="宋体" w:hAnsi="宋体" w:eastAsia="宋体" w:cs="宋体"/>
          <w:b w:val="0"/>
          <w:bCs/>
          <w:color w:val="auto"/>
          <w:szCs w:val="21"/>
          <w:highlight w:val="none"/>
          <w:lang w:val="en-US" w:eastAsia="zh-CN"/>
        </w:rPr>
      </w:pPr>
    </w:p>
    <w:p w14:paraId="33EA8199">
      <w:pPr>
        <w:pStyle w:val="17"/>
        <w:rPr>
          <w:rStyle w:val="13"/>
          <w:rFonts w:hint="eastAsia" w:ascii="宋体" w:hAnsi="宋体" w:eastAsia="宋体" w:cs="宋体"/>
          <w:b w:val="0"/>
          <w:bCs/>
          <w:color w:val="auto"/>
          <w:szCs w:val="21"/>
          <w:highlight w:val="none"/>
          <w:lang w:val="en-US" w:eastAsia="zh-CN"/>
        </w:rPr>
      </w:pPr>
    </w:p>
    <w:p w14:paraId="5FC4627F">
      <w:pPr>
        <w:pStyle w:val="17"/>
        <w:rPr>
          <w:rStyle w:val="13"/>
          <w:rFonts w:hint="eastAsia" w:ascii="宋体" w:hAnsi="宋体" w:eastAsia="宋体" w:cs="宋体"/>
          <w:b w:val="0"/>
          <w:bCs/>
          <w:color w:val="auto"/>
          <w:szCs w:val="21"/>
          <w:highlight w:val="none"/>
          <w:lang w:val="en-US" w:eastAsia="zh-CN"/>
        </w:rPr>
      </w:pPr>
    </w:p>
    <w:p w14:paraId="4D131690">
      <w:pPr>
        <w:pStyle w:val="17"/>
        <w:rPr>
          <w:rStyle w:val="13"/>
          <w:rFonts w:hint="eastAsia" w:ascii="宋体" w:hAnsi="宋体" w:eastAsia="宋体" w:cs="宋体"/>
          <w:b w:val="0"/>
          <w:bCs/>
          <w:color w:val="auto"/>
          <w:szCs w:val="21"/>
          <w:highlight w:val="none"/>
          <w:lang w:val="en-US" w:eastAsia="zh-CN"/>
        </w:rPr>
      </w:pPr>
    </w:p>
    <w:p w14:paraId="537AD1F8">
      <w:pPr>
        <w:pStyle w:val="17"/>
        <w:rPr>
          <w:rStyle w:val="13"/>
          <w:rFonts w:hint="eastAsia" w:ascii="宋体" w:hAnsi="宋体" w:eastAsia="宋体" w:cs="宋体"/>
          <w:b w:val="0"/>
          <w:bCs/>
          <w:color w:val="auto"/>
          <w:szCs w:val="21"/>
          <w:highlight w:val="none"/>
          <w:lang w:val="en-US" w:eastAsia="zh-CN"/>
        </w:rPr>
      </w:pPr>
    </w:p>
    <w:p w14:paraId="5337FCAA">
      <w:pPr>
        <w:pStyle w:val="17"/>
        <w:rPr>
          <w:rStyle w:val="13"/>
          <w:rFonts w:hint="eastAsia" w:ascii="宋体" w:hAnsi="宋体" w:eastAsia="宋体" w:cs="宋体"/>
          <w:b w:val="0"/>
          <w:bCs/>
          <w:color w:val="auto"/>
          <w:szCs w:val="21"/>
          <w:highlight w:val="none"/>
          <w:lang w:val="en-US" w:eastAsia="zh-CN"/>
        </w:rPr>
      </w:pPr>
    </w:p>
    <w:p w14:paraId="1D3FE76F">
      <w:pPr>
        <w:pStyle w:val="17"/>
        <w:rPr>
          <w:rStyle w:val="13"/>
          <w:rFonts w:hint="eastAsia" w:ascii="宋体" w:hAnsi="宋体" w:eastAsia="宋体" w:cs="宋体"/>
          <w:b w:val="0"/>
          <w:bCs/>
          <w:color w:val="auto"/>
          <w:szCs w:val="21"/>
          <w:highlight w:val="none"/>
          <w:lang w:val="en-US" w:eastAsia="zh-CN"/>
        </w:rPr>
      </w:pPr>
    </w:p>
    <w:p w14:paraId="3244F303">
      <w:pPr>
        <w:pStyle w:val="17"/>
        <w:rPr>
          <w:rStyle w:val="13"/>
          <w:rFonts w:hint="eastAsia" w:ascii="宋体" w:hAnsi="宋体" w:eastAsia="宋体" w:cs="宋体"/>
          <w:b w:val="0"/>
          <w:bCs/>
          <w:color w:val="auto"/>
          <w:szCs w:val="21"/>
          <w:highlight w:val="none"/>
          <w:lang w:val="en-US" w:eastAsia="zh-CN"/>
        </w:rPr>
      </w:pPr>
    </w:p>
    <w:p w14:paraId="12009813">
      <w:pPr>
        <w:pStyle w:val="17"/>
        <w:rPr>
          <w:rStyle w:val="13"/>
          <w:rFonts w:hint="eastAsia" w:ascii="宋体" w:hAnsi="宋体" w:eastAsia="宋体" w:cs="宋体"/>
          <w:b w:val="0"/>
          <w:bCs/>
          <w:color w:val="auto"/>
          <w:szCs w:val="21"/>
          <w:highlight w:val="none"/>
          <w:lang w:val="en-US" w:eastAsia="zh-CN"/>
        </w:rPr>
      </w:pPr>
    </w:p>
    <w:p w14:paraId="04E20095">
      <w:pPr>
        <w:pStyle w:val="17"/>
        <w:rPr>
          <w:rStyle w:val="13"/>
          <w:rFonts w:hint="eastAsia" w:ascii="宋体" w:hAnsi="宋体" w:eastAsia="宋体" w:cs="宋体"/>
          <w:b w:val="0"/>
          <w:bCs/>
          <w:color w:val="auto"/>
          <w:szCs w:val="21"/>
          <w:highlight w:val="none"/>
          <w:lang w:val="en-US" w:eastAsia="zh-CN"/>
        </w:rPr>
      </w:pPr>
    </w:p>
    <w:p w14:paraId="6F968636">
      <w:pPr>
        <w:pStyle w:val="17"/>
        <w:rPr>
          <w:rStyle w:val="13"/>
          <w:rFonts w:hint="eastAsia" w:ascii="宋体" w:hAnsi="宋体" w:eastAsia="宋体" w:cs="宋体"/>
          <w:b w:val="0"/>
          <w:bCs/>
          <w:color w:val="auto"/>
          <w:szCs w:val="21"/>
          <w:highlight w:val="none"/>
          <w:lang w:val="en-US" w:eastAsia="zh-CN"/>
        </w:rPr>
      </w:pPr>
    </w:p>
    <w:p w14:paraId="367C34B6">
      <w:pPr>
        <w:pStyle w:val="17"/>
        <w:rPr>
          <w:rStyle w:val="13"/>
          <w:rFonts w:hint="eastAsia" w:ascii="宋体" w:hAnsi="宋体" w:eastAsia="宋体" w:cs="宋体"/>
          <w:b w:val="0"/>
          <w:bCs/>
          <w:color w:val="auto"/>
          <w:szCs w:val="21"/>
          <w:highlight w:val="none"/>
          <w:lang w:val="en-US" w:eastAsia="zh-CN"/>
        </w:rPr>
      </w:pPr>
    </w:p>
    <w:p w14:paraId="7A192C69">
      <w:pPr>
        <w:pStyle w:val="17"/>
        <w:rPr>
          <w:rStyle w:val="13"/>
          <w:rFonts w:hint="eastAsia" w:ascii="宋体" w:hAnsi="宋体" w:eastAsia="宋体" w:cs="宋体"/>
          <w:b w:val="0"/>
          <w:bCs/>
          <w:color w:val="auto"/>
          <w:szCs w:val="21"/>
          <w:highlight w:val="none"/>
          <w:lang w:val="en-US" w:eastAsia="zh-CN"/>
        </w:rPr>
      </w:pPr>
    </w:p>
    <w:p w14:paraId="416995FF">
      <w:pPr>
        <w:pStyle w:val="17"/>
        <w:rPr>
          <w:rStyle w:val="13"/>
          <w:rFonts w:hint="eastAsia" w:ascii="宋体" w:hAnsi="宋体" w:eastAsia="宋体" w:cs="宋体"/>
          <w:b w:val="0"/>
          <w:bCs/>
          <w:color w:val="auto"/>
          <w:szCs w:val="21"/>
          <w:highlight w:val="none"/>
          <w:lang w:val="en-US" w:eastAsia="zh-CN"/>
        </w:rPr>
      </w:pPr>
    </w:p>
    <w:p w14:paraId="157D15BD">
      <w:pPr>
        <w:pStyle w:val="17"/>
        <w:rPr>
          <w:rStyle w:val="13"/>
          <w:rFonts w:hint="eastAsia" w:ascii="宋体" w:hAnsi="宋体" w:eastAsia="宋体" w:cs="宋体"/>
          <w:b w:val="0"/>
          <w:bCs/>
          <w:color w:val="auto"/>
          <w:szCs w:val="21"/>
          <w:highlight w:val="none"/>
          <w:lang w:val="en-US" w:eastAsia="zh-CN"/>
        </w:rPr>
      </w:pPr>
    </w:p>
    <w:p w14:paraId="40FBF5BA">
      <w:pPr>
        <w:pStyle w:val="17"/>
        <w:rPr>
          <w:rStyle w:val="13"/>
          <w:rFonts w:hint="eastAsia" w:ascii="宋体" w:hAnsi="宋体" w:eastAsia="宋体" w:cs="宋体"/>
          <w:b w:val="0"/>
          <w:bCs/>
          <w:color w:val="auto"/>
          <w:szCs w:val="21"/>
          <w:highlight w:val="none"/>
          <w:lang w:val="en-US" w:eastAsia="zh-CN"/>
        </w:rPr>
      </w:pPr>
    </w:p>
    <w:p w14:paraId="35AE6DF8">
      <w:pPr>
        <w:pStyle w:val="17"/>
        <w:rPr>
          <w:rStyle w:val="13"/>
          <w:rFonts w:hint="eastAsia" w:ascii="宋体" w:hAnsi="宋体" w:eastAsia="宋体" w:cs="宋体"/>
          <w:b w:val="0"/>
          <w:bCs/>
          <w:color w:val="auto"/>
          <w:szCs w:val="21"/>
          <w:highlight w:val="none"/>
          <w:lang w:val="en-US" w:eastAsia="zh-CN"/>
        </w:rPr>
      </w:pPr>
    </w:p>
    <w:p w14:paraId="61B7CD48">
      <w:pPr>
        <w:pStyle w:val="17"/>
        <w:rPr>
          <w:rStyle w:val="13"/>
          <w:rFonts w:hint="eastAsia" w:ascii="宋体" w:hAnsi="宋体" w:eastAsia="宋体" w:cs="宋体"/>
          <w:b w:val="0"/>
          <w:bCs/>
          <w:color w:val="auto"/>
          <w:szCs w:val="21"/>
          <w:highlight w:val="none"/>
          <w:lang w:val="en-US" w:eastAsia="zh-CN"/>
        </w:rPr>
      </w:pPr>
    </w:p>
    <w:p w14:paraId="749B753F">
      <w:pPr>
        <w:pStyle w:val="17"/>
        <w:rPr>
          <w:rStyle w:val="13"/>
          <w:rFonts w:hint="eastAsia" w:ascii="宋体" w:hAnsi="宋体" w:eastAsia="宋体" w:cs="宋体"/>
          <w:b w:val="0"/>
          <w:bCs/>
          <w:color w:val="auto"/>
          <w:szCs w:val="21"/>
          <w:highlight w:val="none"/>
          <w:lang w:val="en-US" w:eastAsia="zh-CN"/>
        </w:rPr>
      </w:pPr>
    </w:p>
    <w:p w14:paraId="315D7944">
      <w:pPr>
        <w:pStyle w:val="17"/>
        <w:rPr>
          <w:rStyle w:val="13"/>
          <w:rFonts w:hint="eastAsia" w:ascii="宋体" w:hAnsi="宋体" w:eastAsia="宋体" w:cs="宋体"/>
          <w:b w:val="0"/>
          <w:bCs/>
          <w:color w:val="auto"/>
          <w:szCs w:val="21"/>
          <w:highlight w:val="none"/>
          <w:lang w:val="en-US" w:eastAsia="zh-CN"/>
        </w:rPr>
      </w:pPr>
    </w:p>
    <w:p w14:paraId="7E42C4D5">
      <w:pPr>
        <w:pStyle w:val="17"/>
        <w:rPr>
          <w:rStyle w:val="13"/>
          <w:rFonts w:hint="eastAsia" w:ascii="宋体" w:hAnsi="宋体" w:eastAsia="宋体" w:cs="宋体"/>
          <w:b w:val="0"/>
          <w:bCs/>
          <w:color w:val="auto"/>
          <w:szCs w:val="21"/>
          <w:highlight w:val="none"/>
          <w:lang w:val="en-US" w:eastAsia="zh-CN"/>
        </w:rPr>
      </w:pPr>
    </w:p>
    <w:p w14:paraId="36C2008E">
      <w:pPr>
        <w:pStyle w:val="17"/>
        <w:rPr>
          <w:rStyle w:val="13"/>
          <w:rFonts w:hint="eastAsia" w:ascii="宋体" w:hAnsi="宋体" w:eastAsia="宋体" w:cs="宋体"/>
          <w:b w:val="0"/>
          <w:bCs/>
          <w:color w:val="auto"/>
          <w:szCs w:val="21"/>
          <w:highlight w:val="none"/>
          <w:lang w:val="en-US" w:eastAsia="zh-CN"/>
        </w:rPr>
      </w:pPr>
    </w:p>
    <w:p w14:paraId="770C114E">
      <w:pPr>
        <w:pStyle w:val="17"/>
        <w:rPr>
          <w:rStyle w:val="13"/>
          <w:rFonts w:hint="eastAsia" w:ascii="宋体" w:hAnsi="宋体" w:eastAsia="宋体" w:cs="宋体"/>
          <w:b w:val="0"/>
          <w:bCs/>
          <w:color w:val="auto"/>
          <w:szCs w:val="21"/>
          <w:highlight w:val="none"/>
          <w:lang w:val="en-US" w:eastAsia="zh-CN"/>
        </w:rPr>
      </w:pPr>
    </w:p>
    <w:p w14:paraId="2D2E59B6">
      <w:pPr>
        <w:pStyle w:val="17"/>
        <w:rPr>
          <w:rStyle w:val="13"/>
          <w:rFonts w:hint="eastAsia" w:ascii="宋体" w:hAnsi="宋体" w:eastAsia="宋体" w:cs="宋体"/>
          <w:b w:val="0"/>
          <w:bCs/>
          <w:color w:val="auto"/>
          <w:szCs w:val="21"/>
          <w:highlight w:val="none"/>
          <w:lang w:val="en-US" w:eastAsia="zh-CN"/>
        </w:rPr>
      </w:pPr>
    </w:p>
    <w:p w14:paraId="048E4854">
      <w:pPr>
        <w:pStyle w:val="17"/>
        <w:rPr>
          <w:rStyle w:val="13"/>
          <w:rFonts w:hint="eastAsia" w:ascii="宋体" w:hAnsi="宋体" w:eastAsia="宋体" w:cs="宋体"/>
          <w:b w:val="0"/>
          <w:bCs/>
          <w:color w:val="auto"/>
          <w:szCs w:val="21"/>
          <w:highlight w:val="none"/>
          <w:lang w:val="en-US" w:eastAsia="zh-CN"/>
        </w:rPr>
      </w:pPr>
    </w:p>
    <w:p w14:paraId="42C7CBBC">
      <w:pPr>
        <w:pStyle w:val="17"/>
        <w:rPr>
          <w:rStyle w:val="13"/>
          <w:rFonts w:hint="eastAsia" w:ascii="宋体" w:hAnsi="宋体" w:eastAsia="宋体" w:cs="宋体"/>
          <w:b w:val="0"/>
          <w:bCs/>
          <w:color w:val="auto"/>
          <w:szCs w:val="21"/>
          <w:highlight w:val="none"/>
          <w:lang w:val="en-US" w:eastAsia="zh-CN"/>
        </w:rPr>
        <w:sectPr>
          <w:footnotePr>
            <w:numFmt w:val="decimalEnclosedCircleChinese"/>
            <w:numRestart w:val="eachPage"/>
          </w:footnotePr>
          <w:pgSz w:w="11907" w:h="16840"/>
          <w:pgMar w:top="1588" w:right="1588" w:bottom="1474" w:left="1644" w:header="851" w:footer="851" w:gutter="0"/>
          <w:pgBorders>
            <w:top w:val="none" w:sz="0" w:space="0"/>
            <w:left w:val="none" w:sz="0" w:space="0"/>
            <w:bottom w:val="none" w:sz="0" w:space="0"/>
            <w:right w:val="none" w:sz="0" w:space="0"/>
          </w:pgBorders>
          <w:cols w:space="720" w:num="1"/>
        </w:sectPr>
      </w:pPr>
    </w:p>
    <w:p w14:paraId="189B70FE">
      <w:pPr>
        <w:pStyle w:val="17"/>
        <w:jc w:val="center"/>
        <w:rPr>
          <w:rStyle w:val="13"/>
          <w:rFonts w:hint="eastAsia" w:ascii="宋体" w:hAnsi="宋体" w:eastAsia="宋体" w:cs="宋体"/>
          <w:color w:val="auto"/>
          <w:sz w:val="32"/>
          <w:szCs w:val="32"/>
          <w:highlight w:val="none"/>
        </w:rPr>
      </w:pPr>
      <w:r>
        <w:rPr>
          <w:rStyle w:val="13"/>
          <w:rFonts w:hint="eastAsia" w:ascii="宋体" w:hAnsi="宋体" w:eastAsia="宋体" w:cs="宋体"/>
          <w:color w:val="auto"/>
          <w:sz w:val="32"/>
          <w:szCs w:val="32"/>
          <w:highlight w:val="none"/>
          <w:lang w:val="en-US" w:eastAsia="zh-CN"/>
        </w:rPr>
        <w:t>许广高速茶亭互通至长沙绕城</w:t>
      </w:r>
      <w:r>
        <w:rPr>
          <w:rStyle w:val="13"/>
          <w:rFonts w:hint="eastAsia" w:ascii="宋体" w:hAnsi="宋体" w:eastAsia="宋体" w:cs="宋体"/>
          <w:color w:val="auto"/>
          <w:sz w:val="32"/>
          <w:szCs w:val="32"/>
          <w:highlight w:val="none"/>
        </w:rPr>
        <w:t>高速公路项目主要工程数量一览表</w:t>
      </w:r>
    </w:p>
    <w:tbl>
      <w:tblPr>
        <w:tblStyle w:val="12"/>
        <w:tblpPr w:leftFromText="180" w:rightFromText="180" w:vertAnchor="page" w:horzAnchor="page" w:tblpX="1401" w:tblpY="2844"/>
        <w:tblW w:w="14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093"/>
        <w:gridCol w:w="780"/>
        <w:gridCol w:w="900"/>
        <w:gridCol w:w="825"/>
        <w:gridCol w:w="885"/>
        <w:gridCol w:w="870"/>
        <w:gridCol w:w="1020"/>
        <w:gridCol w:w="1125"/>
        <w:gridCol w:w="675"/>
        <w:gridCol w:w="825"/>
        <w:gridCol w:w="990"/>
        <w:gridCol w:w="1110"/>
        <w:gridCol w:w="1035"/>
        <w:gridCol w:w="1170"/>
      </w:tblGrid>
      <w:tr w14:paraId="6FBB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34" w:type="dxa"/>
            <w:tcBorders>
              <w:top w:val="single" w:color="auto" w:sz="4" w:space="0"/>
              <w:left w:val="single" w:color="auto" w:sz="4" w:space="0"/>
              <w:right w:val="single" w:color="auto" w:sz="4" w:space="0"/>
            </w:tcBorders>
            <w:noWrap/>
            <w:vAlign w:val="center"/>
          </w:tcPr>
          <w:p w14:paraId="0C1F5BBC">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监理标段</w:t>
            </w:r>
          </w:p>
          <w:p w14:paraId="42C45DA6">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　</w:t>
            </w:r>
          </w:p>
        </w:tc>
        <w:tc>
          <w:tcPr>
            <w:tcW w:w="1093" w:type="dxa"/>
            <w:tcBorders>
              <w:top w:val="single" w:color="auto" w:sz="4" w:space="0"/>
              <w:left w:val="single" w:color="auto" w:sz="4" w:space="0"/>
              <w:right w:val="single" w:color="auto" w:sz="4" w:space="0"/>
            </w:tcBorders>
            <w:noWrap w:val="0"/>
            <w:vAlign w:val="center"/>
          </w:tcPr>
          <w:p w14:paraId="4521DF2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eastAsia="zh-CN"/>
              </w:rPr>
            </w:pPr>
            <w:r>
              <w:rPr>
                <w:rStyle w:val="13"/>
                <w:rFonts w:hint="eastAsia" w:ascii="宋体" w:hAnsi="宋体" w:eastAsia="宋体" w:cs="宋体"/>
                <w:color w:val="auto"/>
                <w:kern w:val="0"/>
                <w:sz w:val="20"/>
                <w:szCs w:val="20"/>
                <w:highlight w:val="none"/>
              </w:rPr>
              <w:t>起</w:t>
            </w:r>
            <w:r>
              <w:rPr>
                <w:rStyle w:val="13"/>
                <w:rFonts w:hint="eastAsia" w:ascii="宋体" w:hAnsi="宋体" w:eastAsia="宋体" w:cs="宋体"/>
                <w:color w:val="auto"/>
                <w:kern w:val="0"/>
                <w:sz w:val="20"/>
                <w:szCs w:val="20"/>
                <w:highlight w:val="none"/>
                <w:lang w:val="en-US" w:eastAsia="zh-CN"/>
              </w:rPr>
              <w:t>讫</w:t>
            </w:r>
          </w:p>
          <w:p w14:paraId="1FB1DBB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桩号</w:t>
            </w:r>
          </w:p>
        </w:tc>
        <w:tc>
          <w:tcPr>
            <w:tcW w:w="780" w:type="dxa"/>
            <w:tcBorders>
              <w:top w:val="single" w:color="auto" w:sz="4" w:space="0"/>
              <w:left w:val="single" w:color="auto" w:sz="4" w:space="0"/>
              <w:right w:val="single" w:color="auto" w:sz="4" w:space="0"/>
            </w:tcBorders>
            <w:noWrap/>
            <w:vAlign w:val="center"/>
          </w:tcPr>
          <w:p w14:paraId="42ED533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长度</w:t>
            </w:r>
          </w:p>
          <w:p w14:paraId="5A790B3E">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(km)</w:t>
            </w:r>
          </w:p>
        </w:tc>
        <w:tc>
          <w:tcPr>
            <w:tcW w:w="900" w:type="dxa"/>
            <w:tcBorders>
              <w:top w:val="single" w:color="auto" w:sz="4" w:space="0"/>
              <w:left w:val="single" w:color="auto" w:sz="4" w:space="0"/>
              <w:right w:val="single" w:color="auto" w:sz="4" w:space="0"/>
            </w:tcBorders>
            <w:noWrap/>
            <w:vAlign w:val="center"/>
          </w:tcPr>
          <w:p w14:paraId="79CD10CA">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挖方</w:t>
            </w:r>
          </w:p>
          <w:p w14:paraId="7133916B">
            <w:pPr>
              <w:pStyle w:val="15"/>
              <w:widowControl/>
              <w:spacing w:line="240" w:lineRule="auto"/>
              <w:ind w:firstLine="0" w:firstLineChars="0"/>
              <w:jc w:val="center"/>
              <w:rPr>
                <w:rStyle w:val="13"/>
                <w:rFonts w:hint="eastAsia" w:ascii="宋体" w:hAnsi="宋体" w:eastAsia="宋体" w:cs="宋体"/>
                <w:color w:val="auto"/>
                <w:highlight w:val="none"/>
                <w:lang w:val="en-US" w:eastAsia="zh-CN"/>
              </w:rPr>
            </w:pP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万方</w:t>
            </w:r>
            <w:r>
              <w:rPr>
                <w:rStyle w:val="13"/>
                <w:rFonts w:hint="eastAsia" w:ascii="宋体" w:hAnsi="宋体" w:eastAsia="宋体" w:cs="宋体"/>
                <w:color w:val="auto"/>
                <w:kern w:val="0"/>
                <w:sz w:val="20"/>
                <w:szCs w:val="20"/>
                <w:highlight w:val="none"/>
              </w:rPr>
              <w:t>)</w:t>
            </w:r>
          </w:p>
        </w:tc>
        <w:tc>
          <w:tcPr>
            <w:tcW w:w="825" w:type="dxa"/>
            <w:tcBorders>
              <w:top w:val="single" w:color="auto" w:sz="4" w:space="0"/>
              <w:left w:val="single" w:color="auto" w:sz="4" w:space="0"/>
              <w:right w:val="single" w:color="auto" w:sz="4" w:space="0"/>
            </w:tcBorders>
            <w:noWrap/>
            <w:vAlign w:val="center"/>
          </w:tcPr>
          <w:p w14:paraId="391D2A9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填方</w:t>
            </w:r>
          </w:p>
          <w:p w14:paraId="3883889D">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万方</w:t>
            </w:r>
            <w:r>
              <w:rPr>
                <w:rStyle w:val="13"/>
                <w:rFonts w:hint="eastAsia" w:ascii="宋体" w:hAnsi="宋体" w:eastAsia="宋体" w:cs="宋体"/>
                <w:color w:val="auto"/>
                <w:kern w:val="0"/>
                <w:sz w:val="20"/>
                <w:szCs w:val="20"/>
                <w:highlight w:val="none"/>
              </w:rPr>
              <w:t>)</w:t>
            </w:r>
          </w:p>
        </w:tc>
        <w:tc>
          <w:tcPr>
            <w:tcW w:w="885" w:type="dxa"/>
            <w:tcBorders>
              <w:top w:val="single" w:color="auto" w:sz="4" w:space="0"/>
              <w:left w:val="single" w:color="auto" w:sz="4" w:space="0"/>
              <w:right w:val="single" w:color="auto" w:sz="4" w:space="0"/>
            </w:tcBorders>
            <w:noWrap/>
            <w:vAlign w:val="center"/>
          </w:tcPr>
          <w:p w14:paraId="5F26F15F">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特大桥</w:t>
            </w:r>
          </w:p>
          <w:p w14:paraId="3EB9ADB1">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870" w:type="dxa"/>
            <w:tcBorders>
              <w:top w:val="single" w:color="auto" w:sz="4" w:space="0"/>
              <w:left w:val="single" w:color="auto" w:sz="4" w:space="0"/>
              <w:right w:val="single" w:color="auto" w:sz="4" w:space="0"/>
            </w:tcBorders>
            <w:noWrap/>
            <w:vAlign w:val="center"/>
          </w:tcPr>
          <w:p w14:paraId="6B3B1FC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大桥</w:t>
            </w:r>
          </w:p>
          <w:p w14:paraId="2519209F">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1020" w:type="dxa"/>
            <w:tcBorders>
              <w:top w:val="single" w:color="auto" w:sz="4" w:space="0"/>
              <w:left w:val="single" w:color="auto" w:sz="4" w:space="0"/>
              <w:right w:val="single" w:color="auto" w:sz="4" w:space="0"/>
            </w:tcBorders>
            <w:noWrap w:val="0"/>
            <w:vAlign w:val="center"/>
          </w:tcPr>
          <w:p w14:paraId="378ECB9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中小桥</w:t>
            </w:r>
          </w:p>
          <w:p w14:paraId="1B88A2E9">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1125" w:type="dxa"/>
            <w:tcBorders>
              <w:top w:val="single" w:color="auto" w:sz="4" w:space="0"/>
              <w:left w:val="single" w:color="auto" w:sz="4" w:space="0"/>
              <w:right w:val="single" w:color="auto" w:sz="4" w:space="0"/>
            </w:tcBorders>
            <w:noWrap w:val="0"/>
            <w:vAlign w:val="center"/>
          </w:tcPr>
          <w:p w14:paraId="1CC0B65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隧道</w:t>
            </w:r>
          </w:p>
          <w:p w14:paraId="299DF236">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675" w:type="dxa"/>
            <w:tcBorders>
              <w:top w:val="single" w:color="auto" w:sz="4" w:space="0"/>
              <w:left w:val="single" w:color="auto" w:sz="4" w:space="0"/>
              <w:right w:val="single" w:color="auto" w:sz="4" w:space="0"/>
            </w:tcBorders>
            <w:noWrap w:val="0"/>
            <w:vAlign w:val="center"/>
          </w:tcPr>
          <w:p w14:paraId="39FE834C">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互通</w:t>
            </w:r>
          </w:p>
          <w:p w14:paraId="7557C167">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(处)</w:t>
            </w:r>
          </w:p>
        </w:tc>
        <w:tc>
          <w:tcPr>
            <w:tcW w:w="825" w:type="dxa"/>
            <w:tcBorders>
              <w:top w:val="single" w:color="auto" w:sz="4" w:space="0"/>
              <w:left w:val="single" w:color="auto" w:sz="4" w:space="0"/>
              <w:right w:val="single" w:color="auto" w:sz="4" w:space="0"/>
            </w:tcBorders>
            <w:noWrap w:val="0"/>
            <w:vAlign w:val="center"/>
          </w:tcPr>
          <w:p w14:paraId="4A7AA67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服务区</w:t>
            </w:r>
            <w:r>
              <w:rPr>
                <w:rStyle w:val="13"/>
                <w:rFonts w:hint="eastAsia" w:ascii="宋体" w:hAnsi="宋体" w:eastAsia="宋体" w:cs="宋体"/>
                <w:color w:val="auto"/>
                <w:kern w:val="0"/>
                <w:sz w:val="20"/>
                <w:szCs w:val="20"/>
                <w:highlight w:val="none"/>
                <w:lang w:val="en-US" w:eastAsia="zh-CN"/>
              </w:rPr>
              <w:t>/停车区</w:t>
            </w:r>
          </w:p>
          <w:p w14:paraId="634A791B">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(处)</w:t>
            </w:r>
          </w:p>
        </w:tc>
        <w:tc>
          <w:tcPr>
            <w:tcW w:w="990" w:type="dxa"/>
            <w:tcBorders>
              <w:top w:val="single" w:color="auto" w:sz="4" w:space="0"/>
              <w:left w:val="single" w:color="auto" w:sz="4" w:space="0"/>
              <w:right w:val="single" w:color="auto" w:sz="4" w:space="0"/>
            </w:tcBorders>
            <w:noWrap/>
            <w:vAlign w:val="center"/>
          </w:tcPr>
          <w:p w14:paraId="39F245D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跨铁路桥梁</w:t>
            </w:r>
          </w:p>
          <w:p w14:paraId="21CBE399">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1110" w:type="dxa"/>
            <w:tcBorders>
              <w:top w:val="single" w:color="auto" w:sz="4" w:space="0"/>
              <w:left w:val="single" w:color="auto" w:sz="4" w:space="0"/>
              <w:right w:val="single" w:color="auto" w:sz="4" w:space="0"/>
            </w:tcBorders>
            <w:noWrap/>
            <w:vAlign w:val="center"/>
          </w:tcPr>
          <w:p w14:paraId="5101203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连接线</w:t>
            </w:r>
          </w:p>
          <w:p w14:paraId="5B067F5F">
            <w:pPr>
              <w:pStyle w:val="15"/>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(km/条)</w:t>
            </w:r>
          </w:p>
        </w:tc>
        <w:tc>
          <w:tcPr>
            <w:tcW w:w="1035" w:type="dxa"/>
            <w:tcBorders>
              <w:top w:val="single" w:color="auto" w:sz="4" w:space="0"/>
              <w:left w:val="single" w:color="auto" w:sz="4" w:space="0"/>
              <w:right w:val="single" w:color="auto" w:sz="4" w:space="0"/>
            </w:tcBorders>
            <w:noWrap/>
            <w:vAlign w:val="center"/>
          </w:tcPr>
          <w:p w14:paraId="5D6F74A3">
            <w:pPr>
              <w:pStyle w:val="15"/>
              <w:spacing w:line="240" w:lineRule="auto"/>
              <w:ind w:firstLine="0" w:firstLineChars="0"/>
              <w:jc w:val="center"/>
              <w:rPr>
                <w:rStyle w:val="13"/>
                <w:rFonts w:hint="eastAsia" w:ascii="宋体" w:hAnsi="宋体" w:eastAsia="宋体" w:cs="宋体"/>
                <w:color w:val="auto"/>
                <w:highlight w:val="none"/>
                <w:lang w:val="en-US" w:eastAsia="zh-CN"/>
              </w:rPr>
            </w:pPr>
            <w:r>
              <w:rPr>
                <w:rStyle w:val="13"/>
                <w:rFonts w:hint="eastAsia" w:ascii="宋体" w:hAnsi="宋体" w:eastAsia="宋体" w:cs="宋体"/>
                <w:color w:val="auto"/>
                <w:kern w:val="0"/>
                <w:sz w:val="20"/>
                <w:szCs w:val="20"/>
                <w:highlight w:val="none"/>
                <w:lang w:val="en-US" w:eastAsia="zh-CN"/>
              </w:rPr>
              <w:t>房建工程（平方）</w:t>
            </w:r>
          </w:p>
        </w:tc>
        <w:tc>
          <w:tcPr>
            <w:tcW w:w="1170" w:type="dxa"/>
            <w:tcBorders>
              <w:top w:val="single" w:color="auto" w:sz="4" w:space="0"/>
              <w:left w:val="single" w:color="auto" w:sz="4" w:space="0"/>
              <w:right w:val="single" w:color="auto" w:sz="4" w:space="0"/>
            </w:tcBorders>
            <w:noWrap/>
            <w:vAlign w:val="center"/>
          </w:tcPr>
          <w:p w14:paraId="2007CECB">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备注</w:t>
            </w:r>
          </w:p>
        </w:tc>
      </w:tr>
      <w:tr w14:paraId="0091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0C7834F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CRJL1</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16F43B0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K0+000-</w:t>
            </w:r>
          </w:p>
          <w:p w14:paraId="720824EB">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w:t>
            </w:r>
            <w:r>
              <w:rPr>
                <w:rStyle w:val="13"/>
                <w:rFonts w:hint="eastAsia" w:ascii="宋体" w:hAnsi="宋体" w:eastAsia="宋体" w:cs="宋体"/>
                <w:color w:val="auto"/>
                <w:kern w:val="0"/>
                <w:sz w:val="20"/>
                <w:szCs w:val="20"/>
                <w:highlight w:val="none"/>
                <w:lang w:val="en-US" w:eastAsia="zh-CN"/>
              </w:rPr>
              <w:t>15+60</w:t>
            </w:r>
            <w:r>
              <w:rPr>
                <w:rStyle w:val="13"/>
                <w:rFonts w:hint="eastAsia" w:ascii="宋体" w:hAnsi="宋体" w:eastAsia="宋体" w:cs="宋体"/>
                <w:color w:val="auto"/>
                <w:kern w:val="0"/>
                <w:sz w:val="20"/>
                <w:szCs w:val="20"/>
                <w:highlight w:val="none"/>
              </w:rPr>
              <w:t>0</w:t>
            </w:r>
          </w:p>
        </w:tc>
        <w:tc>
          <w:tcPr>
            <w:tcW w:w="780" w:type="dxa"/>
            <w:tcBorders>
              <w:top w:val="single" w:color="auto" w:sz="4" w:space="0"/>
              <w:left w:val="single" w:color="auto" w:sz="4" w:space="0"/>
              <w:bottom w:val="single" w:color="auto" w:sz="4" w:space="0"/>
              <w:right w:val="single" w:color="auto" w:sz="4" w:space="0"/>
            </w:tcBorders>
            <w:noWrap/>
            <w:vAlign w:val="center"/>
          </w:tcPr>
          <w:p w14:paraId="719FEAB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15.6</w:t>
            </w:r>
          </w:p>
        </w:tc>
        <w:tc>
          <w:tcPr>
            <w:tcW w:w="900" w:type="dxa"/>
            <w:tcBorders>
              <w:top w:val="single" w:color="auto" w:sz="4" w:space="0"/>
              <w:left w:val="single" w:color="auto" w:sz="4" w:space="0"/>
              <w:bottom w:val="single" w:color="auto" w:sz="4" w:space="0"/>
              <w:right w:val="single" w:color="auto" w:sz="4" w:space="0"/>
            </w:tcBorders>
            <w:noWrap/>
            <w:vAlign w:val="center"/>
          </w:tcPr>
          <w:p w14:paraId="35A9127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144.9</w:t>
            </w:r>
          </w:p>
        </w:tc>
        <w:tc>
          <w:tcPr>
            <w:tcW w:w="825" w:type="dxa"/>
            <w:tcBorders>
              <w:top w:val="single" w:color="auto" w:sz="4" w:space="0"/>
              <w:left w:val="single" w:color="auto" w:sz="4" w:space="0"/>
              <w:bottom w:val="single" w:color="auto" w:sz="4" w:space="0"/>
              <w:right w:val="single" w:color="auto" w:sz="4" w:space="0"/>
            </w:tcBorders>
            <w:noWrap/>
            <w:vAlign w:val="center"/>
          </w:tcPr>
          <w:p w14:paraId="4B3A1AE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295.6</w:t>
            </w:r>
          </w:p>
        </w:tc>
        <w:tc>
          <w:tcPr>
            <w:tcW w:w="885" w:type="dxa"/>
            <w:tcBorders>
              <w:top w:val="single" w:color="auto" w:sz="4" w:space="0"/>
              <w:left w:val="single" w:color="auto" w:sz="4" w:space="0"/>
              <w:bottom w:val="single" w:color="auto" w:sz="4" w:space="0"/>
              <w:right w:val="single" w:color="auto" w:sz="4" w:space="0"/>
            </w:tcBorders>
            <w:noWrap/>
            <w:vAlign w:val="center"/>
          </w:tcPr>
          <w:p w14:paraId="4CB1E5F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43C3DD5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2248/6</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F8931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438/5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452FC7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1945/2</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CB53A0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1141CA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w:t>
            </w:r>
          </w:p>
        </w:tc>
        <w:tc>
          <w:tcPr>
            <w:tcW w:w="990" w:type="dxa"/>
            <w:tcBorders>
              <w:top w:val="single" w:color="auto" w:sz="4" w:space="0"/>
              <w:left w:val="single" w:color="auto" w:sz="4" w:space="0"/>
              <w:bottom w:val="single" w:color="auto" w:sz="4" w:space="0"/>
              <w:right w:val="single" w:color="auto" w:sz="4" w:space="0"/>
            </w:tcBorders>
            <w:noWrap/>
            <w:vAlign w:val="center"/>
          </w:tcPr>
          <w:p w14:paraId="3FDA248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w:t>
            </w:r>
          </w:p>
        </w:tc>
        <w:tc>
          <w:tcPr>
            <w:tcW w:w="1110" w:type="dxa"/>
            <w:tcBorders>
              <w:top w:val="single" w:color="auto" w:sz="4" w:space="0"/>
              <w:left w:val="single" w:color="auto" w:sz="4" w:space="0"/>
              <w:bottom w:val="single" w:color="auto" w:sz="4" w:space="0"/>
              <w:right w:val="single" w:color="auto" w:sz="4" w:space="0"/>
            </w:tcBorders>
            <w:noWrap/>
            <w:vAlign w:val="center"/>
          </w:tcPr>
          <w:p w14:paraId="2AF8976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2.109/1</w:t>
            </w:r>
          </w:p>
          <w:p w14:paraId="58166DB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（二级路）</w:t>
            </w:r>
          </w:p>
        </w:tc>
        <w:tc>
          <w:tcPr>
            <w:tcW w:w="1035" w:type="dxa"/>
            <w:tcBorders>
              <w:top w:val="single" w:color="auto" w:sz="4" w:space="0"/>
              <w:left w:val="single" w:color="auto" w:sz="4" w:space="0"/>
              <w:bottom w:val="single" w:color="auto" w:sz="4" w:space="0"/>
              <w:right w:val="single" w:color="auto" w:sz="4" w:space="0"/>
            </w:tcBorders>
            <w:noWrap/>
            <w:vAlign w:val="center"/>
          </w:tcPr>
          <w:p w14:paraId="4BDCA34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20956（含收费大棚4858）</w:t>
            </w:r>
          </w:p>
        </w:tc>
        <w:tc>
          <w:tcPr>
            <w:tcW w:w="1170" w:type="dxa"/>
            <w:tcBorders>
              <w:top w:val="single" w:color="auto" w:sz="4" w:space="0"/>
              <w:left w:val="single" w:color="auto" w:sz="4" w:space="0"/>
              <w:bottom w:val="single" w:color="auto" w:sz="4" w:space="0"/>
              <w:right w:val="single" w:color="auto" w:sz="4" w:space="0"/>
            </w:tcBorders>
            <w:noWrap/>
            <w:vAlign w:val="center"/>
          </w:tcPr>
          <w:p w14:paraId="1156EF2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跨铁路部分监理另外招标</w:t>
            </w:r>
          </w:p>
        </w:tc>
      </w:tr>
      <w:tr w14:paraId="6F29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21690E7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lang w:val="en-US" w:eastAsia="zh-CN"/>
              </w:rPr>
              <w:t>CRJL2</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414695DC">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w:t>
            </w:r>
            <w:r>
              <w:rPr>
                <w:rStyle w:val="13"/>
                <w:rFonts w:hint="eastAsia" w:ascii="宋体" w:hAnsi="宋体" w:eastAsia="宋体" w:cs="宋体"/>
                <w:color w:val="auto"/>
                <w:kern w:val="0"/>
                <w:sz w:val="20"/>
                <w:szCs w:val="20"/>
                <w:highlight w:val="none"/>
                <w:lang w:val="en-US" w:eastAsia="zh-CN"/>
              </w:rPr>
              <w:t>15+600</w:t>
            </w:r>
            <w:r>
              <w:rPr>
                <w:rStyle w:val="13"/>
                <w:rFonts w:hint="eastAsia" w:ascii="宋体" w:hAnsi="宋体" w:eastAsia="宋体" w:cs="宋体"/>
                <w:color w:val="auto"/>
                <w:kern w:val="0"/>
                <w:sz w:val="20"/>
                <w:szCs w:val="20"/>
                <w:highlight w:val="none"/>
              </w:rPr>
              <w:t>-</w:t>
            </w:r>
          </w:p>
          <w:p w14:paraId="13E34C4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K</w:t>
            </w:r>
            <w:r>
              <w:rPr>
                <w:rStyle w:val="13"/>
                <w:rFonts w:hint="eastAsia" w:ascii="宋体" w:hAnsi="宋体" w:eastAsia="宋体" w:cs="宋体"/>
                <w:color w:val="auto"/>
                <w:kern w:val="0"/>
                <w:sz w:val="20"/>
                <w:szCs w:val="20"/>
                <w:highlight w:val="none"/>
                <w:lang w:val="en-US" w:eastAsia="zh-CN"/>
              </w:rPr>
              <w:t>23+163</w:t>
            </w:r>
          </w:p>
        </w:tc>
        <w:tc>
          <w:tcPr>
            <w:tcW w:w="780" w:type="dxa"/>
            <w:tcBorders>
              <w:top w:val="single" w:color="auto" w:sz="4" w:space="0"/>
              <w:left w:val="single" w:color="auto" w:sz="4" w:space="0"/>
              <w:bottom w:val="single" w:color="auto" w:sz="4" w:space="0"/>
              <w:right w:val="single" w:color="auto" w:sz="4" w:space="0"/>
            </w:tcBorders>
            <w:noWrap/>
            <w:vAlign w:val="center"/>
          </w:tcPr>
          <w:p w14:paraId="2EFA3FC5">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7.563</w:t>
            </w:r>
          </w:p>
        </w:tc>
        <w:tc>
          <w:tcPr>
            <w:tcW w:w="900" w:type="dxa"/>
            <w:tcBorders>
              <w:top w:val="single" w:color="auto" w:sz="4" w:space="0"/>
              <w:left w:val="single" w:color="auto" w:sz="4" w:space="0"/>
              <w:bottom w:val="single" w:color="auto" w:sz="4" w:space="0"/>
              <w:right w:val="single" w:color="auto" w:sz="4" w:space="0"/>
            </w:tcBorders>
            <w:noWrap/>
            <w:vAlign w:val="center"/>
          </w:tcPr>
          <w:p w14:paraId="6E8EBD72">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140.7</w:t>
            </w:r>
          </w:p>
        </w:tc>
        <w:tc>
          <w:tcPr>
            <w:tcW w:w="825" w:type="dxa"/>
            <w:tcBorders>
              <w:top w:val="single" w:color="auto" w:sz="4" w:space="0"/>
              <w:left w:val="single" w:color="auto" w:sz="4" w:space="0"/>
              <w:bottom w:val="single" w:color="auto" w:sz="4" w:space="0"/>
              <w:right w:val="single" w:color="auto" w:sz="4" w:space="0"/>
            </w:tcBorders>
            <w:noWrap/>
            <w:vAlign w:val="center"/>
          </w:tcPr>
          <w:p w14:paraId="3DC9B58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122.4</w:t>
            </w:r>
          </w:p>
        </w:tc>
        <w:tc>
          <w:tcPr>
            <w:tcW w:w="885" w:type="dxa"/>
            <w:tcBorders>
              <w:top w:val="single" w:color="auto" w:sz="4" w:space="0"/>
              <w:left w:val="single" w:color="auto" w:sz="4" w:space="0"/>
              <w:bottom w:val="single" w:color="auto" w:sz="4" w:space="0"/>
              <w:right w:val="single" w:color="auto" w:sz="4" w:space="0"/>
            </w:tcBorders>
            <w:noWrap/>
            <w:vAlign w:val="center"/>
          </w:tcPr>
          <w:p w14:paraId="28DFCEC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4626/2</w:t>
            </w:r>
          </w:p>
        </w:tc>
        <w:tc>
          <w:tcPr>
            <w:tcW w:w="870" w:type="dxa"/>
            <w:tcBorders>
              <w:top w:val="single" w:color="auto" w:sz="4" w:space="0"/>
              <w:left w:val="single" w:color="auto" w:sz="4" w:space="0"/>
              <w:bottom w:val="single" w:color="auto" w:sz="4" w:space="0"/>
              <w:right w:val="single" w:color="auto" w:sz="4" w:space="0"/>
            </w:tcBorders>
            <w:noWrap/>
            <w:vAlign w:val="center"/>
          </w:tcPr>
          <w:p w14:paraId="68662A62">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588/1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F70935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110.2/2</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2AB004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173.5/1</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A30380B">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772070A">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990" w:type="dxa"/>
            <w:tcBorders>
              <w:top w:val="single" w:color="auto" w:sz="4" w:space="0"/>
              <w:left w:val="single" w:color="auto" w:sz="4" w:space="0"/>
              <w:bottom w:val="single" w:color="auto" w:sz="4" w:space="0"/>
              <w:right w:val="single" w:color="auto" w:sz="4" w:space="0"/>
            </w:tcBorders>
            <w:noWrap/>
            <w:vAlign w:val="center"/>
          </w:tcPr>
          <w:p w14:paraId="312B0D0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110" w:type="dxa"/>
            <w:tcBorders>
              <w:top w:val="single" w:color="auto" w:sz="4" w:space="0"/>
              <w:left w:val="single" w:color="auto" w:sz="4" w:space="0"/>
              <w:bottom w:val="single" w:color="auto" w:sz="4" w:space="0"/>
              <w:right w:val="single" w:color="auto" w:sz="4" w:space="0"/>
            </w:tcBorders>
            <w:noWrap/>
            <w:vAlign w:val="center"/>
          </w:tcPr>
          <w:p w14:paraId="04A7680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4E8C0D5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0FF8CF7C">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含中青路还建约5.64km</w:t>
            </w:r>
          </w:p>
        </w:tc>
      </w:tr>
    </w:tbl>
    <w:p w14:paraId="6671BE21">
      <w:pPr>
        <w:pStyle w:val="15"/>
        <w:widowControl/>
        <w:spacing w:line="240" w:lineRule="auto"/>
        <w:ind w:firstLine="0" w:firstLineChars="0"/>
        <w:rPr>
          <w:rStyle w:val="13"/>
          <w:rFonts w:hint="eastAsia" w:ascii="宋体" w:hAnsi="宋体" w:eastAsia="宋体" w:cs="宋体"/>
          <w:b/>
          <w:bCs/>
          <w:color w:val="auto"/>
          <w:kern w:val="0"/>
          <w:szCs w:val="24"/>
          <w:highlight w:val="none"/>
        </w:rPr>
      </w:pPr>
    </w:p>
    <w:p w14:paraId="51C20686">
      <w:pPr>
        <w:pStyle w:val="7"/>
        <w:rPr>
          <w:rStyle w:val="13"/>
          <w:rFonts w:hint="eastAsia" w:ascii="宋体" w:hAnsi="宋体" w:eastAsia="宋体" w:cs="宋体"/>
          <w:b/>
          <w:bCs/>
          <w:color w:val="auto"/>
          <w:kern w:val="0"/>
          <w:szCs w:val="24"/>
          <w:highlight w:val="none"/>
        </w:rPr>
      </w:pPr>
    </w:p>
    <w:p w14:paraId="16FA3FF6">
      <w:pPr>
        <w:pStyle w:val="10"/>
        <w:rPr>
          <w:rStyle w:val="13"/>
          <w:rFonts w:hint="eastAsia" w:ascii="宋体" w:hAnsi="宋体" w:eastAsia="宋体" w:cs="宋体"/>
          <w:color w:val="auto"/>
          <w:highlight w:val="none"/>
        </w:rPr>
      </w:pPr>
    </w:p>
    <w:p w14:paraId="2005021C">
      <w:pPr>
        <w:pStyle w:val="15"/>
        <w:widowControl/>
        <w:spacing w:line="240" w:lineRule="auto"/>
        <w:ind w:firstLine="0" w:firstLineChars="0"/>
        <w:rPr>
          <w:rStyle w:val="13"/>
          <w:rFonts w:hint="eastAsia" w:ascii="宋体" w:hAnsi="宋体" w:eastAsia="宋体" w:cs="宋体"/>
          <w:b/>
          <w:bCs/>
          <w:color w:val="auto"/>
          <w:kern w:val="0"/>
          <w:szCs w:val="24"/>
          <w:highlight w:val="none"/>
        </w:rPr>
      </w:pPr>
    </w:p>
    <w:p w14:paraId="5D488B60">
      <w:pPr>
        <w:pStyle w:val="15"/>
        <w:widowControl/>
        <w:spacing w:line="240" w:lineRule="auto"/>
        <w:ind w:firstLine="0" w:firstLineChars="0"/>
        <w:rPr>
          <w:rStyle w:val="13"/>
          <w:rFonts w:hint="eastAsia" w:ascii="宋体" w:hAnsi="宋体" w:eastAsia="宋体" w:cs="宋体"/>
          <w:b/>
          <w:bCs/>
          <w:color w:val="auto"/>
          <w:kern w:val="0"/>
          <w:szCs w:val="24"/>
          <w:highlight w:val="none"/>
        </w:rPr>
      </w:pPr>
    </w:p>
    <w:p w14:paraId="6F98AACE">
      <w:pPr>
        <w:pStyle w:val="15"/>
        <w:widowControl/>
        <w:spacing w:line="240" w:lineRule="auto"/>
        <w:ind w:firstLine="0" w:firstLineChars="0"/>
        <w:rPr>
          <w:rStyle w:val="13"/>
          <w:rFonts w:hint="eastAsia" w:ascii="宋体" w:hAnsi="宋体" w:eastAsia="宋体" w:cs="宋体"/>
          <w:b/>
          <w:bCs/>
          <w:color w:val="auto"/>
          <w:kern w:val="0"/>
          <w:szCs w:val="24"/>
          <w:highlight w:val="none"/>
        </w:rPr>
      </w:pPr>
      <w:r>
        <w:rPr>
          <w:rStyle w:val="13"/>
          <w:rFonts w:hint="eastAsia" w:ascii="宋体" w:hAnsi="宋体" w:eastAsia="宋体" w:cs="宋体"/>
          <w:b/>
          <w:bCs/>
          <w:color w:val="auto"/>
          <w:kern w:val="0"/>
          <w:szCs w:val="24"/>
          <w:highlight w:val="none"/>
        </w:rPr>
        <w:t>注：以上数量仅供参考。</w:t>
      </w:r>
    </w:p>
    <w:p w14:paraId="2AA29AD1">
      <w:pPr>
        <w:pStyle w:val="17"/>
        <w:rPr>
          <w:rStyle w:val="13"/>
          <w:rFonts w:hint="eastAsia" w:ascii="宋体" w:hAnsi="宋体" w:eastAsia="宋体" w:cs="宋体"/>
          <w:color w:val="auto"/>
          <w:sz w:val="32"/>
          <w:szCs w:val="32"/>
          <w:highlight w:val="none"/>
          <w:lang w:val="en-US" w:eastAsia="zh-CN"/>
        </w:rPr>
      </w:pPr>
    </w:p>
    <w:p w14:paraId="75E4D985">
      <w:pPr>
        <w:pStyle w:val="17"/>
        <w:rPr>
          <w:rStyle w:val="13"/>
          <w:rFonts w:hint="eastAsia" w:ascii="宋体" w:hAnsi="宋体" w:eastAsia="宋体" w:cs="宋体"/>
          <w:color w:val="auto"/>
          <w:sz w:val="32"/>
          <w:szCs w:val="32"/>
          <w:highlight w:val="none"/>
          <w:lang w:val="en-US" w:eastAsia="zh-CN"/>
        </w:rPr>
      </w:pPr>
    </w:p>
    <w:p w14:paraId="1E4D5B7A">
      <w:pPr>
        <w:pStyle w:val="17"/>
        <w:rPr>
          <w:rStyle w:val="13"/>
          <w:rFonts w:hint="eastAsia" w:ascii="宋体" w:hAnsi="宋体" w:eastAsia="宋体" w:cs="宋体"/>
          <w:color w:val="auto"/>
          <w:sz w:val="32"/>
          <w:szCs w:val="32"/>
          <w:highlight w:val="none"/>
          <w:lang w:val="en-US" w:eastAsia="zh-CN"/>
        </w:rPr>
      </w:pPr>
    </w:p>
    <w:p w14:paraId="31DB7F2E">
      <w:pPr>
        <w:pStyle w:val="17"/>
        <w:rPr>
          <w:rStyle w:val="13"/>
          <w:rFonts w:hint="eastAsia" w:ascii="宋体" w:hAnsi="宋体" w:eastAsia="宋体" w:cs="宋体"/>
          <w:color w:val="auto"/>
          <w:sz w:val="32"/>
          <w:szCs w:val="32"/>
          <w:highlight w:val="none"/>
          <w:lang w:val="en-US" w:eastAsia="zh-CN"/>
        </w:rPr>
      </w:pPr>
    </w:p>
    <w:p w14:paraId="213FCA2E">
      <w:pPr>
        <w:pStyle w:val="17"/>
        <w:rPr>
          <w:rStyle w:val="13"/>
          <w:rFonts w:hint="eastAsia" w:ascii="宋体" w:hAnsi="宋体" w:eastAsia="宋体" w:cs="宋体"/>
          <w:color w:val="auto"/>
          <w:sz w:val="32"/>
          <w:szCs w:val="32"/>
          <w:highlight w:val="none"/>
          <w:lang w:val="en-US" w:eastAsia="zh-CN"/>
        </w:rPr>
      </w:pPr>
    </w:p>
    <w:p w14:paraId="51BB9598">
      <w:pPr>
        <w:pStyle w:val="17"/>
        <w:rPr>
          <w:rStyle w:val="13"/>
          <w:rFonts w:hint="eastAsia" w:ascii="宋体" w:hAnsi="宋体" w:eastAsia="宋体" w:cs="宋体"/>
          <w:color w:val="auto"/>
          <w:sz w:val="32"/>
          <w:szCs w:val="32"/>
          <w:highlight w:val="none"/>
          <w:lang w:val="en-US" w:eastAsia="zh-CN"/>
        </w:rPr>
      </w:pPr>
    </w:p>
    <w:p w14:paraId="4331D17C">
      <w:pPr>
        <w:pStyle w:val="17"/>
        <w:rPr>
          <w:rStyle w:val="13"/>
          <w:rFonts w:hint="eastAsia" w:ascii="宋体" w:hAnsi="宋体" w:eastAsia="宋体" w:cs="宋体"/>
          <w:color w:val="auto"/>
          <w:sz w:val="32"/>
          <w:szCs w:val="32"/>
          <w:highlight w:val="none"/>
          <w:lang w:val="en-US" w:eastAsia="zh-CN"/>
        </w:rPr>
      </w:pPr>
    </w:p>
    <w:p w14:paraId="0D7CE8E4">
      <w:pPr>
        <w:pStyle w:val="17"/>
        <w:rPr>
          <w:rStyle w:val="13"/>
          <w:rFonts w:hint="eastAsia" w:ascii="宋体" w:hAnsi="宋体" w:eastAsia="宋体" w:cs="宋体"/>
          <w:color w:val="auto"/>
          <w:sz w:val="32"/>
          <w:szCs w:val="32"/>
          <w:highlight w:val="none"/>
          <w:lang w:val="en-US" w:eastAsia="zh-CN"/>
        </w:rPr>
      </w:pPr>
    </w:p>
    <w:p w14:paraId="438D7298">
      <w:pPr>
        <w:pStyle w:val="17"/>
        <w:jc w:val="center"/>
        <w:rPr>
          <w:rStyle w:val="13"/>
          <w:rFonts w:hint="eastAsia" w:ascii="宋体" w:hAnsi="宋体" w:eastAsia="宋体" w:cs="宋体"/>
          <w:color w:val="auto"/>
          <w:sz w:val="32"/>
          <w:szCs w:val="32"/>
          <w:highlight w:val="none"/>
        </w:rPr>
      </w:pPr>
      <w:r>
        <w:rPr>
          <w:rStyle w:val="13"/>
          <w:rFonts w:hint="eastAsia" w:ascii="宋体" w:hAnsi="宋体" w:eastAsia="宋体" w:cs="宋体"/>
          <w:color w:val="auto"/>
          <w:sz w:val="32"/>
          <w:szCs w:val="32"/>
          <w:highlight w:val="none"/>
          <w:lang w:val="en-US" w:eastAsia="zh-CN"/>
        </w:rPr>
        <w:t>许广高速茶亭互通至长沙绕城</w:t>
      </w:r>
      <w:r>
        <w:rPr>
          <w:rStyle w:val="13"/>
          <w:rFonts w:hint="eastAsia" w:ascii="宋体" w:hAnsi="宋体" w:eastAsia="宋体" w:cs="宋体"/>
          <w:color w:val="auto"/>
          <w:sz w:val="32"/>
          <w:szCs w:val="32"/>
          <w:highlight w:val="none"/>
        </w:rPr>
        <w:t>高速公路项目</w:t>
      </w:r>
      <w:r>
        <w:rPr>
          <w:rStyle w:val="13"/>
          <w:rFonts w:hint="eastAsia" w:ascii="宋体" w:hAnsi="宋体" w:eastAsia="宋体" w:cs="宋体"/>
          <w:color w:val="auto"/>
          <w:sz w:val="32"/>
          <w:szCs w:val="32"/>
          <w:highlight w:val="none"/>
          <w:lang w:val="en-US" w:eastAsia="zh-CN"/>
        </w:rPr>
        <w:t>隧道</w:t>
      </w:r>
      <w:r>
        <w:rPr>
          <w:rStyle w:val="13"/>
          <w:rFonts w:hint="eastAsia" w:ascii="宋体" w:hAnsi="宋体" w:eastAsia="宋体" w:cs="宋体"/>
          <w:color w:val="auto"/>
          <w:sz w:val="32"/>
          <w:szCs w:val="32"/>
          <w:highlight w:val="none"/>
        </w:rPr>
        <w:t>一览表</w:t>
      </w:r>
    </w:p>
    <w:tbl>
      <w:tblPr>
        <w:tblStyle w:val="12"/>
        <w:tblpPr w:leftFromText="180" w:rightFromText="180" w:vertAnchor="page" w:horzAnchor="page" w:tblpX="1401" w:tblpY="2844"/>
        <w:tblW w:w="14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55"/>
        <w:gridCol w:w="1130"/>
        <w:gridCol w:w="1550"/>
        <w:gridCol w:w="1687"/>
        <w:gridCol w:w="1125"/>
        <w:gridCol w:w="1274"/>
        <w:gridCol w:w="1274"/>
        <w:gridCol w:w="1715"/>
        <w:gridCol w:w="1212"/>
        <w:gridCol w:w="1450"/>
      </w:tblGrid>
      <w:tr w14:paraId="4450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4" w:type="dxa"/>
            <w:vMerge w:val="restart"/>
            <w:tcBorders>
              <w:top w:val="single" w:color="auto" w:sz="4" w:space="0"/>
              <w:left w:val="single" w:color="auto" w:sz="4" w:space="0"/>
              <w:right w:val="single" w:color="auto" w:sz="4" w:space="0"/>
            </w:tcBorders>
            <w:noWrap/>
            <w:vAlign w:val="center"/>
          </w:tcPr>
          <w:p w14:paraId="2A703A7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监理标段</w:t>
            </w:r>
          </w:p>
          <w:p w14:paraId="7831C961">
            <w:pPr>
              <w:pStyle w:val="15"/>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2385" w:type="dxa"/>
            <w:gridSpan w:val="2"/>
            <w:vMerge w:val="restart"/>
            <w:tcBorders>
              <w:top w:val="single" w:color="auto" w:sz="4" w:space="0"/>
              <w:left w:val="single" w:color="auto" w:sz="4" w:space="0"/>
              <w:right w:val="single" w:color="auto" w:sz="4" w:space="0"/>
            </w:tcBorders>
            <w:noWrap w:val="0"/>
            <w:vAlign w:val="center"/>
          </w:tcPr>
          <w:p w14:paraId="34307F6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隧道名称</w:t>
            </w:r>
          </w:p>
        </w:tc>
        <w:tc>
          <w:tcPr>
            <w:tcW w:w="3237" w:type="dxa"/>
            <w:gridSpan w:val="2"/>
            <w:tcBorders>
              <w:top w:val="single" w:color="auto" w:sz="4" w:space="0"/>
              <w:left w:val="single" w:color="auto" w:sz="4" w:space="0"/>
              <w:right w:val="single" w:color="auto" w:sz="4" w:space="0"/>
            </w:tcBorders>
            <w:noWrap/>
            <w:vAlign w:val="center"/>
          </w:tcPr>
          <w:p w14:paraId="28DF9C04">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rPr>
            </w:pPr>
            <w:r>
              <w:rPr>
                <w:rStyle w:val="13"/>
                <w:rFonts w:hint="eastAsia" w:ascii="宋体" w:hAnsi="宋体" w:eastAsia="宋体" w:cs="宋体"/>
                <w:color w:val="auto"/>
                <w:kern w:val="0"/>
                <w:sz w:val="20"/>
                <w:szCs w:val="20"/>
                <w:highlight w:val="none"/>
                <w:lang w:val="en-US" w:eastAsia="zh-CN"/>
              </w:rPr>
              <w:t>起讫桩号</w:t>
            </w:r>
          </w:p>
        </w:tc>
        <w:tc>
          <w:tcPr>
            <w:tcW w:w="1125" w:type="dxa"/>
            <w:vMerge w:val="restart"/>
            <w:tcBorders>
              <w:top w:val="single" w:color="auto" w:sz="4" w:space="0"/>
              <w:left w:val="single" w:color="auto" w:sz="4" w:space="0"/>
              <w:right w:val="single" w:color="auto" w:sz="4" w:space="0"/>
            </w:tcBorders>
            <w:noWrap/>
            <w:vAlign w:val="center"/>
          </w:tcPr>
          <w:p w14:paraId="7ABCEF6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长度</w:t>
            </w:r>
          </w:p>
          <w:p w14:paraId="7CDA0BE8">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m</w:t>
            </w:r>
            <w:r>
              <w:rPr>
                <w:rStyle w:val="13"/>
                <w:rFonts w:hint="eastAsia" w:ascii="宋体" w:hAnsi="宋体" w:eastAsia="宋体" w:cs="宋体"/>
                <w:color w:val="auto"/>
                <w:kern w:val="0"/>
                <w:sz w:val="20"/>
                <w:szCs w:val="20"/>
                <w:highlight w:val="none"/>
              </w:rPr>
              <w:t>)</w:t>
            </w:r>
          </w:p>
        </w:tc>
        <w:tc>
          <w:tcPr>
            <w:tcW w:w="2548" w:type="dxa"/>
            <w:gridSpan w:val="2"/>
            <w:tcBorders>
              <w:top w:val="single" w:color="auto" w:sz="4" w:space="0"/>
              <w:left w:val="single" w:color="auto" w:sz="4" w:space="0"/>
              <w:right w:val="single" w:color="auto" w:sz="4" w:space="0"/>
            </w:tcBorders>
            <w:noWrap/>
            <w:vAlign w:val="center"/>
          </w:tcPr>
          <w:p w14:paraId="65C6B315">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洞门型式</w:t>
            </w:r>
          </w:p>
        </w:tc>
        <w:tc>
          <w:tcPr>
            <w:tcW w:w="1715" w:type="dxa"/>
            <w:vMerge w:val="restart"/>
            <w:tcBorders>
              <w:top w:val="single" w:color="auto" w:sz="4" w:space="0"/>
              <w:left w:val="single" w:color="auto" w:sz="4" w:space="0"/>
              <w:right w:val="single" w:color="auto" w:sz="4" w:space="0"/>
            </w:tcBorders>
            <w:noWrap/>
            <w:vAlign w:val="center"/>
          </w:tcPr>
          <w:p w14:paraId="69C5F74D">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平曲线</w:t>
            </w:r>
          </w:p>
        </w:tc>
        <w:tc>
          <w:tcPr>
            <w:tcW w:w="1212" w:type="dxa"/>
            <w:vMerge w:val="restart"/>
            <w:tcBorders>
              <w:top w:val="single" w:color="auto" w:sz="4" w:space="0"/>
              <w:left w:val="single" w:color="auto" w:sz="4" w:space="0"/>
              <w:right w:val="single" w:color="auto" w:sz="4" w:space="0"/>
            </w:tcBorders>
            <w:noWrap/>
            <w:vAlign w:val="center"/>
          </w:tcPr>
          <w:p w14:paraId="0DD2AA1D">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最大纵坡</w:t>
            </w:r>
          </w:p>
        </w:tc>
        <w:tc>
          <w:tcPr>
            <w:tcW w:w="1450" w:type="dxa"/>
            <w:vMerge w:val="restart"/>
            <w:tcBorders>
              <w:top w:val="single" w:color="auto" w:sz="4" w:space="0"/>
              <w:left w:val="single" w:color="auto" w:sz="4" w:space="0"/>
              <w:right w:val="single" w:color="auto" w:sz="4" w:space="0"/>
            </w:tcBorders>
            <w:noWrap/>
            <w:vAlign w:val="center"/>
          </w:tcPr>
          <w:p w14:paraId="466F9D7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净空</w:t>
            </w:r>
          </w:p>
          <w:p w14:paraId="3B79F17B">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宽×高</w:t>
            </w:r>
            <w:r>
              <w:rPr>
                <w:rStyle w:val="13"/>
                <w:rFonts w:hint="eastAsia" w:ascii="宋体" w:hAnsi="宋体" w:eastAsia="宋体" w:cs="宋体"/>
                <w:color w:val="auto"/>
                <w:kern w:val="0"/>
                <w:sz w:val="20"/>
                <w:szCs w:val="20"/>
                <w:highlight w:val="none"/>
              </w:rPr>
              <w:t>)</w:t>
            </w:r>
          </w:p>
        </w:tc>
      </w:tr>
      <w:tr w14:paraId="461D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64" w:type="dxa"/>
            <w:vMerge w:val="continue"/>
            <w:tcBorders>
              <w:left w:val="single" w:color="auto" w:sz="4" w:space="0"/>
              <w:right w:val="single" w:color="auto" w:sz="4" w:space="0"/>
            </w:tcBorders>
            <w:noWrap/>
            <w:vAlign w:val="center"/>
          </w:tcPr>
          <w:p w14:paraId="402D4854">
            <w:pPr>
              <w:pStyle w:val="15"/>
              <w:spacing w:line="240" w:lineRule="auto"/>
              <w:ind w:firstLine="0" w:firstLineChars="0"/>
              <w:jc w:val="center"/>
              <w:rPr>
                <w:rStyle w:val="13"/>
                <w:rFonts w:hint="eastAsia" w:ascii="宋体" w:hAnsi="宋体" w:eastAsia="宋体" w:cs="宋体"/>
                <w:color w:val="auto"/>
                <w:sz w:val="20"/>
                <w:szCs w:val="20"/>
                <w:highlight w:val="none"/>
              </w:rPr>
            </w:pPr>
          </w:p>
        </w:tc>
        <w:tc>
          <w:tcPr>
            <w:tcW w:w="2385" w:type="dxa"/>
            <w:gridSpan w:val="2"/>
            <w:vMerge w:val="continue"/>
            <w:tcBorders>
              <w:left w:val="single" w:color="auto" w:sz="4" w:space="0"/>
              <w:right w:val="single" w:color="auto" w:sz="4" w:space="0"/>
            </w:tcBorders>
            <w:noWrap w:val="0"/>
            <w:vAlign w:val="center"/>
          </w:tcPr>
          <w:p w14:paraId="40C50D4B">
            <w:pPr>
              <w:pStyle w:val="15"/>
              <w:spacing w:line="240" w:lineRule="auto"/>
              <w:ind w:firstLine="0" w:firstLineChars="0"/>
              <w:jc w:val="center"/>
              <w:rPr>
                <w:rStyle w:val="13"/>
                <w:rFonts w:hint="eastAsia" w:ascii="宋体" w:hAnsi="宋体" w:eastAsia="宋体" w:cs="宋体"/>
                <w:color w:val="auto"/>
                <w:sz w:val="20"/>
                <w:szCs w:val="20"/>
                <w:highlight w:val="none"/>
              </w:rPr>
            </w:pPr>
          </w:p>
        </w:tc>
        <w:tc>
          <w:tcPr>
            <w:tcW w:w="1550" w:type="dxa"/>
            <w:tcBorders>
              <w:left w:val="single" w:color="auto" w:sz="4" w:space="0"/>
              <w:right w:val="single" w:color="auto" w:sz="4" w:space="0"/>
            </w:tcBorders>
            <w:noWrap/>
            <w:vAlign w:val="center"/>
          </w:tcPr>
          <w:p w14:paraId="6AE15CB9">
            <w:pPr>
              <w:pStyle w:val="15"/>
              <w:spacing w:line="240" w:lineRule="auto"/>
              <w:ind w:firstLine="0" w:firstLineChars="0"/>
              <w:jc w:val="center"/>
              <w:rPr>
                <w:rStyle w:val="13"/>
                <w:rFonts w:hint="eastAsia" w:ascii="宋体" w:hAnsi="宋体" w:eastAsia="宋体" w:cs="宋体"/>
                <w:color w:val="auto"/>
                <w:sz w:val="20"/>
                <w:szCs w:val="20"/>
                <w:highlight w:val="none"/>
              </w:rPr>
            </w:pPr>
            <w:r>
              <w:rPr>
                <w:rStyle w:val="13"/>
                <w:rFonts w:hint="eastAsia" w:ascii="宋体" w:hAnsi="宋体" w:eastAsia="宋体" w:cs="宋体"/>
                <w:color w:val="auto"/>
                <w:kern w:val="0"/>
                <w:sz w:val="20"/>
                <w:szCs w:val="20"/>
                <w:highlight w:val="none"/>
                <w:lang w:val="en-US" w:eastAsia="zh-CN"/>
              </w:rPr>
              <w:t>进口</w:t>
            </w:r>
          </w:p>
        </w:tc>
        <w:tc>
          <w:tcPr>
            <w:tcW w:w="1687" w:type="dxa"/>
            <w:tcBorders>
              <w:left w:val="single" w:color="auto" w:sz="4" w:space="0"/>
              <w:right w:val="single" w:color="auto" w:sz="4" w:space="0"/>
            </w:tcBorders>
            <w:noWrap/>
            <w:vAlign w:val="center"/>
          </w:tcPr>
          <w:p w14:paraId="5EDBD408">
            <w:pPr>
              <w:pStyle w:val="15"/>
              <w:spacing w:line="240" w:lineRule="auto"/>
              <w:ind w:firstLine="0" w:firstLineChars="0"/>
              <w:jc w:val="center"/>
              <w:rPr>
                <w:rStyle w:val="13"/>
                <w:rFonts w:hint="eastAsia" w:ascii="宋体" w:hAnsi="宋体" w:eastAsia="宋体" w:cs="宋体"/>
                <w:color w:val="auto"/>
                <w:sz w:val="20"/>
                <w:szCs w:val="20"/>
                <w:highlight w:val="none"/>
              </w:rPr>
            </w:pPr>
            <w:r>
              <w:rPr>
                <w:rStyle w:val="13"/>
                <w:rFonts w:hint="eastAsia" w:ascii="宋体" w:hAnsi="宋体" w:eastAsia="宋体" w:cs="宋体"/>
                <w:color w:val="auto"/>
                <w:kern w:val="0"/>
                <w:sz w:val="20"/>
                <w:szCs w:val="20"/>
                <w:highlight w:val="none"/>
                <w:lang w:val="en-US" w:eastAsia="zh-CN"/>
              </w:rPr>
              <w:t>出口</w:t>
            </w:r>
          </w:p>
        </w:tc>
        <w:tc>
          <w:tcPr>
            <w:tcW w:w="1125" w:type="dxa"/>
            <w:vMerge w:val="continue"/>
            <w:tcBorders>
              <w:left w:val="single" w:color="auto" w:sz="4" w:space="0"/>
              <w:right w:val="single" w:color="auto" w:sz="4" w:space="0"/>
            </w:tcBorders>
            <w:noWrap/>
            <w:vAlign w:val="center"/>
          </w:tcPr>
          <w:p w14:paraId="253FC333">
            <w:pPr>
              <w:pStyle w:val="15"/>
              <w:spacing w:line="240" w:lineRule="auto"/>
              <w:ind w:firstLine="0" w:firstLineChars="0"/>
              <w:jc w:val="center"/>
              <w:rPr>
                <w:rStyle w:val="13"/>
                <w:rFonts w:hint="eastAsia" w:ascii="宋体" w:hAnsi="宋体" w:eastAsia="宋体" w:cs="宋体"/>
                <w:color w:val="auto"/>
                <w:sz w:val="20"/>
                <w:szCs w:val="20"/>
                <w:highlight w:val="none"/>
              </w:rPr>
            </w:pPr>
          </w:p>
        </w:tc>
        <w:tc>
          <w:tcPr>
            <w:tcW w:w="1274" w:type="dxa"/>
            <w:tcBorders>
              <w:top w:val="single" w:color="auto" w:sz="4" w:space="0"/>
              <w:left w:val="single" w:color="auto" w:sz="4" w:space="0"/>
              <w:right w:val="single" w:color="auto" w:sz="4" w:space="0"/>
            </w:tcBorders>
            <w:noWrap/>
            <w:vAlign w:val="center"/>
          </w:tcPr>
          <w:p w14:paraId="1C16F926">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进口</w:t>
            </w:r>
          </w:p>
        </w:tc>
        <w:tc>
          <w:tcPr>
            <w:tcW w:w="1274" w:type="dxa"/>
            <w:tcBorders>
              <w:top w:val="single" w:color="auto" w:sz="4" w:space="0"/>
              <w:left w:val="single" w:color="auto" w:sz="4" w:space="0"/>
              <w:right w:val="single" w:color="auto" w:sz="4" w:space="0"/>
            </w:tcBorders>
            <w:noWrap/>
            <w:vAlign w:val="center"/>
          </w:tcPr>
          <w:p w14:paraId="7F9002E6">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出口</w:t>
            </w:r>
          </w:p>
        </w:tc>
        <w:tc>
          <w:tcPr>
            <w:tcW w:w="1715" w:type="dxa"/>
            <w:vMerge w:val="continue"/>
            <w:tcBorders>
              <w:left w:val="single" w:color="auto" w:sz="4" w:space="0"/>
              <w:right w:val="single" w:color="auto" w:sz="4" w:space="0"/>
            </w:tcBorders>
            <w:noWrap/>
            <w:vAlign w:val="center"/>
          </w:tcPr>
          <w:p w14:paraId="30A62094">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1212" w:type="dxa"/>
            <w:vMerge w:val="continue"/>
            <w:tcBorders>
              <w:left w:val="single" w:color="auto" w:sz="4" w:space="0"/>
              <w:right w:val="single" w:color="auto" w:sz="4" w:space="0"/>
            </w:tcBorders>
            <w:noWrap/>
            <w:vAlign w:val="center"/>
          </w:tcPr>
          <w:p w14:paraId="7F44B2C3">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1450" w:type="dxa"/>
            <w:vMerge w:val="continue"/>
            <w:tcBorders>
              <w:left w:val="single" w:color="auto" w:sz="4" w:space="0"/>
              <w:right w:val="single" w:color="auto" w:sz="4" w:space="0"/>
            </w:tcBorders>
            <w:noWrap/>
            <w:vAlign w:val="center"/>
          </w:tcPr>
          <w:p w14:paraId="36866BD8">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r>
      <w:tr w14:paraId="3497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64" w:type="dxa"/>
            <w:vMerge w:val="restart"/>
            <w:tcBorders>
              <w:top w:val="single" w:color="auto" w:sz="4" w:space="0"/>
              <w:left w:val="single" w:color="auto" w:sz="4" w:space="0"/>
              <w:right w:val="single" w:color="auto" w:sz="4" w:space="0"/>
            </w:tcBorders>
            <w:noWrap/>
            <w:vAlign w:val="center"/>
          </w:tcPr>
          <w:p w14:paraId="3C4DD7D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lang w:val="en-US" w:eastAsia="zh-CN"/>
              </w:rPr>
              <w:t>CRJL1</w:t>
            </w:r>
          </w:p>
        </w:tc>
        <w:tc>
          <w:tcPr>
            <w:tcW w:w="1255" w:type="dxa"/>
            <w:vMerge w:val="restart"/>
            <w:tcBorders>
              <w:top w:val="single" w:color="auto" w:sz="4" w:space="0"/>
              <w:left w:val="single" w:color="auto" w:sz="4" w:space="0"/>
              <w:right w:val="single" w:color="auto" w:sz="4" w:space="0"/>
            </w:tcBorders>
            <w:noWrap w:val="0"/>
            <w:vAlign w:val="center"/>
          </w:tcPr>
          <w:p w14:paraId="7C1BBEA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白石隧道</w:t>
            </w:r>
          </w:p>
        </w:tc>
        <w:tc>
          <w:tcPr>
            <w:tcW w:w="1130" w:type="dxa"/>
            <w:tcBorders>
              <w:top w:val="single" w:color="auto" w:sz="4" w:space="0"/>
              <w:left w:val="single" w:color="auto" w:sz="4" w:space="0"/>
              <w:right w:val="single" w:color="auto" w:sz="4" w:space="0"/>
            </w:tcBorders>
            <w:noWrap w:val="0"/>
            <w:vAlign w:val="center"/>
          </w:tcPr>
          <w:p w14:paraId="757734A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左洞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7696F4F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ZK6+955</w:t>
            </w:r>
          </w:p>
        </w:tc>
        <w:tc>
          <w:tcPr>
            <w:tcW w:w="1687" w:type="dxa"/>
            <w:tcBorders>
              <w:top w:val="single" w:color="auto" w:sz="4" w:space="0"/>
              <w:left w:val="single" w:color="auto" w:sz="4" w:space="0"/>
              <w:bottom w:val="single" w:color="auto" w:sz="4" w:space="0"/>
              <w:right w:val="single" w:color="auto" w:sz="4" w:space="0"/>
            </w:tcBorders>
            <w:noWrap/>
            <w:vAlign w:val="center"/>
          </w:tcPr>
          <w:p w14:paraId="470E984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ZK8+175</w:t>
            </w:r>
          </w:p>
        </w:tc>
        <w:tc>
          <w:tcPr>
            <w:tcW w:w="1125" w:type="dxa"/>
            <w:tcBorders>
              <w:top w:val="single" w:color="auto" w:sz="4" w:space="0"/>
              <w:left w:val="single" w:color="auto" w:sz="4" w:space="0"/>
              <w:bottom w:val="single" w:color="auto" w:sz="4" w:space="0"/>
              <w:right w:val="single" w:color="auto" w:sz="4" w:space="0"/>
            </w:tcBorders>
            <w:noWrap/>
            <w:vAlign w:val="center"/>
          </w:tcPr>
          <w:p w14:paraId="50B7B07B">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1220</w:t>
            </w:r>
          </w:p>
        </w:tc>
        <w:tc>
          <w:tcPr>
            <w:tcW w:w="1274" w:type="dxa"/>
            <w:tcBorders>
              <w:top w:val="single" w:color="auto" w:sz="4" w:space="0"/>
              <w:left w:val="single" w:color="auto" w:sz="4" w:space="0"/>
              <w:bottom w:val="single" w:color="auto" w:sz="4" w:space="0"/>
              <w:right w:val="single" w:color="auto" w:sz="4" w:space="0"/>
            </w:tcBorders>
            <w:noWrap/>
            <w:vAlign w:val="center"/>
          </w:tcPr>
          <w:p w14:paraId="3719D886">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74" w:type="dxa"/>
            <w:tcBorders>
              <w:top w:val="single" w:color="auto" w:sz="4" w:space="0"/>
              <w:left w:val="single" w:color="auto" w:sz="4" w:space="0"/>
              <w:bottom w:val="single" w:color="auto" w:sz="4" w:space="0"/>
              <w:right w:val="single" w:color="auto" w:sz="4" w:space="0"/>
            </w:tcBorders>
            <w:noWrap/>
            <w:vAlign w:val="center"/>
          </w:tcPr>
          <w:p w14:paraId="6C635C65">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端墙</w:t>
            </w:r>
          </w:p>
        </w:tc>
        <w:tc>
          <w:tcPr>
            <w:tcW w:w="1715" w:type="dxa"/>
            <w:tcBorders>
              <w:top w:val="single" w:color="auto" w:sz="4" w:space="0"/>
              <w:left w:val="single" w:color="auto" w:sz="4" w:space="0"/>
              <w:right w:val="single" w:color="auto" w:sz="4" w:space="0"/>
            </w:tcBorders>
            <w:noWrap/>
            <w:vAlign w:val="center"/>
          </w:tcPr>
          <w:p w14:paraId="3F8F72F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R=6050圆曲线</w:t>
            </w:r>
          </w:p>
        </w:tc>
        <w:tc>
          <w:tcPr>
            <w:tcW w:w="1212" w:type="dxa"/>
            <w:tcBorders>
              <w:top w:val="single" w:color="auto" w:sz="4" w:space="0"/>
              <w:left w:val="single" w:color="auto" w:sz="4" w:space="0"/>
              <w:right w:val="single" w:color="auto" w:sz="4" w:space="0"/>
            </w:tcBorders>
            <w:noWrap/>
            <w:vAlign w:val="center"/>
          </w:tcPr>
          <w:p w14:paraId="4556F79E">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1%/445m</w:t>
            </w:r>
          </w:p>
          <w:p w14:paraId="55AE5F2E">
            <w:pPr>
              <w:pStyle w:val="7"/>
              <w:ind w:left="0" w:leftChars="0"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0.5%/</w:t>
            </w:r>
            <w:r>
              <w:rPr>
                <w:rStyle w:val="13"/>
                <w:rFonts w:hint="eastAsia" w:ascii="宋体" w:hAnsi="宋体" w:eastAsia="宋体" w:cs="宋体"/>
                <w:color w:val="auto"/>
                <w:sz w:val="20"/>
                <w:szCs w:val="20"/>
                <w:highlight w:val="none"/>
                <w:lang w:val="en-US" w:eastAsia="zh-CN"/>
              </w:rPr>
              <w:t>820</w:t>
            </w:r>
          </w:p>
        </w:tc>
        <w:tc>
          <w:tcPr>
            <w:tcW w:w="1450" w:type="dxa"/>
            <w:vMerge w:val="restart"/>
            <w:tcBorders>
              <w:top w:val="single" w:color="auto" w:sz="4" w:space="0"/>
              <w:left w:val="single" w:color="auto" w:sz="4" w:space="0"/>
              <w:right w:val="single" w:color="auto" w:sz="4" w:space="0"/>
            </w:tcBorders>
            <w:noWrap/>
            <w:vAlign w:val="center"/>
          </w:tcPr>
          <w:p w14:paraId="6C98B4F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15.25×5</w:t>
            </w:r>
          </w:p>
        </w:tc>
      </w:tr>
      <w:tr w14:paraId="7991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64" w:type="dxa"/>
            <w:vMerge w:val="continue"/>
            <w:tcBorders>
              <w:left w:val="single" w:color="auto" w:sz="4" w:space="0"/>
              <w:right w:val="single" w:color="auto" w:sz="4" w:space="0"/>
            </w:tcBorders>
            <w:noWrap/>
            <w:vAlign w:val="center"/>
          </w:tcPr>
          <w:p w14:paraId="509992E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255" w:type="dxa"/>
            <w:vMerge w:val="continue"/>
            <w:tcBorders>
              <w:left w:val="single" w:color="auto" w:sz="4" w:space="0"/>
              <w:bottom w:val="single" w:color="auto" w:sz="4" w:space="0"/>
              <w:right w:val="single" w:color="auto" w:sz="4" w:space="0"/>
            </w:tcBorders>
            <w:noWrap w:val="0"/>
            <w:vAlign w:val="center"/>
          </w:tcPr>
          <w:p w14:paraId="15B8017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130" w:type="dxa"/>
            <w:tcBorders>
              <w:left w:val="single" w:color="auto" w:sz="4" w:space="0"/>
              <w:bottom w:val="single" w:color="auto" w:sz="4" w:space="0"/>
              <w:right w:val="single" w:color="auto" w:sz="4" w:space="0"/>
            </w:tcBorders>
            <w:noWrap w:val="0"/>
            <w:vAlign w:val="center"/>
          </w:tcPr>
          <w:p w14:paraId="2D1AD63F">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右洞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69F0599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K6+925</w:t>
            </w:r>
          </w:p>
        </w:tc>
        <w:tc>
          <w:tcPr>
            <w:tcW w:w="1687" w:type="dxa"/>
            <w:tcBorders>
              <w:top w:val="single" w:color="auto" w:sz="4" w:space="0"/>
              <w:left w:val="single" w:color="auto" w:sz="4" w:space="0"/>
              <w:bottom w:val="single" w:color="auto" w:sz="4" w:space="0"/>
              <w:right w:val="single" w:color="auto" w:sz="4" w:space="0"/>
            </w:tcBorders>
            <w:noWrap/>
            <w:vAlign w:val="center"/>
          </w:tcPr>
          <w:p w14:paraId="2BB9EED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K8+170</w:t>
            </w:r>
          </w:p>
        </w:tc>
        <w:tc>
          <w:tcPr>
            <w:tcW w:w="1125" w:type="dxa"/>
            <w:tcBorders>
              <w:top w:val="single" w:color="auto" w:sz="4" w:space="0"/>
              <w:left w:val="single" w:color="auto" w:sz="4" w:space="0"/>
              <w:bottom w:val="single" w:color="auto" w:sz="4" w:space="0"/>
              <w:right w:val="single" w:color="auto" w:sz="4" w:space="0"/>
            </w:tcBorders>
            <w:noWrap/>
            <w:vAlign w:val="center"/>
          </w:tcPr>
          <w:p w14:paraId="48D0985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1245</w:t>
            </w:r>
          </w:p>
        </w:tc>
        <w:tc>
          <w:tcPr>
            <w:tcW w:w="1274" w:type="dxa"/>
            <w:tcBorders>
              <w:top w:val="single" w:color="auto" w:sz="4" w:space="0"/>
              <w:left w:val="single" w:color="auto" w:sz="4" w:space="0"/>
              <w:bottom w:val="single" w:color="auto" w:sz="4" w:space="0"/>
              <w:right w:val="single" w:color="auto" w:sz="4" w:space="0"/>
            </w:tcBorders>
            <w:noWrap/>
            <w:vAlign w:val="center"/>
          </w:tcPr>
          <w:p w14:paraId="0C979CAC">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74" w:type="dxa"/>
            <w:tcBorders>
              <w:top w:val="single" w:color="auto" w:sz="4" w:space="0"/>
              <w:left w:val="single" w:color="auto" w:sz="4" w:space="0"/>
              <w:bottom w:val="single" w:color="auto" w:sz="4" w:space="0"/>
              <w:right w:val="single" w:color="auto" w:sz="4" w:space="0"/>
            </w:tcBorders>
            <w:noWrap/>
            <w:vAlign w:val="center"/>
          </w:tcPr>
          <w:p w14:paraId="0B819F7A">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端墙</w:t>
            </w:r>
          </w:p>
        </w:tc>
        <w:tc>
          <w:tcPr>
            <w:tcW w:w="1715" w:type="dxa"/>
            <w:tcBorders>
              <w:left w:val="single" w:color="auto" w:sz="4" w:space="0"/>
              <w:bottom w:val="single" w:color="auto" w:sz="4" w:space="0"/>
              <w:right w:val="single" w:color="auto" w:sz="4" w:space="0"/>
            </w:tcBorders>
            <w:noWrap/>
            <w:vAlign w:val="center"/>
          </w:tcPr>
          <w:p w14:paraId="1753064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R=9000圆曲线</w:t>
            </w:r>
          </w:p>
        </w:tc>
        <w:tc>
          <w:tcPr>
            <w:tcW w:w="1212" w:type="dxa"/>
            <w:tcBorders>
              <w:left w:val="single" w:color="auto" w:sz="4" w:space="0"/>
              <w:bottom w:val="single" w:color="auto" w:sz="4" w:space="0"/>
              <w:right w:val="single" w:color="auto" w:sz="4" w:space="0"/>
            </w:tcBorders>
            <w:noWrap/>
            <w:vAlign w:val="center"/>
          </w:tcPr>
          <w:p w14:paraId="0B03665E">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1%/455m</w:t>
            </w:r>
          </w:p>
          <w:p w14:paraId="6F84EB6A">
            <w:pPr>
              <w:pStyle w:val="7"/>
              <w:ind w:left="0" w:leftChars="0"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w:t>
            </w:r>
            <w:r>
              <w:rPr>
                <w:rStyle w:val="13"/>
                <w:rFonts w:hint="eastAsia" w:ascii="宋体" w:hAnsi="宋体" w:eastAsia="宋体" w:cs="宋体"/>
                <w:color w:val="auto"/>
                <w:kern w:val="0"/>
                <w:sz w:val="20"/>
                <w:szCs w:val="20"/>
                <w:highlight w:val="none"/>
                <w:lang w:val="en-US" w:eastAsia="zh-CN"/>
              </w:rPr>
              <w:t>815</w:t>
            </w:r>
            <w:r>
              <w:rPr>
                <w:rStyle w:val="13"/>
                <w:rFonts w:hint="eastAsia" w:ascii="宋体" w:hAnsi="宋体" w:eastAsia="宋体" w:cs="宋体"/>
                <w:color w:val="auto"/>
                <w:kern w:val="0"/>
                <w:sz w:val="20"/>
                <w:szCs w:val="20"/>
                <w:highlight w:val="none"/>
                <w:lang w:val="en-US" w:eastAsia="zh-CN"/>
              </w:rPr>
              <w:t>m</w:t>
            </w:r>
          </w:p>
        </w:tc>
        <w:tc>
          <w:tcPr>
            <w:tcW w:w="1450" w:type="dxa"/>
            <w:vMerge w:val="continue"/>
            <w:tcBorders>
              <w:left w:val="single" w:color="auto" w:sz="4" w:space="0"/>
              <w:bottom w:val="single" w:color="auto" w:sz="4" w:space="0"/>
              <w:right w:val="single" w:color="auto" w:sz="4" w:space="0"/>
            </w:tcBorders>
            <w:noWrap/>
            <w:vAlign w:val="center"/>
          </w:tcPr>
          <w:p w14:paraId="761B704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r>
      <w:tr w14:paraId="1E2E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64" w:type="dxa"/>
            <w:vMerge w:val="continue"/>
            <w:tcBorders>
              <w:left w:val="single" w:color="auto" w:sz="4" w:space="0"/>
              <w:right w:val="single" w:color="auto" w:sz="4" w:space="0"/>
            </w:tcBorders>
            <w:noWrap/>
            <w:vAlign w:val="center"/>
          </w:tcPr>
          <w:p w14:paraId="30637CC6">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255" w:type="dxa"/>
            <w:vMerge w:val="restart"/>
            <w:tcBorders>
              <w:top w:val="single" w:color="auto" w:sz="4" w:space="0"/>
              <w:left w:val="single" w:color="auto" w:sz="4" w:space="0"/>
              <w:right w:val="single" w:color="auto" w:sz="4" w:space="0"/>
            </w:tcBorders>
            <w:noWrap w:val="0"/>
            <w:vAlign w:val="center"/>
          </w:tcPr>
          <w:p w14:paraId="7A7B5B86">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神仙岭隧道</w:t>
            </w:r>
          </w:p>
        </w:tc>
        <w:tc>
          <w:tcPr>
            <w:tcW w:w="1130" w:type="dxa"/>
            <w:tcBorders>
              <w:top w:val="single" w:color="auto" w:sz="4" w:space="0"/>
              <w:left w:val="single" w:color="auto" w:sz="4" w:space="0"/>
              <w:right w:val="single" w:color="auto" w:sz="4" w:space="0"/>
            </w:tcBorders>
            <w:noWrap w:val="0"/>
            <w:vAlign w:val="center"/>
          </w:tcPr>
          <w:p w14:paraId="50657826">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左洞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47C7E2A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ZK14+730</w:t>
            </w:r>
          </w:p>
        </w:tc>
        <w:tc>
          <w:tcPr>
            <w:tcW w:w="1687" w:type="dxa"/>
            <w:tcBorders>
              <w:top w:val="single" w:color="auto" w:sz="4" w:space="0"/>
              <w:left w:val="single" w:color="auto" w:sz="4" w:space="0"/>
              <w:bottom w:val="single" w:color="auto" w:sz="4" w:space="0"/>
              <w:right w:val="single" w:color="auto" w:sz="4" w:space="0"/>
            </w:tcBorders>
            <w:noWrap/>
            <w:vAlign w:val="center"/>
          </w:tcPr>
          <w:p w14:paraId="70D894B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ZK15+435</w:t>
            </w:r>
          </w:p>
        </w:tc>
        <w:tc>
          <w:tcPr>
            <w:tcW w:w="1125" w:type="dxa"/>
            <w:tcBorders>
              <w:top w:val="single" w:color="auto" w:sz="4" w:space="0"/>
              <w:left w:val="single" w:color="auto" w:sz="4" w:space="0"/>
              <w:bottom w:val="single" w:color="auto" w:sz="4" w:space="0"/>
              <w:right w:val="single" w:color="auto" w:sz="4" w:space="0"/>
            </w:tcBorders>
            <w:noWrap/>
            <w:vAlign w:val="center"/>
          </w:tcPr>
          <w:p w14:paraId="3BC901C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705</w:t>
            </w:r>
          </w:p>
        </w:tc>
        <w:tc>
          <w:tcPr>
            <w:tcW w:w="1274" w:type="dxa"/>
            <w:tcBorders>
              <w:top w:val="single" w:color="auto" w:sz="4" w:space="0"/>
              <w:left w:val="single" w:color="auto" w:sz="4" w:space="0"/>
              <w:bottom w:val="single" w:color="auto" w:sz="4" w:space="0"/>
              <w:right w:val="single" w:color="auto" w:sz="4" w:space="0"/>
            </w:tcBorders>
            <w:noWrap/>
            <w:vAlign w:val="center"/>
          </w:tcPr>
          <w:p w14:paraId="117A7A7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74" w:type="dxa"/>
            <w:tcBorders>
              <w:top w:val="single" w:color="auto" w:sz="4" w:space="0"/>
              <w:left w:val="single" w:color="auto" w:sz="4" w:space="0"/>
              <w:bottom w:val="single" w:color="auto" w:sz="4" w:space="0"/>
              <w:right w:val="single" w:color="auto" w:sz="4" w:space="0"/>
            </w:tcBorders>
            <w:noWrap/>
            <w:vAlign w:val="center"/>
          </w:tcPr>
          <w:p w14:paraId="0204DC36">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端墙</w:t>
            </w:r>
          </w:p>
        </w:tc>
        <w:tc>
          <w:tcPr>
            <w:tcW w:w="1715" w:type="dxa"/>
            <w:tcBorders>
              <w:top w:val="single" w:color="auto" w:sz="4" w:space="0"/>
              <w:left w:val="single" w:color="auto" w:sz="4" w:space="0"/>
              <w:right w:val="single" w:color="auto" w:sz="4" w:space="0"/>
            </w:tcBorders>
            <w:noWrap/>
            <w:vAlign w:val="center"/>
          </w:tcPr>
          <w:p w14:paraId="5043F22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R=2490圆曲线+缓和曲线</w:t>
            </w:r>
          </w:p>
        </w:tc>
        <w:tc>
          <w:tcPr>
            <w:tcW w:w="1212" w:type="dxa"/>
            <w:tcBorders>
              <w:top w:val="single" w:color="auto" w:sz="4" w:space="0"/>
              <w:left w:val="single" w:color="auto" w:sz="4" w:space="0"/>
              <w:right w:val="single" w:color="auto" w:sz="4" w:space="0"/>
            </w:tcBorders>
            <w:noWrap/>
            <w:vAlign w:val="center"/>
          </w:tcPr>
          <w:p w14:paraId="7B2076A6">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2.5%/657m</w:t>
            </w:r>
          </w:p>
          <w:p w14:paraId="43A9103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-2%/48m</w:t>
            </w:r>
          </w:p>
        </w:tc>
        <w:tc>
          <w:tcPr>
            <w:tcW w:w="1450" w:type="dxa"/>
            <w:vMerge w:val="restart"/>
            <w:tcBorders>
              <w:top w:val="single" w:color="auto" w:sz="4" w:space="0"/>
              <w:left w:val="single" w:color="auto" w:sz="4" w:space="0"/>
              <w:right w:val="single" w:color="auto" w:sz="4" w:space="0"/>
            </w:tcBorders>
            <w:noWrap/>
            <w:vAlign w:val="center"/>
          </w:tcPr>
          <w:p w14:paraId="11DAABEA">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15.25×5</w:t>
            </w:r>
          </w:p>
        </w:tc>
      </w:tr>
      <w:tr w14:paraId="65A0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64" w:type="dxa"/>
            <w:vMerge w:val="continue"/>
            <w:tcBorders>
              <w:left w:val="single" w:color="auto" w:sz="4" w:space="0"/>
              <w:bottom w:val="single" w:color="auto" w:sz="4" w:space="0"/>
              <w:right w:val="single" w:color="auto" w:sz="4" w:space="0"/>
            </w:tcBorders>
            <w:noWrap/>
            <w:vAlign w:val="center"/>
          </w:tcPr>
          <w:p w14:paraId="0AA8A2C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255" w:type="dxa"/>
            <w:vMerge w:val="continue"/>
            <w:tcBorders>
              <w:left w:val="single" w:color="auto" w:sz="4" w:space="0"/>
              <w:bottom w:val="single" w:color="auto" w:sz="4" w:space="0"/>
              <w:right w:val="single" w:color="auto" w:sz="4" w:space="0"/>
            </w:tcBorders>
            <w:noWrap w:val="0"/>
            <w:vAlign w:val="center"/>
          </w:tcPr>
          <w:p w14:paraId="7C03456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130" w:type="dxa"/>
            <w:tcBorders>
              <w:left w:val="single" w:color="auto" w:sz="4" w:space="0"/>
              <w:bottom w:val="single" w:color="auto" w:sz="4" w:space="0"/>
              <w:right w:val="single" w:color="auto" w:sz="4" w:space="0"/>
            </w:tcBorders>
            <w:noWrap w:val="0"/>
            <w:vAlign w:val="center"/>
          </w:tcPr>
          <w:p w14:paraId="6BB908D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lang w:val="en-US" w:eastAsia="zh-CN"/>
              </w:rPr>
              <w:t>右洞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0C25406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K14+725</w:t>
            </w:r>
          </w:p>
        </w:tc>
        <w:tc>
          <w:tcPr>
            <w:tcW w:w="1687" w:type="dxa"/>
            <w:tcBorders>
              <w:top w:val="single" w:color="auto" w:sz="4" w:space="0"/>
              <w:left w:val="single" w:color="auto" w:sz="4" w:space="0"/>
              <w:bottom w:val="single" w:color="auto" w:sz="4" w:space="0"/>
              <w:right w:val="single" w:color="auto" w:sz="4" w:space="0"/>
            </w:tcBorders>
            <w:noWrap/>
            <w:vAlign w:val="center"/>
          </w:tcPr>
          <w:p w14:paraId="4DA3D5B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K15+445</w:t>
            </w:r>
          </w:p>
        </w:tc>
        <w:tc>
          <w:tcPr>
            <w:tcW w:w="1125" w:type="dxa"/>
            <w:tcBorders>
              <w:top w:val="single" w:color="auto" w:sz="4" w:space="0"/>
              <w:left w:val="single" w:color="auto" w:sz="4" w:space="0"/>
              <w:bottom w:val="single" w:color="auto" w:sz="4" w:space="0"/>
              <w:right w:val="single" w:color="auto" w:sz="4" w:space="0"/>
            </w:tcBorders>
            <w:noWrap/>
            <w:vAlign w:val="center"/>
          </w:tcPr>
          <w:p w14:paraId="081E4A8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720</w:t>
            </w:r>
          </w:p>
        </w:tc>
        <w:tc>
          <w:tcPr>
            <w:tcW w:w="1274" w:type="dxa"/>
            <w:tcBorders>
              <w:top w:val="single" w:color="auto" w:sz="4" w:space="0"/>
              <w:left w:val="single" w:color="auto" w:sz="4" w:space="0"/>
              <w:bottom w:val="single" w:color="auto" w:sz="4" w:space="0"/>
              <w:right w:val="single" w:color="auto" w:sz="4" w:space="0"/>
            </w:tcBorders>
            <w:noWrap/>
            <w:vAlign w:val="center"/>
          </w:tcPr>
          <w:p w14:paraId="75991B3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74" w:type="dxa"/>
            <w:tcBorders>
              <w:top w:val="single" w:color="auto" w:sz="4" w:space="0"/>
              <w:left w:val="single" w:color="auto" w:sz="4" w:space="0"/>
              <w:bottom w:val="single" w:color="auto" w:sz="4" w:space="0"/>
              <w:right w:val="single" w:color="auto" w:sz="4" w:space="0"/>
            </w:tcBorders>
            <w:noWrap/>
            <w:vAlign w:val="center"/>
          </w:tcPr>
          <w:p w14:paraId="66179C2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端墙</w:t>
            </w:r>
          </w:p>
        </w:tc>
        <w:tc>
          <w:tcPr>
            <w:tcW w:w="1715" w:type="dxa"/>
            <w:tcBorders>
              <w:left w:val="single" w:color="auto" w:sz="4" w:space="0"/>
              <w:bottom w:val="single" w:color="auto" w:sz="4" w:space="0"/>
              <w:right w:val="single" w:color="auto" w:sz="4" w:space="0"/>
            </w:tcBorders>
            <w:noWrap/>
            <w:vAlign w:val="center"/>
          </w:tcPr>
          <w:p w14:paraId="753168C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R=2250圆曲线+缓和曲线</w:t>
            </w:r>
          </w:p>
        </w:tc>
        <w:tc>
          <w:tcPr>
            <w:tcW w:w="1212" w:type="dxa"/>
            <w:tcBorders>
              <w:left w:val="single" w:color="auto" w:sz="4" w:space="0"/>
              <w:bottom w:val="single" w:color="auto" w:sz="4" w:space="0"/>
              <w:right w:val="single" w:color="auto" w:sz="4" w:space="0"/>
            </w:tcBorders>
            <w:noWrap/>
            <w:vAlign w:val="center"/>
          </w:tcPr>
          <w:p w14:paraId="7B86B5FA">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2.5%/669m</w:t>
            </w:r>
          </w:p>
          <w:p w14:paraId="2502C96E">
            <w:pPr>
              <w:pStyle w:val="7"/>
              <w:ind w:left="0" w:leftChars="0"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-2%/51m</w:t>
            </w:r>
          </w:p>
        </w:tc>
        <w:tc>
          <w:tcPr>
            <w:tcW w:w="1450" w:type="dxa"/>
            <w:vMerge w:val="continue"/>
            <w:tcBorders>
              <w:left w:val="single" w:color="auto" w:sz="4" w:space="0"/>
              <w:bottom w:val="single" w:color="auto" w:sz="4" w:space="0"/>
              <w:right w:val="single" w:color="auto" w:sz="4" w:space="0"/>
            </w:tcBorders>
            <w:noWrap/>
            <w:vAlign w:val="center"/>
          </w:tcPr>
          <w:p w14:paraId="19EC36BF">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r>
      <w:tr w14:paraId="7540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64" w:type="dxa"/>
            <w:vMerge w:val="restart"/>
            <w:tcBorders>
              <w:top w:val="single" w:color="auto" w:sz="4" w:space="0"/>
              <w:left w:val="single" w:color="auto" w:sz="4" w:space="0"/>
              <w:right w:val="single" w:color="auto" w:sz="4" w:space="0"/>
            </w:tcBorders>
            <w:noWrap/>
            <w:vAlign w:val="center"/>
          </w:tcPr>
          <w:p w14:paraId="4A739E0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rPr>
            </w:pPr>
            <w:r>
              <w:rPr>
                <w:rStyle w:val="13"/>
                <w:rFonts w:hint="eastAsia" w:ascii="宋体" w:hAnsi="宋体" w:eastAsia="宋体" w:cs="宋体"/>
                <w:color w:val="auto"/>
                <w:kern w:val="0"/>
                <w:sz w:val="20"/>
                <w:szCs w:val="20"/>
                <w:highlight w:val="none"/>
                <w:lang w:val="en-US" w:eastAsia="zh-CN"/>
              </w:rPr>
              <w:t>CRJL2</w:t>
            </w:r>
          </w:p>
        </w:tc>
        <w:tc>
          <w:tcPr>
            <w:tcW w:w="1255" w:type="dxa"/>
            <w:vMerge w:val="restart"/>
            <w:tcBorders>
              <w:top w:val="single" w:color="auto" w:sz="4" w:space="0"/>
              <w:left w:val="single" w:color="auto" w:sz="4" w:space="0"/>
              <w:right w:val="single" w:color="auto" w:sz="4" w:space="0"/>
            </w:tcBorders>
            <w:noWrap w:val="0"/>
            <w:vAlign w:val="center"/>
          </w:tcPr>
          <w:p w14:paraId="38059F0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新源隧道</w:t>
            </w:r>
          </w:p>
        </w:tc>
        <w:tc>
          <w:tcPr>
            <w:tcW w:w="1130" w:type="dxa"/>
            <w:tcBorders>
              <w:top w:val="single" w:color="auto" w:sz="4" w:space="0"/>
              <w:left w:val="single" w:color="auto" w:sz="4" w:space="0"/>
              <w:right w:val="single" w:color="auto" w:sz="4" w:space="0"/>
            </w:tcBorders>
            <w:noWrap w:val="0"/>
            <w:vAlign w:val="center"/>
          </w:tcPr>
          <w:p w14:paraId="44505CE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左洞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38CA528A">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ZK15+638</w:t>
            </w:r>
          </w:p>
        </w:tc>
        <w:tc>
          <w:tcPr>
            <w:tcW w:w="1687" w:type="dxa"/>
            <w:tcBorders>
              <w:top w:val="single" w:color="auto" w:sz="4" w:space="0"/>
              <w:left w:val="single" w:color="auto" w:sz="4" w:space="0"/>
              <w:bottom w:val="single" w:color="auto" w:sz="4" w:space="0"/>
              <w:right w:val="single" w:color="auto" w:sz="4" w:space="0"/>
            </w:tcBorders>
            <w:noWrap/>
            <w:vAlign w:val="center"/>
          </w:tcPr>
          <w:p w14:paraId="11B85D9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ZK15+883</w:t>
            </w:r>
          </w:p>
        </w:tc>
        <w:tc>
          <w:tcPr>
            <w:tcW w:w="1125" w:type="dxa"/>
            <w:tcBorders>
              <w:top w:val="single" w:color="auto" w:sz="4" w:space="0"/>
              <w:left w:val="single" w:color="auto" w:sz="4" w:space="0"/>
              <w:bottom w:val="single" w:color="auto" w:sz="4" w:space="0"/>
              <w:right w:val="single" w:color="auto" w:sz="4" w:space="0"/>
            </w:tcBorders>
            <w:noWrap/>
            <w:vAlign w:val="center"/>
          </w:tcPr>
          <w:p w14:paraId="3C6D0A02">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245</w:t>
            </w:r>
          </w:p>
        </w:tc>
        <w:tc>
          <w:tcPr>
            <w:tcW w:w="1274" w:type="dxa"/>
            <w:tcBorders>
              <w:top w:val="single" w:color="auto" w:sz="4" w:space="0"/>
              <w:left w:val="single" w:color="auto" w:sz="4" w:space="0"/>
              <w:bottom w:val="single" w:color="auto" w:sz="4" w:space="0"/>
              <w:right w:val="single" w:color="auto" w:sz="4" w:space="0"/>
            </w:tcBorders>
            <w:noWrap/>
            <w:vAlign w:val="center"/>
          </w:tcPr>
          <w:p w14:paraId="6339295E">
            <w:pPr>
              <w:pStyle w:val="11"/>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74" w:type="dxa"/>
            <w:tcBorders>
              <w:top w:val="single" w:color="auto" w:sz="4" w:space="0"/>
              <w:left w:val="single" w:color="auto" w:sz="4" w:space="0"/>
              <w:bottom w:val="single" w:color="auto" w:sz="4" w:space="0"/>
              <w:right w:val="single" w:color="auto" w:sz="4" w:space="0"/>
            </w:tcBorders>
            <w:noWrap/>
            <w:vAlign w:val="center"/>
          </w:tcPr>
          <w:p w14:paraId="712A699A">
            <w:pPr>
              <w:pStyle w:val="11"/>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715" w:type="dxa"/>
            <w:tcBorders>
              <w:top w:val="single" w:color="auto" w:sz="4" w:space="0"/>
              <w:left w:val="single" w:color="auto" w:sz="4" w:space="0"/>
              <w:right w:val="single" w:color="auto" w:sz="4" w:space="0"/>
            </w:tcBorders>
            <w:noWrap/>
            <w:vAlign w:val="center"/>
          </w:tcPr>
          <w:p w14:paraId="4393B0F5">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R=2490圆曲线+缓和曲线</w:t>
            </w:r>
          </w:p>
        </w:tc>
        <w:tc>
          <w:tcPr>
            <w:tcW w:w="1212" w:type="dxa"/>
            <w:tcBorders>
              <w:top w:val="single" w:color="auto" w:sz="4" w:space="0"/>
              <w:left w:val="single" w:color="auto" w:sz="4" w:space="0"/>
              <w:right w:val="single" w:color="auto" w:sz="4" w:space="0"/>
            </w:tcBorders>
            <w:noWrap/>
            <w:vAlign w:val="center"/>
          </w:tcPr>
          <w:p w14:paraId="64B39AB3">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-2%/245m</w:t>
            </w:r>
          </w:p>
        </w:tc>
        <w:tc>
          <w:tcPr>
            <w:tcW w:w="1450" w:type="dxa"/>
            <w:vMerge w:val="restart"/>
            <w:tcBorders>
              <w:top w:val="single" w:color="auto" w:sz="4" w:space="0"/>
              <w:left w:val="single" w:color="auto" w:sz="4" w:space="0"/>
              <w:right w:val="single" w:color="auto" w:sz="4" w:space="0"/>
            </w:tcBorders>
            <w:noWrap/>
            <w:vAlign w:val="center"/>
          </w:tcPr>
          <w:p w14:paraId="57A52F6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15.25×5</w:t>
            </w:r>
          </w:p>
        </w:tc>
      </w:tr>
      <w:tr w14:paraId="2CD3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4" w:type="dxa"/>
            <w:vMerge w:val="continue"/>
            <w:tcBorders>
              <w:left w:val="single" w:color="auto" w:sz="4" w:space="0"/>
              <w:bottom w:val="single" w:color="auto" w:sz="4" w:space="0"/>
              <w:right w:val="single" w:color="auto" w:sz="4" w:space="0"/>
            </w:tcBorders>
            <w:noWrap/>
            <w:vAlign w:val="center"/>
          </w:tcPr>
          <w:p w14:paraId="005761C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255" w:type="dxa"/>
            <w:vMerge w:val="continue"/>
            <w:tcBorders>
              <w:left w:val="single" w:color="auto" w:sz="4" w:space="0"/>
              <w:bottom w:val="single" w:color="auto" w:sz="4" w:space="0"/>
              <w:right w:val="single" w:color="auto" w:sz="4" w:space="0"/>
            </w:tcBorders>
            <w:noWrap w:val="0"/>
            <w:vAlign w:val="center"/>
          </w:tcPr>
          <w:p w14:paraId="4939623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1130" w:type="dxa"/>
            <w:tcBorders>
              <w:left w:val="single" w:color="auto" w:sz="4" w:space="0"/>
              <w:bottom w:val="single" w:color="auto" w:sz="4" w:space="0"/>
              <w:right w:val="single" w:color="auto" w:sz="4" w:space="0"/>
            </w:tcBorders>
            <w:noWrap w:val="0"/>
            <w:vAlign w:val="center"/>
          </w:tcPr>
          <w:p w14:paraId="403FB62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右洞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26657A6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K15+676</w:t>
            </w:r>
          </w:p>
        </w:tc>
        <w:tc>
          <w:tcPr>
            <w:tcW w:w="1687" w:type="dxa"/>
            <w:tcBorders>
              <w:top w:val="single" w:color="auto" w:sz="4" w:space="0"/>
              <w:left w:val="single" w:color="auto" w:sz="4" w:space="0"/>
              <w:bottom w:val="single" w:color="auto" w:sz="4" w:space="0"/>
              <w:right w:val="single" w:color="auto" w:sz="4" w:space="0"/>
            </w:tcBorders>
            <w:noWrap/>
            <w:vAlign w:val="center"/>
          </w:tcPr>
          <w:p w14:paraId="7FE13C7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K15+778</w:t>
            </w:r>
          </w:p>
        </w:tc>
        <w:tc>
          <w:tcPr>
            <w:tcW w:w="1125" w:type="dxa"/>
            <w:tcBorders>
              <w:top w:val="single" w:color="auto" w:sz="4" w:space="0"/>
              <w:left w:val="single" w:color="auto" w:sz="4" w:space="0"/>
              <w:bottom w:val="single" w:color="auto" w:sz="4" w:space="0"/>
              <w:right w:val="single" w:color="auto" w:sz="4" w:space="0"/>
            </w:tcBorders>
            <w:noWrap/>
            <w:vAlign w:val="center"/>
          </w:tcPr>
          <w:p w14:paraId="1BC7C711">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102</w:t>
            </w:r>
          </w:p>
        </w:tc>
        <w:tc>
          <w:tcPr>
            <w:tcW w:w="1274" w:type="dxa"/>
            <w:tcBorders>
              <w:top w:val="single" w:color="auto" w:sz="4" w:space="0"/>
              <w:left w:val="single" w:color="auto" w:sz="4" w:space="0"/>
              <w:bottom w:val="single" w:color="auto" w:sz="4" w:space="0"/>
              <w:right w:val="single" w:color="auto" w:sz="4" w:space="0"/>
            </w:tcBorders>
            <w:noWrap/>
            <w:vAlign w:val="center"/>
          </w:tcPr>
          <w:p w14:paraId="3C601061">
            <w:pPr>
              <w:pStyle w:val="11"/>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74" w:type="dxa"/>
            <w:tcBorders>
              <w:top w:val="single" w:color="auto" w:sz="4" w:space="0"/>
              <w:left w:val="single" w:color="auto" w:sz="4" w:space="0"/>
              <w:bottom w:val="single" w:color="auto" w:sz="4" w:space="0"/>
              <w:right w:val="single" w:color="auto" w:sz="4" w:space="0"/>
            </w:tcBorders>
            <w:noWrap/>
            <w:vAlign w:val="center"/>
          </w:tcPr>
          <w:p w14:paraId="4219465C">
            <w:pPr>
              <w:pStyle w:val="11"/>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715" w:type="dxa"/>
            <w:tcBorders>
              <w:left w:val="single" w:color="auto" w:sz="4" w:space="0"/>
              <w:bottom w:val="single" w:color="auto" w:sz="4" w:space="0"/>
              <w:right w:val="single" w:color="auto" w:sz="4" w:space="0"/>
            </w:tcBorders>
            <w:noWrap/>
            <w:vAlign w:val="center"/>
          </w:tcPr>
          <w:p w14:paraId="344ACA1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R=2250圆曲线+缓和曲线</w:t>
            </w:r>
          </w:p>
        </w:tc>
        <w:tc>
          <w:tcPr>
            <w:tcW w:w="1212" w:type="dxa"/>
            <w:tcBorders>
              <w:left w:val="single" w:color="auto" w:sz="4" w:space="0"/>
              <w:bottom w:val="single" w:color="auto" w:sz="4" w:space="0"/>
              <w:right w:val="single" w:color="auto" w:sz="4" w:space="0"/>
            </w:tcBorders>
            <w:noWrap/>
            <w:vAlign w:val="center"/>
          </w:tcPr>
          <w:p w14:paraId="03D0C0A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-2%/102m</w:t>
            </w:r>
          </w:p>
        </w:tc>
        <w:tc>
          <w:tcPr>
            <w:tcW w:w="1450" w:type="dxa"/>
            <w:vMerge w:val="continue"/>
            <w:tcBorders>
              <w:left w:val="single" w:color="auto" w:sz="4" w:space="0"/>
              <w:bottom w:val="single" w:color="auto" w:sz="4" w:space="0"/>
              <w:right w:val="single" w:color="auto" w:sz="4" w:space="0"/>
            </w:tcBorders>
            <w:noWrap/>
            <w:vAlign w:val="center"/>
          </w:tcPr>
          <w:p w14:paraId="25F0284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r>
    </w:tbl>
    <w:p w14:paraId="5D0D4DF0">
      <w:pPr>
        <w:pStyle w:val="15"/>
        <w:widowControl/>
        <w:spacing w:line="240" w:lineRule="auto"/>
        <w:ind w:firstLine="0" w:firstLineChars="0"/>
        <w:rPr>
          <w:rStyle w:val="13"/>
          <w:rFonts w:hint="eastAsia" w:ascii="宋体" w:hAnsi="宋体" w:eastAsia="宋体" w:cs="宋体"/>
          <w:b/>
          <w:bCs/>
          <w:color w:val="auto"/>
          <w:kern w:val="0"/>
          <w:szCs w:val="24"/>
          <w:highlight w:val="none"/>
        </w:rPr>
      </w:pPr>
    </w:p>
    <w:p w14:paraId="582C1121">
      <w:pPr>
        <w:pStyle w:val="7"/>
        <w:rPr>
          <w:rStyle w:val="13"/>
          <w:rFonts w:hint="eastAsia" w:ascii="宋体" w:hAnsi="宋体" w:eastAsia="宋体" w:cs="宋体"/>
          <w:b/>
          <w:bCs/>
          <w:color w:val="auto"/>
          <w:kern w:val="0"/>
          <w:szCs w:val="24"/>
          <w:highlight w:val="none"/>
        </w:rPr>
      </w:pPr>
    </w:p>
    <w:p w14:paraId="7B18E56F">
      <w:pPr>
        <w:pStyle w:val="15"/>
        <w:widowControl/>
        <w:spacing w:line="240" w:lineRule="auto"/>
        <w:ind w:firstLine="0" w:firstLineChars="0"/>
        <w:rPr>
          <w:rStyle w:val="13"/>
          <w:rFonts w:hint="eastAsia" w:ascii="宋体" w:hAnsi="宋体" w:eastAsia="宋体" w:cs="宋体"/>
          <w:b/>
          <w:bCs/>
          <w:color w:val="auto"/>
          <w:kern w:val="0"/>
          <w:szCs w:val="24"/>
          <w:highlight w:val="none"/>
        </w:rPr>
      </w:pPr>
    </w:p>
    <w:p w14:paraId="4C8D87DA">
      <w:pPr>
        <w:pStyle w:val="15"/>
        <w:widowControl/>
        <w:spacing w:line="240" w:lineRule="auto"/>
        <w:ind w:firstLine="0" w:firstLineChars="0"/>
        <w:rPr>
          <w:rStyle w:val="13"/>
          <w:rFonts w:hint="eastAsia" w:ascii="宋体" w:hAnsi="宋体" w:eastAsia="宋体" w:cs="宋体"/>
          <w:b/>
          <w:bCs/>
          <w:color w:val="auto"/>
          <w:kern w:val="0"/>
          <w:szCs w:val="24"/>
          <w:highlight w:val="none"/>
        </w:rPr>
      </w:pPr>
      <w:r>
        <w:rPr>
          <w:rStyle w:val="13"/>
          <w:rFonts w:hint="eastAsia" w:ascii="宋体" w:hAnsi="宋体" w:eastAsia="宋体" w:cs="宋体"/>
          <w:b/>
          <w:bCs/>
          <w:color w:val="auto"/>
          <w:kern w:val="0"/>
          <w:szCs w:val="24"/>
          <w:highlight w:val="none"/>
        </w:rPr>
        <w:t>注：以上数量仅供参考。</w:t>
      </w:r>
    </w:p>
    <w:p w14:paraId="594C89A7">
      <w:pPr>
        <w:pStyle w:val="17"/>
        <w:rPr>
          <w:rStyle w:val="13"/>
          <w:rFonts w:hint="eastAsia" w:ascii="宋体" w:hAnsi="宋体" w:eastAsia="宋体" w:cs="宋体"/>
          <w:color w:val="auto"/>
          <w:sz w:val="32"/>
          <w:szCs w:val="32"/>
          <w:highlight w:val="none"/>
          <w:lang w:val="en-US" w:eastAsia="zh-CN"/>
        </w:rPr>
        <w:sectPr>
          <w:footnotePr>
            <w:numFmt w:val="decimalEnclosedCircleChinese"/>
            <w:numRestart w:val="eachPage"/>
          </w:footnotePr>
          <w:pgSz w:w="16840" w:h="11907" w:orient="landscape"/>
          <w:pgMar w:top="1644" w:right="1588" w:bottom="1588" w:left="1474" w:header="851" w:footer="851" w:gutter="0"/>
          <w:pgBorders>
            <w:top w:val="none" w:sz="0" w:space="0"/>
            <w:left w:val="none" w:sz="0" w:space="0"/>
            <w:bottom w:val="none" w:sz="0" w:space="0"/>
            <w:right w:val="none" w:sz="0" w:space="0"/>
          </w:pgBorders>
          <w:cols w:space="720" w:num="1"/>
        </w:sectPr>
      </w:pPr>
    </w:p>
    <w:p w14:paraId="1D1C0277">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before="312" w:beforeLines="100" w:after="312" w:afterLines="100" w:line="240" w:lineRule="auto"/>
        <w:jc w:val="center"/>
        <w:textAlignment w:val="auto"/>
        <w:rPr>
          <w:rStyle w:val="13"/>
          <w:rFonts w:hint="eastAsia" w:ascii="宋体" w:hAnsi="宋体" w:eastAsia="宋体" w:cs="宋体"/>
          <w:b/>
          <w:bCs/>
          <w:color w:val="auto"/>
          <w:kern w:val="0"/>
          <w:sz w:val="32"/>
          <w:szCs w:val="32"/>
          <w:highlight w:val="none"/>
          <w:shd w:val="clear" w:color="auto" w:fill="FFFFFF"/>
          <w:lang w:val="en-US" w:eastAsia="zh-CN"/>
        </w:rPr>
      </w:pPr>
      <w:r>
        <w:rPr>
          <w:rStyle w:val="13"/>
          <w:rFonts w:hint="eastAsia" w:ascii="宋体" w:hAnsi="宋体" w:eastAsia="宋体" w:cs="宋体"/>
          <w:color w:val="auto"/>
          <w:sz w:val="32"/>
          <w:szCs w:val="32"/>
          <w:highlight w:val="none"/>
          <w:lang w:val="en-US" w:eastAsia="zh-CN"/>
        </w:rPr>
        <w:t>许广高速茶亭互通至长沙绕城</w:t>
      </w:r>
      <w:r>
        <w:rPr>
          <w:rStyle w:val="13"/>
          <w:rFonts w:hint="eastAsia" w:ascii="宋体" w:hAnsi="宋体" w:eastAsia="宋体" w:cs="宋体"/>
          <w:color w:val="auto"/>
          <w:sz w:val="32"/>
          <w:szCs w:val="32"/>
          <w:highlight w:val="none"/>
        </w:rPr>
        <w:t>高速公路</w:t>
      </w:r>
      <w:r>
        <w:rPr>
          <w:rStyle w:val="13"/>
          <w:rFonts w:hint="eastAsia" w:ascii="宋体" w:hAnsi="宋体" w:eastAsia="宋体" w:cs="宋体"/>
          <w:color w:val="auto"/>
          <w:sz w:val="32"/>
          <w:szCs w:val="32"/>
          <w:highlight w:val="none"/>
          <w:lang w:val="en-US" w:eastAsia="zh-CN"/>
        </w:rPr>
        <w:t>桥梁一览表</w:t>
      </w:r>
    </w:p>
    <w:tbl>
      <w:tblPr>
        <w:tblStyle w:val="12"/>
        <w:tblW w:w="8758" w:type="dxa"/>
        <w:tblInd w:w="0" w:type="dxa"/>
        <w:tblLayout w:type="fixed"/>
        <w:tblCellMar>
          <w:top w:w="0" w:type="dxa"/>
          <w:left w:w="108" w:type="dxa"/>
          <w:bottom w:w="0" w:type="dxa"/>
          <w:right w:w="108" w:type="dxa"/>
        </w:tblCellMar>
      </w:tblPr>
      <w:tblGrid>
        <w:gridCol w:w="465"/>
        <w:gridCol w:w="1273"/>
        <w:gridCol w:w="1425"/>
        <w:gridCol w:w="1605"/>
        <w:gridCol w:w="1410"/>
        <w:gridCol w:w="885"/>
        <w:gridCol w:w="1695"/>
      </w:tblGrid>
      <w:tr w14:paraId="76C045DA">
        <w:tblPrEx>
          <w:tblCellMar>
            <w:top w:w="0" w:type="dxa"/>
            <w:left w:w="108" w:type="dxa"/>
            <w:bottom w:w="0" w:type="dxa"/>
            <w:right w:w="108" w:type="dxa"/>
          </w:tblCellMar>
        </w:tblPrEx>
        <w:trPr>
          <w:trHeight w:val="540" w:hRule="atLeast"/>
          <w:tblHeader/>
        </w:trPr>
        <w:tc>
          <w:tcPr>
            <w:tcW w:w="465" w:type="dxa"/>
            <w:tcBorders>
              <w:top w:val="single" w:color="auto" w:sz="4" w:space="0"/>
              <w:left w:val="single" w:color="auto" w:sz="4" w:space="0"/>
              <w:bottom w:val="single" w:color="auto" w:sz="4" w:space="0"/>
              <w:right w:val="single" w:color="auto" w:sz="4" w:space="0"/>
            </w:tcBorders>
            <w:noWrap/>
            <w:vAlign w:val="center"/>
          </w:tcPr>
          <w:p w14:paraId="166AD87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序号</w:t>
            </w:r>
          </w:p>
        </w:tc>
        <w:tc>
          <w:tcPr>
            <w:tcW w:w="1273" w:type="dxa"/>
            <w:tcBorders>
              <w:top w:val="single" w:color="auto" w:sz="4" w:space="0"/>
              <w:left w:val="nil"/>
              <w:bottom w:val="single" w:color="auto" w:sz="4" w:space="0"/>
              <w:right w:val="single" w:color="auto" w:sz="4" w:space="0"/>
            </w:tcBorders>
            <w:noWrap/>
            <w:vAlign w:val="center"/>
          </w:tcPr>
          <w:p w14:paraId="742DED8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中心桩号</w:t>
            </w:r>
          </w:p>
        </w:tc>
        <w:tc>
          <w:tcPr>
            <w:tcW w:w="1425" w:type="dxa"/>
            <w:tcBorders>
              <w:top w:val="single" w:color="auto" w:sz="4" w:space="0"/>
              <w:left w:val="nil"/>
              <w:bottom w:val="single" w:color="auto" w:sz="4" w:space="0"/>
              <w:right w:val="single" w:color="auto" w:sz="4" w:space="0"/>
            </w:tcBorders>
            <w:noWrap/>
            <w:vAlign w:val="center"/>
          </w:tcPr>
          <w:p w14:paraId="5340311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桥名</w:t>
            </w:r>
          </w:p>
        </w:tc>
        <w:tc>
          <w:tcPr>
            <w:tcW w:w="1605" w:type="dxa"/>
            <w:tcBorders>
              <w:top w:val="single" w:color="auto" w:sz="4" w:space="0"/>
              <w:left w:val="nil"/>
              <w:bottom w:val="single" w:color="auto" w:sz="4" w:space="0"/>
              <w:right w:val="single" w:color="auto" w:sz="4" w:space="0"/>
            </w:tcBorders>
            <w:noWrap/>
            <w:vAlign w:val="center"/>
          </w:tcPr>
          <w:p w14:paraId="07B4D01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孔跨</w:t>
            </w:r>
          </w:p>
        </w:tc>
        <w:tc>
          <w:tcPr>
            <w:tcW w:w="1410" w:type="dxa"/>
            <w:tcBorders>
              <w:top w:val="single" w:color="auto" w:sz="4" w:space="0"/>
              <w:left w:val="nil"/>
              <w:bottom w:val="single" w:color="auto" w:sz="4" w:space="0"/>
              <w:right w:val="single" w:color="auto" w:sz="4" w:space="0"/>
            </w:tcBorders>
            <w:noWrap w:val="0"/>
            <w:vAlign w:val="center"/>
          </w:tcPr>
          <w:p w14:paraId="6AE7293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桥宽(m)</w:t>
            </w:r>
          </w:p>
        </w:tc>
        <w:tc>
          <w:tcPr>
            <w:tcW w:w="885" w:type="dxa"/>
            <w:tcBorders>
              <w:top w:val="single" w:color="auto" w:sz="4" w:space="0"/>
              <w:left w:val="nil"/>
              <w:bottom w:val="single" w:color="auto" w:sz="4" w:space="0"/>
              <w:right w:val="single" w:color="auto" w:sz="4" w:space="0"/>
            </w:tcBorders>
            <w:noWrap w:val="0"/>
            <w:vAlign w:val="center"/>
          </w:tcPr>
          <w:p w14:paraId="73382B3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桥长(m)</w:t>
            </w:r>
          </w:p>
        </w:tc>
        <w:tc>
          <w:tcPr>
            <w:tcW w:w="1695" w:type="dxa"/>
            <w:tcBorders>
              <w:top w:val="single" w:color="auto" w:sz="4" w:space="0"/>
              <w:left w:val="nil"/>
              <w:bottom w:val="single" w:color="auto" w:sz="4" w:space="0"/>
              <w:right w:val="single" w:color="auto" w:sz="4" w:space="0"/>
            </w:tcBorders>
            <w:noWrap w:val="0"/>
            <w:vAlign w:val="center"/>
          </w:tcPr>
          <w:p w14:paraId="59A78A3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结构类型</w:t>
            </w:r>
          </w:p>
        </w:tc>
      </w:tr>
      <w:tr w14:paraId="1E08F4B9">
        <w:tblPrEx>
          <w:tblCellMar>
            <w:top w:w="0" w:type="dxa"/>
            <w:left w:w="108" w:type="dxa"/>
            <w:bottom w:w="0" w:type="dxa"/>
            <w:right w:w="108" w:type="dxa"/>
          </w:tblCellMar>
        </w:tblPrEx>
        <w:trPr>
          <w:trHeight w:val="1080" w:hRule="atLeast"/>
        </w:trPr>
        <w:tc>
          <w:tcPr>
            <w:tcW w:w="465" w:type="dxa"/>
            <w:tcBorders>
              <w:top w:val="nil"/>
              <w:left w:val="single" w:color="auto" w:sz="4" w:space="0"/>
              <w:bottom w:val="single" w:color="000000" w:sz="4" w:space="0"/>
              <w:right w:val="single" w:color="auto" w:sz="4" w:space="0"/>
            </w:tcBorders>
            <w:noWrap/>
            <w:vAlign w:val="center"/>
          </w:tcPr>
          <w:p w14:paraId="765940E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p>
        </w:tc>
        <w:tc>
          <w:tcPr>
            <w:tcW w:w="1273" w:type="dxa"/>
            <w:tcBorders>
              <w:top w:val="nil"/>
              <w:left w:val="nil"/>
              <w:bottom w:val="single" w:color="auto" w:sz="4" w:space="0"/>
              <w:right w:val="single" w:color="auto" w:sz="4" w:space="0"/>
            </w:tcBorders>
            <w:noWrap/>
            <w:vAlign w:val="center"/>
          </w:tcPr>
          <w:p w14:paraId="1DB2E7B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K1+444.20</w:t>
            </w:r>
          </w:p>
        </w:tc>
        <w:tc>
          <w:tcPr>
            <w:tcW w:w="1425" w:type="dxa"/>
            <w:tcBorders>
              <w:top w:val="nil"/>
              <w:left w:val="nil"/>
              <w:bottom w:val="single" w:color="auto" w:sz="4" w:space="0"/>
              <w:right w:val="single" w:color="auto" w:sz="4" w:space="0"/>
            </w:tcBorders>
            <w:noWrap w:val="0"/>
            <w:vAlign w:val="center"/>
          </w:tcPr>
          <w:p w14:paraId="14E9914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芙蓉北大道跨线桥</w:t>
            </w:r>
          </w:p>
        </w:tc>
        <w:tc>
          <w:tcPr>
            <w:tcW w:w="1605" w:type="dxa"/>
            <w:tcBorders>
              <w:top w:val="nil"/>
              <w:left w:val="nil"/>
              <w:bottom w:val="single" w:color="auto" w:sz="4" w:space="0"/>
              <w:right w:val="single" w:color="auto" w:sz="4" w:space="0"/>
            </w:tcBorders>
            <w:noWrap/>
            <w:vAlign w:val="center"/>
          </w:tcPr>
          <w:p w14:paraId="634A9CB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11</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208468E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0"/>
            <w:vAlign w:val="center"/>
          </w:tcPr>
          <w:p w14:paraId="1943C9D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336</w:t>
            </w:r>
          </w:p>
        </w:tc>
        <w:tc>
          <w:tcPr>
            <w:tcW w:w="1695" w:type="dxa"/>
            <w:tcBorders>
              <w:top w:val="nil"/>
              <w:left w:val="nil"/>
              <w:bottom w:val="single" w:color="auto" w:sz="4" w:space="0"/>
              <w:right w:val="single" w:color="auto" w:sz="4" w:space="0"/>
            </w:tcBorders>
            <w:noWrap w:val="0"/>
            <w:vAlign w:val="center"/>
          </w:tcPr>
          <w:p w14:paraId="6762032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1343041A">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4F758A3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p>
        </w:tc>
        <w:tc>
          <w:tcPr>
            <w:tcW w:w="1273" w:type="dxa"/>
            <w:tcBorders>
              <w:top w:val="nil"/>
              <w:left w:val="nil"/>
              <w:bottom w:val="single" w:color="auto" w:sz="4" w:space="0"/>
              <w:right w:val="single" w:color="auto" w:sz="4" w:space="0"/>
            </w:tcBorders>
            <w:noWrap/>
            <w:vAlign w:val="center"/>
          </w:tcPr>
          <w:p w14:paraId="3335263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014</w:t>
            </w:r>
          </w:p>
        </w:tc>
        <w:tc>
          <w:tcPr>
            <w:tcW w:w="1425" w:type="dxa"/>
            <w:tcBorders>
              <w:top w:val="nil"/>
              <w:left w:val="nil"/>
              <w:bottom w:val="single" w:color="auto" w:sz="4" w:space="0"/>
              <w:right w:val="single" w:color="auto" w:sz="4" w:space="0"/>
            </w:tcBorders>
            <w:noWrap w:val="0"/>
            <w:vAlign w:val="center"/>
          </w:tcPr>
          <w:p w14:paraId="7315147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茶亭互通主线桥</w:t>
            </w:r>
          </w:p>
        </w:tc>
        <w:tc>
          <w:tcPr>
            <w:tcW w:w="1605" w:type="dxa"/>
            <w:tcBorders>
              <w:top w:val="nil"/>
              <w:left w:val="nil"/>
              <w:bottom w:val="single" w:color="auto" w:sz="4" w:space="0"/>
              <w:right w:val="single" w:color="auto" w:sz="4" w:space="0"/>
            </w:tcBorders>
            <w:noWrap/>
            <w:vAlign w:val="center"/>
          </w:tcPr>
          <w:p w14:paraId="6B768DB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40DE24F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16.75/20.75</w:t>
            </w:r>
          </w:p>
        </w:tc>
        <w:tc>
          <w:tcPr>
            <w:tcW w:w="885" w:type="dxa"/>
            <w:tcBorders>
              <w:top w:val="nil"/>
              <w:left w:val="nil"/>
              <w:bottom w:val="single" w:color="auto" w:sz="4" w:space="0"/>
              <w:right w:val="single" w:color="auto" w:sz="4" w:space="0"/>
            </w:tcBorders>
            <w:noWrap/>
            <w:vAlign w:val="center"/>
          </w:tcPr>
          <w:p w14:paraId="06CC95D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96</w:t>
            </w:r>
          </w:p>
        </w:tc>
        <w:tc>
          <w:tcPr>
            <w:tcW w:w="1695" w:type="dxa"/>
            <w:tcBorders>
              <w:top w:val="nil"/>
              <w:left w:val="nil"/>
              <w:bottom w:val="single" w:color="auto" w:sz="4" w:space="0"/>
              <w:right w:val="single" w:color="auto" w:sz="4" w:space="0"/>
            </w:tcBorders>
            <w:noWrap w:val="0"/>
            <w:vAlign w:val="center"/>
          </w:tcPr>
          <w:p w14:paraId="130A576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1323B151">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72A2127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p>
        </w:tc>
        <w:tc>
          <w:tcPr>
            <w:tcW w:w="1273" w:type="dxa"/>
            <w:tcBorders>
              <w:top w:val="nil"/>
              <w:left w:val="nil"/>
              <w:bottom w:val="single" w:color="auto" w:sz="4" w:space="0"/>
              <w:right w:val="single" w:color="auto" w:sz="4" w:space="0"/>
            </w:tcBorders>
            <w:noWrap/>
            <w:vAlign w:val="center"/>
          </w:tcPr>
          <w:p w14:paraId="1F5C8F4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112</w:t>
            </w:r>
          </w:p>
        </w:tc>
        <w:tc>
          <w:tcPr>
            <w:tcW w:w="1425" w:type="dxa"/>
            <w:tcBorders>
              <w:top w:val="nil"/>
              <w:left w:val="nil"/>
              <w:bottom w:val="single" w:color="auto" w:sz="4" w:space="0"/>
              <w:right w:val="single" w:color="auto" w:sz="4" w:space="0"/>
            </w:tcBorders>
            <w:noWrap w:val="0"/>
            <w:vAlign w:val="center"/>
          </w:tcPr>
          <w:p w14:paraId="16FB4B5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黄金村中桥</w:t>
            </w:r>
          </w:p>
        </w:tc>
        <w:tc>
          <w:tcPr>
            <w:tcW w:w="1605" w:type="dxa"/>
            <w:tcBorders>
              <w:top w:val="nil"/>
              <w:left w:val="nil"/>
              <w:bottom w:val="single" w:color="auto" w:sz="4" w:space="0"/>
              <w:right w:val="single" w:color="auto" w:sz="4" w:space="0"/>
            </w:tcBorders>
            <w:noWrap/>
            <w:vAlign w:val="center"/>
          </w:tcPr>
          <w:p w14:paraId="7AFD4B5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7A487BC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155AF38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96</w:t>
            </w:r>
          </w:p>
        </w:tc>
        <w:tc>
          <w:tcPr>
            <w:tcW w:w="1695" w:type="dxa"/>
            <w:tcBorders>
              <w:top w:val="nil"/>
              <w:left w:val="nil"/>
              <w:bottom w:val="single" w:color="auto" w:sz="4" w:space="0"/>
              <w:right w:val="single" w:color="auto" w:sz="4" w:space="0"/>
            </w:tcBorders>
            <w:noWrap w:val="0"/>
            <w:vAlign w:val="center"/>
          </w:tcPr>
          <w:p w14:paraId="4407370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646656E5">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2C052DC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4</w:t>
            </w:r>
          </w:p>
        </w:tc>
        <w:tc>
          <w:tcPr>
            <w:tcW w:w="1273" w:type="dxa"/>
            <w:tcBorders>
              <w:top w:val="nil"/>
              <w:left w:val="nil"/>
              <w:bottom w:val="single" w:color="auto" w:sz="4" w:space="0"/>
              <w:right w:val="single" w:color="auto" w:sz="4" w:space="0"/>
            </w:tcBorders>
            <w:noWrap/>
            <w:vAlign w:val="center"/>
          </w:tcPr>
          <w:p w14:paraId="3CB1DBE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4</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923</w:t>
            </w:r>
          </w:p>
        </w:tc>
        <w:tc>
          <w:tcPr>
            <w:tcW w:w="1425" w:type="dxa"/>
            <w:tcBorders>
              <w:top w:val="nil"/>
              <w:left w:val="nil"/>
              <w:bottom w:val="single" w:color="auto" w:sz="4" w:space="0"/>
              <w:right w:val="single" w:color="auto" w:sz="4" w:space="0"/>
            </w:tcBorders>
            <w:noWrap w:val="0"/>
            <w:vAlign w:val="center"/>
          </w:tcPr>
          <w:p w14:paraId="314B874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易家坳大桥</w:t>
            </w:r>
          </w:p>
        </w:tc>
        <w:tc>
          <w:tcPr>
            <w:tcW w:w="1605" w:type="dxa"/>
            <w:tcBorders>
              <w:top w:val="nil"/>
              <w:left w:val="nil"/>
              <w:bottom w:val="single" w:color="auto" w:sz="4" w:space="0"/>
              <w:right w:val="single" w:color="auto" w:sz="4" w:space="0"/>
            </w:tcBorders>
            <w:noWrap/>
            <w:vAlign w:val="center"/>
          </w:tcPr>
          <w:p w14:paraId="095206B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20+3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30+7</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20</w:t>
            </w:r>
          </w:p>
        </w:tc>
        <w:tc>
          <w:tcPr>
            <w:tcW w:w="1410" w:type="dxa"/>
            <w:tcBorders>
              <w:top w:val="nil"/>
              <w:left w:val="nil"/>
              <w:bottom w:val="single" w:color="auto" w:sz="4" w:space="0"/>
              <w:right w:val="single" w:color="auto" w:sz="4" w:space="0"/>
            </w:tcBorders>
            <w:noWrap/>
            <w:vAlign w:val="center"/>
          </w:tcPr>
          <w:p w14:paraId="5F6776E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6F1D6CA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296</w:t>
            </w:r>
          </w:p>
        </w:tc>
        <w:tc>
          <w:tcPr>
            <w:tcW w:w="1695" w:type="dxa"/>
            <w:tcBorders>
              <w:top w:val="nil"/>
              <w:left w:val="nil"/>
              <w:bottom w:val="single" w:color="auto" w:sz="4" w:space="0"/>
              <w:right w:val="single" w:color="auto" w:sz="4" w:space="0"/>
            </w:tcBorders>
            <w:noWrap w:val="0"/>
            <w:vAlign w:val="center"/>
          </w:tcPr>
          <w:p w14:paraId="7F63404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445E432E">
        <w:tblPrEx>
          <w:tblCellMar>
            <w:top w:w="0" w:type="dxa"/>
            <w:left w:w="108" w:type="dxa"/>
            <w:bottom w:w="0" w:type="dxa"/>
            <w:right w:w="108" w:type="dxa"/>
          </w:tblCellMar>
        </w:tblPrEx>
        <w:trPr>
          <w:trHeight w:val="540" w:hRule="atLeast"/>
        </w:trPr>
        <w:tc>
          <w:tcPr>
            <w:tcW w:w="465" w:type="dxa"/>
            <w:vMerge w:val="restart"/>
            <w:tcBorders>
              <w:top w:val="nil"/>
              <w:left w:val="single" w:color="auto" w:sz="4" w:space="0"/>
              <w:right w:val="single" w:color="auto" w:sz="4" w:space="0"/>
            </w:tcBorders>
            <w:noWrap/>
            <w:vAlign w:val="center"/>
          </w:tcPr>
          <w:p w14:paraId="449498A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5</w:t>
            </w:r>
          </w:p>
        </w:tc>
        <w:tc>
          <w:tcPr>
            <w:tcW w:w="1273" w:type="dxa"/>
            <w:vMerge w:val="restart"/>
            <w:tcBorders>
              <w:top w:val="nil"/>
              <w:left w:val="nil"/>
              <w:right w:val="single" w:color="auto" w:sz="4" w:space="0"/>
            </w:tcBorders>
            <w:noWrap/>
            <w:vAlign w:val="center"/>
          </w:tcPr>
          <w:p w14:paraId="4E7D7B9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9</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226.87</w:t>
            </w:r>
          </w:p>
        </w:tc>
        <w:tc>
          <w:tcPr>
            <w:tcW w:w="1425" w:type="dxa"/>
            <w:tcBorders>
              <w:top w:val="single" w:color="auto" w:sz="4" w:space="0"/>
              <w:left w:val="nil"/>
              <w:bottom w:val="single" w:color="auto" w:sz="4" w:space="0"/>
              <w:right w:val="single" w:color="auto" w:sz="4" w:space="0"/>
            </w:tcBorders>
            <w:noWrap w:val="0"/>
            <w:vAlign w:val="center"/>
          </w:tcPr>
          <w:p w14:paraId="2A1F19B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黄桥大道跨线桥（左）</w:t>
            </w:r>
          </w:p>
        </w:tc>
        <w:tc>
          <w:tcPr>
            <w:tcW w:w="1605" w:type="dxa"/>
            <w:tcBorders>
              <w:top w:val="nil"/>
              <w:left w:val="nil"/>
              <w:bottom w:val="single" w:color="auto" w:sz="4" w:space="0"/>
              <w:right w:val="single" w:color="auto" w:sz="4" w:space="0"/>
            </w:tcBorders>
            <w:noWrap/>
            <w:vAlign w:val="center"/>
          </w:tcPr>
          <w:p w14:paraId="2858453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(30+2</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29.6+30)+10</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5C1E604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2915FD1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432.2</w:t>
            </w:r>
          </w:p>
        </w:tc>
        <w:tc>
          <w:tcPr>
            <w:tcW w:w="1695" w:type="dxa"/>
            <w:tcBorders>
              <w:top w:val="nil"/>
              <w:left w:val="nil"/>
              <w:bottom w:val="single" w:color="auto" w:sz="4" w:space="0"/>
              <w:right w:val="single" w:color="auto" w:sz="4" w:space="0"/>
            </w:tcBorders>
            <w:noWrap w:val="0"/>
            <w:vAlign w:val="center"/>
          </w:tcPr>
          <w:p w14:paraId="21BD539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3E156EA8">
        <w:tblPrEx>
          <w:tblCellMar>
            <w:top w:w="0" w:type="dxa"/>
            <w:left w:w="108" w:type="dxa"/>
            <w:bottom w:w="0" w:type="dxa"/>
            <w:right w:w="108" w:type="dxa"/>
          </w:tblCellMar>
        </w:tblPrEx>
        <w:trPr>
          <w:trHeight w:val="540" w:hRule="atLeast"/>
        </w:trPr>
        <w:tc>
          <w:tcPr>
            <w:tcW w:w="465" w:type="dxa"/>
            <w:vMerge w:val="continue"/>
            <w:tcBorders>
              <w:left w:val="single" w:color="auto" w:sz="4" w:space="0"/>
              <w:bottom w:val="single" w:color="auto" w:sz="4" w:space="0"/>
              <w:right w:val="single" w:color="auto" w:sz="4" w:space="0"/>
            </w:tcBorders>
            <w:noWrap/>
            <w:vAlign w:val="center"/>
          </w:tcPr>
          <w:p w14:paraId="7503D409">
            <w:pPr>
              <w:pStyle w:val="11"/>
              <w:widowControl/>
              <w:jc w:val="center"/>
              <w:rPr>
                <w:rStyle w:val="13"/>
                <w:rFonts w:hint="eastAsia" w:ascii="宋体" w:hAnsi="宋体" w:eastAsia="宋体" w:cs="宋体"/>
                <w:color w:val="auto"/>
                <w:kern w:val="0"/>
                <w:szCs w:val="21"/>
                <w:highlight w:val="none"/>
              </w:rPr>
            </w:pPr>
          </w:p>
        </w:tc>
        <w:tc>
          <w:tcPr>
            <w:tcW w:w="1273" w:type="dxa"/>
            <w:vMerge w:val="continue"/>
            <w:tcBorders>
              <w:left w:val="nil"/>
              <w:bottom w:val="single" w:color="auto" w:sz="4" w:space="0"/>
              <w:right w:val="single" w:color="auto" w:sz="4" w:space="0"/>
            </w:tcBorders>
            <w:noWrap/>
            <w:vAlign w:val="center"/>
          </w:tcPr>
          <w:p w14:paraId="00E11060">
            <w:pPr>
              <w:pStyle w:val="11"/>
              <w:widowControl/>
              <w:jc w:val="center"/>
              <w:rPr>
                <w:rStyle w:val="13"/>
                <w:rFonts w:hint="eastAsia" w:ascii="宋体" w:hAnsi="宋体" w:eastAsia="宋体" w:cs="宋体"/>
                <w:color w:val="auto"/>
                <w:kern w:val="0"/>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220ACB9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黄桥大道跨线桥（右）</w:t>
            </w:r>
          </w:p>
        </w:tc>
        <w:tc>
          <w:tcPr>
            <w:tcW w:w="1605" w:type="dxa"/>
            <w:tcBorders>
              <w:top w:val="nil"/>
              <w:left w:val="nil"/>
              <w:bottom w:val="single" w:color="auto" w:sz="4" w:space="0"/>
              <w:right w:val="single" w:color="auto" w:sz="4" w:space="0"/>
            </w:tcBorders>
            <w:noWrap/>
            <w:vAlign w:val="center"/>
          </w:tcPr>
          <w:p w14:paraId="1A43102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4</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30+10</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30.1</w:t>
            </w:r>
          </w:p>
        </w:tc>
        <w:tc>
          <w:tcPr>
            <w:tcW w:w="1410" w:type="dxa"/>
            <w:tcBorders>
              <w:top w:val="nil"/>
              <w:left w:val="nil"/>
              <w:bottom w:val="single" w:color="auto" w:sz="4" w:space="0"/>
              <w:right w:val="single" w:color="auto" w:sz="4" w:space="0"/>
            </w:tcBorders>
            <w:noWrap/>
            <w:vAlign w:val="center"/>
          </w:tcPr>
          <w:p w14:paraId="26A7A2C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6.75</w:t>
            </w:r>
          </w:p>
        </w:tc>
        <w:tc>
          <w:tcPr>
            <w:tcW w:w="885" w:type="dxa"/>
            <w:tcBorders>
              <w:top w:val="nil"/>
              <w:left w:val="nil"/>
              <w:bottom w:val="single" w:color="auto" w:sz="4" w:space="0"/>
              <w:right w:val="single" w:color="auto" w:sz="4" w:space="0"/>
            </w:tcBorders>
            <w:noWrap/>
            <w:vAlign w:val="center"/>
          </w:tcPr>
          <w:p w14:paraId="2FB8E45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4</w:t>
            </w:r>
            <w:r>
              <w:rPr>
                <w:rStyle w:val="13"/>
                <w:rFonts w:hint="eastAsia" w:ascii="宋体" w:hAnsi="宋体" w:eastAsia="宋体" w:cs="宋体"/>
                <w:color w:val="auto"/>
                <w:kern w:val="0"/>
                <w:szCs w:val="21"/>
                <w:highlight w:val="none"/>
              </w:rPr>
              <w:t>34</w:t>
            </w:r>
          </w:p>
        </w:tc>
        <w:tc>
          <w:tcPr>
            <w:tcW w:w="1695" w:type="dxa"/>
            <w:tcBorders>
              <w:top w:val="nil"/>
              <w:left w:val="nil"/>
              <w:bottom w:val="single" w:color="auto" w:sz="4" w:space="0"/>
              <w:right w:val="single" w:color="auto" w:sz="4" w:space="0"/>
            </w:tcBorders>
            <w:noWrap w:val="0"/>
            <w:vAlign w:val="center"/>
          </w:tcPr>
          <w:p w14:paraId="0FA0CCB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599101E6">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0F1CC03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6</w:t>
            </w:r>
          </w:p>
        </w:tc>
        <w:tc>
          <w:tcPr>
            <w:tcW w:w="1273" w:type="dxa"/>
            <w:tcBorders>
              <w:top w:val="nil"/>
              <w:left w:val="nil"/>
              <w:bottom w:val="single" w:color="auto" w:sz="4" w:space="0"/>
              <w:right w:val="single" w:color="auto" w:sz="4" w:space="0"/>
            </w:tcBorders>
            <w:noWrap/>
            <w:vAlign w:val="center"/>
          </w:tcPr>
          <w:p w14:paraId="05340A5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10</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902</w:t>
            </w:r>
          </w:p>
        </w:tc>
        <w:tc>
          <w:tcPr>
            <w:tcW w:w="1425" w:type="dxa"/>
            <w:tcBorders>
              <w:top w:val="nil"/>
              <w:left w:val="nil"/>
              <w:bottom w:val="single" w:color="auto" w:sz="4" w:space="0"/>
              <w:right w:val="single" w:color="auto" w:sz="4" w:space="0"/>
            </w:tcBorders>
            <w:noWrap w:val="0"/>
            <w:vAlign w:val="center"/>
          </w:tcPr>
          <w:p w14:paraId="2E14777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沙河大桥</w:t>
            </w:r>
          </w:p>
        </w:tc>
        <w:tc>
          <w:tcPr>
            <w:tcW w:w="1605" w:type="dxa"/>
            <w:tcBorders>
              <w:top w:val="nil"/>
              <w:left w:val="nil"/>
              <w:bottom w:val="single" w:color="auto" w:sz="4" w:space="0"/>
              <w:right w:val="single" w:color="auto" w:sz="4" w:space="0"/>
            </w:tcBorders>
            <w:noWrap/>
            <w:vAlign w:val="center"/>
          </w:tcPr>
          <w:p w14:paraId="5B2D7A7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10</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30+2</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70+3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30+20+2</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30+20</w:t>
            </w:r>
          </w:p>
        </w:tc>
        <w:tc>
          <w:tcPr>
            <w:tcW w:w="1410" w:type="dxa"/>
            <w:tcBorders>
              <w:top w:val="nil"/>
              <w:left w:val="nil"/>
              <w:bottom w:val="single" w:color="auto" w:sz="4" w:space="0"/>
              <w:right w:val="single" w:color="auto" w:sz="4" w:space="0"/>
            </w:tcBorders>
            <w:noWrap/>
            <w:vAlign w:val="center"/>
          </w:tcPr>
          <w:p w14:paraId="2CF20B4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39A6E94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636</w:t>
            </w:r>
          </w:p>
        </w:tc>
        <w:tc>
          <w:tcPr>
            <w:tcW w:w="1695" w:type="dxa"/>
            <w:tcBorders>
              <w:top w:val="nil"/>
              <w:left w:val="nil"/>
              <w:bottom w:val="single" w:color="auto" w:sz="4" w:space="0"/>
              <w:right w:val="single" w:color="auto" w:sz="4" w:space="0"/>
            </w:tcBorders>
            <w:noWrap w:val="0"/>
            <w:vAlign w:val="center"/>
          </w:tcPr>
          <w:p w14:paraId="74F584A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预应力砼小箱梁、转体刚构</w:t>
            </w:r>
          </w:p>
        </w:tc>
      </w:tr>
      <w:tr w14:paraId="29852FBC">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61A93B0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7</w:t>
            </w:r>
          </w:p>
        </w:tc>
        <w:tc>
          <w:tcPr>
            <w:tcW w:w="1273" w:type="dxa"/>
            <w:tcBorders>
              <w:top w:val="nil"/>
              <w:left w:val="nil"/>
              <w:bottom w:val="single" w:color="auto" w:sz="4" w:space="0"/>
              <w:right w:val="single" w:color="auto" w:sz="4" w:space="0"/>
            </w:tcBorders>
            <w:noWrap/>
            <w:vAlign w:val="center"/>
          </w:tcPr>
          <w:p w14:paraId="3E65774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11</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778.3</w:t>
            </w:r>
          </w:p>
        </w:tc>
        <w:tc>
          <w:tcPr>
            <w:tcW w:w="1425" w:type="dxa"/>
            <w:tcBorders>
              <w:top w:val="nil"/>
              <w:left w:val="nil"/>
              <w:bottom w:val="single" w:color="auto" w:sz="4" w:space="0"/>
              <w:right w:val="single" w:color="auto" w:sz="4" w:space="0"/>
            </w:tcBorders>
            <w:noWrap w:val="0"/>
            <w:vAlign w:val="center"/>
          </w:tcPr>
          <w:p w14:paraId="65865A3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桥驿互通主线一号桥</w:t>
            </w:r>
          </w:p>
        </w:tc>
        <w:tc>
          <w:tcPr>
            <w:tcW w:w="1605" w:type="dxa"/>
            <w:tcBorders>
              <w:top w:val="nil"/>
              <w:left w:val="nil"/>
              <w:bottom w:val="single" w:color="auto" w:sz="4" w:space="0"/>
              <w:right w:val="single" w:color="auto" w:sz="4" w:space="0"/>
            </w:tcBorders>
            <w:noWrap/>
            <w:vAlign w:val="center"/>
          </w:tcPr>
          <w:p w14:paraId="5927CC4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2C5CDB9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16.75/20.75</w:t>
            </w:r>
          </w:p>
        </w:tc>
        <w:tc>
          <w:tcPr>
            <w:tcW w:w="885" w:type="dxa"/>
            <w:tcBorders>
              <w:top w:val="nil"/>
              <w:left w:val="nil"/>
              <w:bottom w:val="single" w:color="auto" w:sz="4" w:space="0"/>
              <w:right w:val="single" w:color="auto" w:sz="4" w:space="0"/>
            </w:tcBorders>
            <w:noWrap/>
            <w:vAlign w:val="center"/>
          </w:tcPr>
          <w:p w14:paraId="1B9DB74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w:t>
            </w:r>
            <w:r>
              <w:rPr>
                <w:rStyle w:val="13"/>
                <w:rFonts w:hint="eastAsia" w:ascii="宋体" w:hAnsi="宋体" w:eastAsia="宋体" w:cs="宋体"/>
                <w:color w:val="auto"/>
                <w:kern w:val="0"/>
                <w:szCs w:val="21"/>
                <w:highlight w:val="none"/>
              </w:rPr>
              <w:t>6</w:t>
            </w:r>
          </w:p>
        </w:tc>
        <w:tc>
          <w:tcPr>
            <w:tcW w:w="1695" w:type="dxa"/>
            <w:tcBorders>
              <w:top w:val="nil"/>
              <w:left w:val="nil"/>
              <w:bottom w:val="single" w:color="auto" w:sz="4" w:space="0"/>
              <w:right w:val="single" w:color="auto" w:sz="4" w:space="0"/>
            </w:tcBorders>
            <w:noWrap w:val="0"/>
            <w:vAlign w:val="center"/>
          </w:tcPr>
          <w:p w14:paraId="76D073F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0466A9B6">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12B7284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8</w:t>
            </w:r>
          </w:p>
        </w:tc>
        <w:tc>
          <w:tcPr>
            <w:tcW w:w="1273" w:type="dxa"/>
            <w:tcBorders>
              <w:top w:val="nil"/>
              <w:left w:val="nil"/>
              <w:bottom w:val="single" w:color="auto" w:sz="4" w:space="0"/>
              <w:right w:val="single" w:color="auto" w:sz="4" w:space="0"/>
            </w:tcBorders>
            <w:noWrap/>
            <w:vAlign w:val="center"/>
          </w:tcPr>
          <w:p w14:paraId="443742E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11+961</w:t>
            </w:r>
          </w:p>
        </w:tc>
        <w:tc>
          <w:tcPr>
            <w:tcW w:w="1425" w:type="dxa"/>
            <w:tcBorders>
              <w:top w:val="nil"/>
              <w:left w:val="nil"/>
              <w:bottom w:val="single" w:color="auto" w:sz="4" w:space="0"/>
              <w:right w:val="single" w:color="auto" w:sz="4" w:space="0"/>
            </w:tcBorders>
            <w:noWrap w:val="0"/>
            <w:vAlign w:val="center"/>
          </w:tcPr>
          <w:p w14:paraId="2D11C75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桥驿互通主线二号桥</w:t>
            </w:r>
          </w:p>
        </w:tc>
        <w:tc>
          <w:tcPr>
            <w:tcW w:w="1605" w:type="dxa"/>
            <w:tcBorders>
              <w:top w:val="nil"/>
              <w:left w:val="nil"/>
              <w:bottom w:val="single" w:color="auto" w:sz="4" w:space="0"/>
              <w:right w:val="single" w:color="auto" w:sz="4" w:space="0"/>
            </w:tcBorders>
            <w:noWrap/>
            <w:vAlign w:val="center"/>
          </w:tcPr>
          <w:p w14:paraId="2C8B951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0</w:t>
            </w:r>
          </w:p>
        </w:tc>
        <w:tc>
          <w:tcPr>
            <w:tcW w:w="1410" w:type="dxa"/>
            <w:tcBorders>
              <w:top w:val="nil"/>
              <w:left w:val="nil"/>
              <w:bottom w:val="single" w:color="auto" w:sz="4" w:space="0"/>
              <w:right w:val="single" w:color="auto" w:sz="4" w:space="0"/>
            </w:tcBorders>
            <w:noWrap/>
            <w:vAlign w:val="center"/>
          </w:tcPr>
          <w:p w14:paraId="3B48E8A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变宽</w:t>
            </w:r>
          </w:p>
        </w:tc>
        <w:tc>
          <w:tcPr>
            <w:tcW w:w="885" w:type="dxa"/>
            <w:tcBorders>
              <w:top w:val="nil"/>
              <w:left w:val="nil"/>
              <w:bottom w:val="single" w:color="auto" w:sz="4" w:space="0"/>
              <w:right w:val="single" w:color="auto" w:sz="4" w:space="0"/>
            </w:tcBorders>
            <w:noWrap/>
            <w:vAlign w:val="center"/>
          </w:tcPr>
          <w:p w14:paraId="13DB574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5</w:t>
            </w:r>
            <w:r>
              <w:rPr>
                <w:rStyle w:val="13"/>
                <w:rFonts w:hint="eastAsia" w:ascii="宋体" w:hAnsi="宋体" w:eastAsia="宋体" w:cs="宋体"/>
                <w:color w:val="auto"/>
                <w:kern w:val="0"/>
                <w:szCs w:val="21"/>
                <w:highlight w:val="none"/>
              </w:rPr>
              <w:t>4</w:t>
            </w:r>
          </w:p>
        </w:tc>
        <w:tc>
          <w:tcPr>
            <w:tcW w:w="1695" w:type="dxa"/>
            <w:tcBorders>
              <w:top w:val="nil"/>
              <w:left w:val="nil"/>
              <w:bottom w:val="single" w:color="auto" w:sz="4" w:space="0"/>
              <w:right w:val="single" w:color="auto" w:sz="4" w:space="0"/>
            </w:tcBorders>
            <w:noWrap w:val="0"/>
            <w:vAlign w:val="center"/>
          </w:tcPr>
          <w:p w14:paraId="459AE8F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40899523">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58E20C2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w:t>
            </w:r>
          </w:p>
        </w:tc>
        <w:tc>
          <w:tcPr>
            <w:tcW w:w="1273" w:type="dxa"/>
            <w:tcBorders>
              <w:top w:val="nil"/>
              <w:left w:val="nil"/>
              <w:bottom w:val="single" w:color="auto" w:sz="4" w:space="0"/>
              <w:right w:val="single" w:color="auto" w:sz="4" w:space="0"/>
            </w:tcBorders>
            <w:noWrap/>
            <w:vAlign w:val="center"/>
          </w:tcPr>
          <w:p w14:paraId="33A41D9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12+395</w:t>
            </w:r>
          </w:p>
        </w:tc>
        <w:tc>
          <w:tcPr>
            <w:tcW w:w="1425" w:type="dxa"/>
            <w:tcBorders>
              <w:top w:val="nil"/>
              <w:left w:val="nil"/>
              <w:bottom w:val="single" w:color="auto" w:sz="4" w:space="0"/>
              <w:right w:val="single" w:color="auto" w:sz="4" w:space="0"/>
            </w:tcBorders>
            <w:noWrap w:val="0"/>
            <w:vAlign w:val="center"/>
          </w:tcPr>
          <w:p w14:paraId="254880E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桥驿互通主线三号桥</w:t>
            </w:r>
          </w:p>
        </w:tc>
        <w:tc>
          <w:tcPr>
            <w:tcW w:w="1605" w:type="dxa"/>
            <w:tcBorders>
              <w:top w:val="nil"/>
              <w:left w:val="nil"/>
              <w:bottom w:val="single" w:color="auto" w:sz="4" w:space="0"/>
              <w:right w:val="single" w:color="auto" w:sz="4" w:space="0"/>
            </w:tcBorders>
            <w:noWrap/>
            <w:vAlign w:val="center"/>
          </w:tcPr>
          <w:p w14:paraId="4744FD4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8</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085425E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变宽</w:t>
            </w:r>
          </w:p>
        </w:tc>
        <w:tc>
          <w:tcPr>
            <w:tcW w:w="885" w:type="dxa"/>
            <w:tcBorders>
              <w:top w:val="nil"/>
              <w:left w:val="nil"/>
              <w:bottom w:val="single" w:color="auto" w:sz="4" w:space="0"/>
              <w:right w:val="single" w:color="auto" w:sz="4" w:space="0"/>
            </w:tcBorders>
            <w:noWrap/>
            <w:vAlign w:val="center"/>
          </w:tcPr>
          <w:p w14:paraId="3A95A66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43</w:t>
            </w:r>
          </w:p>
        </w:tc>
        <w:tc>
          <w:tcPr>
            <w:tcW w:w="1695" w:type="dxa"/>
            <w:tcBorders>
              <w:top w:val="nil"/>
              <w:left w:val="nil"/>
              <w:bottom w:val="single" w:color="auto" w:sz="4" w:space="0"/>
              <w:right w:val="single" w:color="auto" w:sz="4" w:space="0"/>
            </w:tcBorders>
            <w:noWrap w:val="0"/>
            <w:vAlign w:val="center"/>
          </w:tcPr>
          <w:p w14:paraId="4CED17A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12073045">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77C69E2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0</w:t>
            </w:r>
          </w:p>
        </w:tc>
        <w:tc>
          <w:tcPr>
            <w:tcW w:w="1273" w:type="dxa"/>
            <w:tcBorders>
              <w:top w:val="nil"/>
              <w:left w:val="nil"/>
              <w:bottom w:val="single" w:color="auto" w:sz="4" w:space="0"/>
              <w:right w:val="single" w:color="auto" w:sz="4" w:space="0"/>
            </w:tcBorders>
            <w:noWrap/>
            <w:vAlign w:val="center"/>
          </w:tcPr>
          <w:p w14:paraId="412845C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12+665</w:t>
            </w:r>
          </w:p>
        </w:tc>
        <w:tc>
          <w:tcPr>
            <w:tcW w:w="1425" w:type="dxa"/>
            <w:tcBorders>
              <w:top w:val="nil"/>
              <w:left w:val="nil"/>
              <w:bottom w:val="single" w:color="auto" w:sz="4" w:space="0"/>
              <w:right w:val="single" w:color="auto" w:sz="4" w:space="0"/>
            </w:tcBorders>
            <w:noWrap w:val="0"/>
            <w:vAlign w:val="center"/>
          </w:tcPr>
          <w:p w14:paraId="67BE46C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捞塘湾大桥</w:t>
            </w:r>
          </w:p>
        </w:tc>
        <w:tc>
          <w:tcPr>
            <w:tcW w:w="1605" w:type="dxa"/>
            <w:tcBorders>
              <w:top w:val="nil"/>
              <w:left w:val="nil"/>
              <w:bottom w:val="single" w:color="auto" w:sz="4" w:space="0"/>
              <w:right w:val="single" w:color="auto" w:sz="4" w:space="0"/>
            </w:tcBorders>
            <w:noWrap/>
            <w:vAlign w:val="center"/>
          </w:tcPr>
          <w:p w14:paraId="50A8AA1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10</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1A36E7B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16.75/20.75</w:t>
            </w:r>
          </w:p>
        </w:tc>
        <w:tc>
          <w:tcPr>
            <w:tcW w:w="885" w:type="dxa"/>
            <w:tcBorders>
              <w:top w:val="nil"/>
              <w:left w:val="nil"/>
              <w:bottom w:val="single" w:color="auto" w:sz="4" w:space="0"/>
              <w:right w:val="single" w:color="auto" w:sz="4" w:space="0"/>
            </w:tcBorders>
            <w:noWrap/>
            <w:vAlign w:val="center"/>
          </w:tcPr>
          <w:p w14:paraId="2633B98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03</w:t>
            </w:r>
          </w:p>
        </w:tc>
        <w:tc>
          <w:tcPr>
            <w:tcW w:w="1695" w:type="dxa"/>
            <w:tcBorders>
              <w:top w:val="nil"/>
              <w:left w:val="nil"/>
              <w:bottom w:val="single" w:color="auto" w:sz="4" w:space="0"/>
              <w:right w:val="single" w:color="auto" w:sz="4" w:space="0"/>
            </w:tcBorders>
            <w:noWrap w:val="0"/>
            <w:vAlign w:val="center"/>
          </w:tcPr>
          <w:p w14:paraId="7FD30BF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55B0F13B">
        <w:tblPrEx>
          <w:tblCellMar>
            <w:top w:w="0" w:type="dxa"/>
            <w:left w:w="108" w:type="dxa"/>
            <w:bottom w:w="0" w:type="dxa"/>
            <w:right w:w="108" w:type="dxa"/>
          </w:tblCellMar>
        </w:tblPrEx>
        <w:trPr>
          <w:trHeight w:val="540" w:hRule="atLeast"/>
        </w:trPr>
        <w:tc>
          <w:tcPr>
            <w:tcW w:w="465" w:type="dxa"/>
            <w:vMerge w:val="restart"/>
            <w:tcBorders>
              <w:top w:val="nil"/>
              <w:left w:val="single" w:color="auto" w:sz="4" w:space="0"/>
              <w:right w:val="single" w:color="auto" w:sz="4" w:space="0"/>
            </w:tcBorders>
            <w:noWrap/>
            <w:vAlign w:val="center"/>
          </w:tcPr>
          <w:p w14:paraId="76A5430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1</w:t>
            </w:r>
          </w:p>
        </w:tc>
        <w:tc>
          <w:tcPr>
            <w:tcW w:w="1273" w:type="dxa"/>
            <w:vMerge w:val="restart"/>
            <w:tcBorders>
              <w:top w:val="nil"/>
              <w:left w:val="nil"/>
              <w:right w:val="single" w:color="auto" w:sz="4" w:space="0"/>
            </w:tcBorders>
            <w:noWrap/>
            <w:vAlign w:val="center"/>
          </w:tcPr>
          <w:p w14:paraId="3A8E143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14+655</w:t>
            </w:r>
          </w:p>
        </w:tc>
        <w:tc>
          <w:tcPr>
            <w:tcW w:w="1425" w:type="dxa"/>
            <w:tcBorders>
              <w:top w:val="nil"/>
              <w:left w:val="nil"/>
              <w:bottom w:val="single" w:color="auto" w:sz="4" w:space="0"/>
              <w:right w:val="single" w:color="auto" w:sz="4" w:space="0"/>
            </w:tcBorders>
            <w:noWrap w:val="0"/>
            <w:vAlign w:val="center"/>
          </w:tcPr>
          <w:p w14:paraId="477C3F0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神仙岭中桥（左）</w:t>
            </w:r>
          </w:p>
        </w:tc>
        <w:tc>
          <w:tcPr>
            <w:tcW w:w="1605" w:type="dxa"/>
            <w:tcBorders>
              <w:top w:val="nil"/>
              <w:left w:val="nil"/>
              <w:bottom w:val="single" w:color="auto" w:sz="4" w:space="0"/>
              <w:right w:val="single" w:color="auto" w:sz="4" w:space="0"/>
            </w:tcBorders>
            <w:noWrap/>
            <w:vAlign w:val="center"/>
          </w:tcPr>
          <w:p w14:paraId="3952FFB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1ABC4C1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6.75</w:t>
            </w:r>
          </w:p>
        </w:tc>
        <w:tc>
          <w:tcPr>
            <w:tcW w:w="885" w:type="dxa"/>
            <w:tcBorders>
              <w:top w:val="nil"/>
              <w:left w:val="nil"/>
              <w:bottom w:val="single" w:color="auto" w:sz="4" w:space="0"/>
              <w:right w:val="single" w:color="auto" w:sz="4" w:space="0"/>
            </w:tcBorders>
            <w:noWrap/>
            <w:vAlign w:val="center"/>
          </w:tcPr>
          <w:p w14:paraId="2350B4B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w:t>
            </w:r>
            <w:r>
              <w:rPr>
                <w:rStyle w:val="13"/>
                <w:rFonts w:hint="eastAsia" w:ascii="宋体" w:hAnsi="宋体" w:eastAsia="宋体" w:cs="宋体"/>
                <w:color w:val="auto"/>
                <w:kern w:val="0"/>
                <w:szCs w:val="21"/>
                <w:highlight w:val="none"/>
              </w:rPr>
              <w:t>6</w:t>
            </w:r>
          </w:p>
        </w:tc>
        <w:tc>
          <w:tcPr>
            <w:tcW w:w="1695" w:type="dxa"/>
            <w:tcBorders>
              <w:top w:val="nil"/>
              <w:left w:val="nil"/>
              <w:bottom w:val="single" w:color="auto" w:sz="4" w:space="0"/>
              <w:right w:val="single" w:color="auto" w:sz="4" w:space="0"/>
            </w:tcBorders>
            <w:noWrap w:val="0"/>
            <w:vAlign w:val="center"/>
          </w:tcPr>
          <w:p w14:paraId="0053D44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2C915EE1">
        <w:tblPrEx>
          <w:tblCellMar>
            <w:top w:w="0" w:type="dxa"/>
            <w:left w:w="108" w:type="dxa"/>
            <w:bottom w:w="0" w:type="dxa"/>
            <w:right w:w="108" w:type="dxa"/>
          </w:tblCellMar>
        </w:tblPrEx>
        <w:trPr>
          <w:trHeight w:val="540" w:hRule="atLeast"/>
        </w:trPr>
        <w:tc>
          <w:tcPr>
            <w:tcW w:w="465" w:type="dxa"/>
            <w:vMerge w:val="continue"/>
            <w:tcBorders>
              <w:left w:val="single" w:color="auto" w:sz="4" w:space="0"/>
              <w:bottom w:val="single" w:color="000000" w:sz="4" w:space="0"/>
              <w:right w:val="single" w:color="auto" w:sz="4" w:space="0"/>
            </w:tcBorders>
            <w:noWrap/>
            <w:vAlign w:val="center"/>
          </w:tcPr>
          <w:p w14:paraId="11244827">
            <w:pPr>
              <w:pStyle w:val="11"/>
              <w:widowControl/>
              <w:jc w:val="center"/>
              <w:rPr>
                <w:rStyle w:val="13"/>
                <w:rFonts w:hint="eastAsia" w:ascii="宋体" w:hAnsi="宋体" w:eastAsia="宋体" w:cs="宋体"/>
                <w:color w:val="auto"/>
                <w:kern w:val="0"/>
                <w:szCs w:val="21"/>
                <w:highlight w:val="none"/>
              </w:rPr>
            </w:pPr>
          </w:p>
        </w:tc>
        <w:tc>
          <w:tcPr>
            <w:tcW w:w="1273" w:type="dxa"/>
            <w:vMerge w:val="continue"/>
            <w:tcBorders>
              <w:left w:val="nil"/>
              <w:bottom w:val="single" w:color="auto" w:sz="4" w:space="0"/>
              <w:right w:val="single" w:color="auto" w:sz="4" w:space="0"/>
            </w:tcBorders>
            <w:noWrap/>
            <w:vAlign w:val="center"/>
          </w:tcPr>
          <w:p w14:paraId="6C610643">
            <w:pPr>
              <w:pStyle w:val="11"/>
              <w:widowControl/>
              <w:jc w:val="center"/>
              <w:rPr>
                <w:rStyle w:val="13"/>
                <w:rFonts w:hint="eastAsia" w:ascii="宋体" w:hAnsi="宋体" w:eastAsia="宋体" w:cs="宋体"/>
                <w:color w:val="auto"/>
                <w:kern w:val="0"/>
                <w:szCs w:val="21"/>
                <w:highlight w:val="none"/>
              </w:rPr>
            </w:pPr>
          </w:p>
        </w:tc>
        <w:tc>
          <w:tcPr>
            <w:tcW w:w="1425" w:type="dxa"/>
            <w:tcBorders>
              <w:top w:val="nil"/>
              <w:left w:val="nil"/>
              <w:bottom w:val="single" w:color="auto" w:sz="4" w:space="0"/>
              <w:right w:val="single" w:color="auto" w:sz="4" w:space="0"/>
            </w:tcBorders>
            <w:noWrap w:val="0"/>
            <w:vAlign w:val="center"/>
          </w:tcPr>
          <w:p w14:paraId="3F65CC0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神仙岭中桥（右）</w:t>
            </w:r>
          </w:p>
        </w:tc>
        <w:tc>
          <w:tcPr>
            <w:tcW w:w="1605" w:type="dxa"/>
            <w:tcBorders>
              <w:top w:val="nil"/>
              <w:left w:val="nil"/>
              <w:bottom w:val="single" w:color="auto" w:sz="4" w:space="0"/>
              <w:right w:val="single" w:color="auto" w:sz="4" w:space="0"/>
            </w:tcBorders>
            <w:noWrap/>
            <w:vAlign w:val="center"/>
          </w:tcPr>
          <w:p w14:paraId="713EC72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1529C2F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6.75</w:t>
            </w:r>
          </w:p>
        </w:tc>
        <w:tc>
          <w:tcPr>
            <w:tcW w:w="885" w:type="dxa"/>
            <w:tcBorders>
              <w:top w:val="nil"/>
              <w:left w:val="nil"/>
              <w:bottom w:val="single" w:color="auto" w:sz="4" w:space="0"/>
              <w:right w:val="single" w:color="auto" w:sz="4" w:space="0"/>
            </w:tcBorders>
            <w:noWrap/>
            <w:vAlign w:val="center"/>
          </w:tcPr>
          <w:p w14:paraId="20DCFCD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w:t>
            </w:r>
            <w:r>
              <w:rPr>
                <w:rStyle w:val="13"/>
                <w:rFonts w:hint="eastAsia" w:ascii="宋体" w:hAnsi="宋体" w:eastAsia="宋体" w:cs="宋体"/>
                <w:color w:val="auto"/>
                <w:kern w:val="0"/>
                <w:szCs w:val="21"/>
                <w:highlight w:val="none"/>
              </w:rPr>
              <w:t>6</w:t>
            </w:r>
          </w:p>
        </w:tc>
        <w:tc>
          <w:tcPr>
            <w:tcW w:w="1695" w:type="dxa"/>
            <w:tcBorders>
              <w:top w:val="nil"/>
              <w:left w:val="nil"/>
              <w:bottom w:val="single" w:color="auto" w:sz="4" w:space="0"/>
              <w:right w:val="single" w:color="auto" w:sz="4" w:space="0"/>
            </w:tcBorders>
            <w:noWrap w:val="0"/>
            <w:vAlign w:val="center"/>
          </w:tcPr>
          <w:p w14:paraId="369BCEB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6EBB0749">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08FB164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12</w:t>
            </w:r>
          </w:p>
        </w:tc>
        <w:tc>
          <w:tcPr>
            <w:tcW w:w="1273" w:type="dxa"/>
            <w:tcBorders>
              <w:top w:val="nil"/>
              <w:left w:val="nil"/>
              <w:bottom w:val="single" w:color="auto" w:sz="4" w:space="0"/>
              <w:right w:val="single" w:color="auto" w:sz="4" w:space="0"/>
            </w:tcBorders>
            <w:noWrap/>
            <w:vAlign w:val="center"/>
          </w:tcPr>
          <w:p w14:paraId="33E07D8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16</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551</w:t>
            </w:r>
          </w:p>
        </w:tc>
        <w:tc>
          <w:tcPr>
            <w:tcW w:w="1425" w:type="dxa"/>
            <w:tcBorders>
              <w:top w:val="nil"/>
              <w:left w:val="nil"/>
              <w:bottom w:val="single" w:color="auto" w:sz="4" w:space="0"/>
              <w:right w:val="single" w:color="auto" w:sz="4" w:space="0"/>
            </w:tcBorders>
            <w:noWrap w:val="0"/>
            <w:vAlign w:val="center"/>
          </w:tcPr>
          <w:p w14:paraId="6173603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框架桥</w:t>
            </w:r>
          </w:p>
        </w:tc>
        <w:tc>
          <w:tcPr>
            <w:tcW w:w="1605" w:type="dxa"/>
            <w:tcBorders>
              <w:top w:val="nil"/>
              <w:left w:val="nil"/>
              <w:bottom w:val="single" w:color="auto" w:sz="4" w:space="0"/>
              <w:right w:val="single" w:color="auto" w:sz="4" w:space="0"/>
            </w:tcBorders>
            <w:noWrap/>
            <w:vAlign w:val="center"/>
          </w:tcPr>
          <w:p w14:paraId="6311BD9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12</w:t>
            </w:r>
          </w:p>
        </w:tc>
        <w:tc>
          <w:tcPr>
            <w:tcW w:w="1410" w:type="dxa"/>
            <w:tcBorders>
              <w:top w:val="nil"/>
              <w:left w:val="nil"/>
              <w:bottom w:val="single" w:color="auto" w:sz="4" w:space="0"/>
              <w:right w:val="single" w:color="auto" w:sz="4" w:space="0"/>
            </w:tcBorders>
            <w:noWrap/>
            <w:vAlign w:val="center"/>
          </w:tcPr>
          <w:p w14:paraId="58DA06E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变宽</w:t>
            </w:r>
          </w:p>
        </w:tc>
        <w:tc>
          <w:tcPr>
            <w:tcW w:w="885" w:type="dxa"/>
            <w:tcBorders>
              <w:top w:val="nil"/>
              <w:left w:val="nil"/>
              <w:bottom w:val="single" w:color="auto" w:sz="4" w:space="0"/>
              <w:right w:val="single" w:color="auto" w:sz="4" w:space="0"/>
            </w:tcBorders>
            <w:noWrap/>
            <w:vAlign w:val="center"/>
          </w:tcPr>
          <w:p w14:paraId="5783FAD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14.2</w:t>
            </w:r>
          </w:p>
        </w:tc>
        <w:tc>
          <w:tcPr>
            <w:tcW w:w="1695" w:type="dxa"/>
            <w:tcBorders>
              <w:top w:val="nil"/>
              <w:left w:val="nil"/>
              <w:bottom w:val="single" w:color="auto" w:sz="4" w:space="0"/>
              <w:right w:val="single" w:color="auto" w:sz="4" w:space="0"/>
            </w:tcBorders>
            <w:noWrap w:val="0"/>
            <w:vAlign w:val="center"/>
          </w:tcPr>
          <w:p w14:paraId="777C593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框架桥</w:t>
            </w:r>
          </w:p>
        </w:tc>
      </w:tr>
      <w:tr w14:paraId="41069F1B">
        <w:tblPrEx>
          <w:tblCellMar>
            <w:top w:w="0" w:type="dxa"/>
            <w:left w:w="108" w:type="dxa"/>
            <w:bottom w:w="0" w:type="dxa"/>
            <w:right w:w="108" w:type="dxa"/>
          </w:tblCellMar>
        </w:tblPrEx>
        <w:trPr>
          <w:trHeight w:val="540" w:hRule="atLeast"/>
        </w:trPr>
        <w:tc>
          <w:tcPr>
            <w:tcW w:w="465" w:type="dxa"/>
            <w:vMerge w:val="restart"/>
            <w:tcBorders>
              <w:top w:val="nil"/>
              <w:left w:val="single" w:color="auto" w:sz="4" w:space="0"/>
              <w:right w:val="single" w:color="auto" w:sz="4" w:space="0"/>
            </w:tcBorders>
            <w:noWrap/>
            <w:vAlign w:val="center"/>
          </w:tcPr>
          <w:p w14:paraId="74584969">
            <w:pPr>
              <w:pStyle w:val="11"/>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13</w:t>
            </w:r>
          </w:p>
        </w:tc>
        <w:tc>
          <w:tcPr>
            <w:tcW w:w="1273" w:type="dxa"/>
            <w:tcBorders>
              <w:top w:val="nil"/>
              <w:left w:val="nil"/>
              <w:bottom w:val="single" w:color="auto" w:sz="4" w:space="0"/>
              <w:right w:val="single" w:color="auto" w:sz="4" w:space="0"/>
            </w:tcBorders>
            <w:noWrap/>
            <w:vAlign w:val="center"/>
          </w:tcPr>
          <w:p w14:paraId="1C21EA0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16</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913.84</w:t>
            </w:r>
          </w:p>
        </w:tc>
        <w:tc>
          <w:tcPr>
            <w:tcW w:w="1425" w:type="dxa"/>
            <w:tcBorders>
              <w:top w:val="nil"/>
              <w:left w:val="nil"/>
              <w:bottom w:val="single" w:color="auto" w:sz="4" w:space="0"/>
              <w:right w:val="single" w:color="auto" w:sz="4" w:space="0"/>
            </w:tcBorders>
            <w:noWrap w:val="0"/>
            <w:vAlign w:val="center"/>
          </w:tcPr>
          <w:p w14:paraId="52A0179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青竹湖互通主线桥（左）</w:t>
            </w:r>
          </w:p>
        </w:tc>
        <w:tc>
          <w:tcPr>
            <w:tcW w:w="1605" w:type="dxa"/>
            <w:tcBorders>
              <w:top w:val="nil"/>
              <w:left w:val="nil"/>
              <w:bottom w:val="single" w:color="auto" w:sz="4" w:space="0"/>
              <w:right w:val="single" w:color="auto" w:sz="4" w:space="0"/>
            </w:tcBorders>
            <w:noWrap/>
            <w:vAlign w:val="center"/>
          </w:tcPr>
          <w:p w14:paraId="0D225F9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069D61D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47CF473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66</w:t>
            </w:r>
          </w:p>
        </w:tc>
        <w:tc>
          <w:tcPr>
            <w:tcW w:w="1695" w:type="dxa"/>
            <w:tcBorders>
              <w:top w:val="nil"/>
              <w:left w:val="nil"/>
              <w:bottom w:val="single" w:color="auto" w:sz="4" w:space="0"/>
              <w:right w:val="single" w:color="auto" w:sz="4" w:space="0"/>
            </w:tcBorders>
            <w:noWrap w:val="0"/>
            <w:vAlign w:val="center"/>
          </w:tcPr>
          <w:p w14:paraId="7B5F65F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6CFF8B1B">
        <w:tblPrEx>
          <w:tblCellMar>
            <w:top w:w="0" w:type="dxa"/>
            <w:left w:w="108" w:type="dxa"/>
            <w:bottom w:w="0" w:type="dxa"/>
            <w:right w:w="108" w:type="dxa"/>
          </w:tblCellMar>
        </w:tblPrEx>
        <w:trPr>
          <w:trHeight w:val="540" w:hRule="atLeast"/>
        </w:trPr>
        <w:tc>
          <w:tcPr>
            <w:tcW w:w="465" w:type="dxa"/>
            <w:vMerge w:val="continue"/>
            <w:tcBorders>
              <w:left w:val="single" w:color="auto" w:sz="4" w:space="0"/>
              <w:bottom w:val="single" w:color="auto" w:sz="4" w:space="0"/>
              <w:right w:val="single" w:color="auto" w:sz="4" w:space="0"/>
            </w:tcBorders>
            <w:noWrap/>
            <w:vAlign w:val="center"/>
          </w:tcPr>
          <w:p w14:paraId="5F4A26EE">
            <w:pPr>
              <w:pStyle w:val="11"/>
              <w:widowControl/>
              <w:jc w:val="center"/>
              <w:rPr>
                <w:rStyle w:val="13"/>
                <w:rFonts w:hint="eastAsia" w:ascii="宋体" w:hAnsi="宋体" w:eastAsia="宋体" w:cs="宋体"/>
                <w:color w:val="auto"/>
                <w:kern w:val="0"/>
                <w:szCs w:val="21"/>
                <w:highlight w:val="none"/>
              </w:rPr>
            </w:pPr>
          </w:p>
        </w:tc>
        <w:tc>
          <w:tcPr>
            <w:tcW w:w="1273" w:type="dxa"/>
            <w:tcBorders>
              <w:top w:val="nil"/>
              <w:left w:val="nil"/>
              <w:bottom w:val="single" w:color="auto" w:sz="4" w:space="0"/>
              <w:right w:val="single" w:color="auto" w:sz="4" w:space="0"/>
            </w:tcBorders>
            <w:noWrap/>
            <w:vAlign w:val="center"/>
          </w:tcPr>
          <w:p w14:paraId="13C8C45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16</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928.84</w:t>
            </w:r>
          </w:p>
        </w:tc>
        <w:tc>
          <w:tcPr>
            <w:tcW w:w="1425" w:type="dxa"/>
            <w:tcBorders>
              <w:top w:val="nil"/>
              <w:left w:val="nil"/>
              <w:bottom w:val="single" w:color="auto" w:sz="4" w:space="0"/>
              <w:right w:val="single" w:color="auto" w:sz="4" w:space="0"/>
            </w:tcBorders>
            <w:noWrap w:val="0"/>
            <w:vAlign w:val="center"/>
          </w:tcPr>
          <w:p w14:paraId="2E63332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青竹湖互通主线桥（右）</w:t>
            </w:r>
          </w:p>
        </w:tc>
        <w:tc>
          <w:tcPr>
            <w:tcW w:w="1605" w:type="dxa"/>
            <w:tcBorders>
              <w:top w:val="nil"/>
              <w:left w:val="nil"/>
              <w:bottom w:val="single" w:color="auto" w:sz="4" w:space="0"/>
              <w:right w:val="single" w:color="auto" w:sz="4" w:space="0"/>
            </w:tcBorders>
            <w:noWrap/>
            <w:vAlign w:val="center"/>
          </w:tcPr>
          <w:p w14:paraId="77198D6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13231F7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0.75</w:t>
            </w:r>
          </w:p>
        </w:tc>
        <w:tc>
          <w:tcPr>
            <w:tcW w:w="885" w:type="dxa"/>
            <w:tcBorders>
              <w:top w:val="nil"/>
              <w:left w:val="nil"/>
              <w:bottom w:val="single" w:color="auto" w:sz="4" w:space="0"/>
              <w:right w:val="single" w:color="auto" w:sz="4" w:space="0"/>
            </w:tcBorders>
            <w:noWrap/>
            <w:vAlign w:val="center"/>
          </w:tcPr>
          <w:p w14:paraId="7212752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96</w:t>
            </w:r>
          </w:p>
        </w:tc>
        <w:tc>
          <w:tcPr>
            <w:tcW w:w="1695" w:type="dxa"/>
            <w:tcBorders>
              <w:top w:val="nil"/>
              <w:left w:val="nil"/>
              <w:bottom w:val="single" w:color="auto" w:sz="4" w:space="0"/>
              <w:right w:val="single" w:color="auto" w:sz="4" w:space="0"/>
            </w:tcBorders>
            <w:noWrap w:val="0"/>
            <w:vAlign w:val="center"/>
          </w:tcPr>
          <w:p w14:paraId="594F53C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723B3B46">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570DFCA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14</w:t>
            </w:r>
          </w:p>
        </w:tc>
        <w:tc>
          <w:tcPr>
            <w:tcW w:w="1273" w:type="dxa"/>
            <w:tcBorders>
              <w:top w:val="nil"/>
              <w:left w:val="nil"/>
              <w:bottom w:val="single" w:color="auto" w:sz="4" w:space="0"/>
              <w:right w:val="single" w:color="auto" w:sz="4" w:space="0"/>
            </w:tcBorders>
            <w:noWrap/>
            <w:vAlign w:val="center"/>
          </w:tcPr>
          <w:p w14:paraId="79EB412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hint="eastAsia" w:ascii="宋体" w:hAnsi="宋体" w:eastAsia="宋体" w:cs="宋体"/>
                <w:color w:val="auto"/>
                <w:kern w:val="0"/>
                <w:szCs w:val="21"/>
                <w:highlight w:val="none"/>
              </w:rPr>
              <w:t>17</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745.5</w:t>
            </w:r>
          </w:p>
        </w:tc>
        <w:tc>
          <w:tcPr>
            <w:tcW w:w="1425" w:type="dxa"/>
            <w:tcBorders>
              <w:top w:val="nil"/>
              <w:left w:val="nil"/>
              <w:bottom w:val="single" w:color="auto" w:sz="4" w:space="0"/>
              <w:right w:val="single" w:color="auto" w:sz="4" w:space="0"/>
            </w:tcBorders>
            <w:noWrap w:val="0"/>
            <w:vAlign w:val="center"/>
          </w:tcPr>
          <w:p w14:paraId="62552FB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中青路</w:t>
            </w:r>
            <w:r>
              <w:rPr>
                <w:rStyle w:val="13"/>
                <w:rFonts w:hint="eastAsia" w:ascii="宋体" w:hAnsi="宋体" w:eastAsia="宋体" w:cs="宋体"/>
                <w:color w:val="auto"/>
                <w:kern w:val="0"/>
                <w:szCs w:val="21"/>
                <w:highlight w:val="none"/>
              </w:rPr>
              <w:t>1号大桥</w:t>
            </w:r>
          </w:p>
        </w:tc>
        <w:tc>
          <w:tcPr>
            <w:tcW w:w="1605" w:type="dxa"/>
            <w:tcBorders>
              <w:top w:val="nil"/>
              <w:left w:val="nil"/>
              <w:bottom w:val="single" w:color="auto" w:sz="4" w:space="0"/>
              <w:right w:val="single" w:color="auto" w:sz="4" w:space="0"/>
            </w:tcBorders>
            <w:noWrap/>
            <w:vAlign w:val="center"/>
          </w:tcPr>
          <w:p w14:paraId="38109C8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17</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30+45+30</w:t>
            </w:r>
          </w:p>
        </w:tc>
        <w:tc>
          <w:tcPr>
            <w:tcW w:w="1410" w:type="dxa"/>
            <w:tcBorders>
              <w:top w:val="nil"/>
              <w:left w:val="nil"/>
              <w:bottom w:val="single" w:color="auto" w:sz="4" w:space="0"/>
              <w:right w:val="single" w:color="auto" w:sz="4" w:space="0"/>
            </w:tcBorders>
            <w:noWrap/>
            <w:vAlign w:val="center"/>
          </w:tcPr>
          <w:p w14:paraId="66AEBA5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3976686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588</w:t>
            </w:r>
          </w:p>
        </w:tc>
        <w:tc>
          <w:tcPr>
            <w:tcW w:w="1695" w:type="dxa"/>
            <w:tcBorders>
              <w:top w:val="nil"/>
              <w:left w:val="nil"/>
              <w:bottom w:val="single" w:color="auto" w:sz="4" w:space="0"/>
              <w:right w:val="single" w:color="auto" w:sz="4" w:space="0"/>
            </w:tcBorders>
            <w:noWrap w:val="0"/>
            <w:vAlign w:val="center"/>
          </w:tcPr>
          <w:p w14:paraId="3FB4E57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预应力砼小箱梁、简支组合梁</w:t>
            </w:r>
          </w:p>
        </w:tc>
      </w:tr>
      <w:tr w14:paraId="049F194B">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5416354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15</w:t>
            </w:r>
          </w:p>
        </w:tc>
        <w:tc>
          <w:tcPr>
            <w:tcW w:w="1273" w:type="dxa"/>
            <w:tcBorders>
              <w:top w:val="nil"/>
              <w:left w:val="nil"/>
              <w:bottom w:val="single" w:color="auto" w:sz="4" w:space="0"/>
              <w:right w:val="single" w:color="auto" w:sz="4" w:space="0"/>
            </w:tcBorders>
            <w:noWrap/>
            <w:vAlign w:val="center"/>
          </w:tcPr>
          <w:p w14:paraId="1AC186A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K1</w:t>
            </w:r>
            <w:r>
              <w:rPr>
                <w:rStyle w:val="13"/>
                <w:rFonts w:hint="eastAsia" w:ascii="宋体" w:hAnsi="宋体" w:eastAsia="宋体" w:cs="宋体"/>
                <w:color w:val="auto"/>
                <w:kern w:val="0"/>
                <w:szCs w:val="21"/>
                <w:highlight w:val="none"/>
              </w:rPr>
              <w:t>9</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791.25</w:t>
            </w:r>
          </w:p>
        </w:tc>
        <w:tc>
          <w:tcPr>
            <w:tcW w:w="1425" w:type="dxa"/>
            <w:tcBorders>
              <w:top w:val="nil"/>
              <w:left w:val="nil"/>
              <w:bottom w:val="single" w:color="auto" w:sz="4" w:space="0"/>
              <w:right w:val="single" w:color="auto" w:sz="4" w:space="0"/>
            </w:tcBorders>
            <w:noWrap w:val="0"/>
            <w:vAlign w:val="center"/>
          </w:tcPr>
          <w:p w14:paraId="6CA559F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中青路</w:t>
            </w:r>
            <w:r>
              <w:rPr>
                <w:rStyle w:val="13"/>
                <w:rFonts w:hint="eastAsia" w:ascii="宋体" w:hAnsi="宋体" w:eastAsia="宋体" w:cs="宋体"/>
                <w:color w:val="auto"/>
                <w:kern w:val="0"/>
                <w:szCs w:val="21"/>
                <w:highlight w:val="none"/>
              </w:rPr>
              <w:t>2号大桥</w:t>
            </w:r>
          </w:p>
        </w:tc>
        <w:tc>
          <w:tcPr>
            <w:tcW w:w="1605" w:type="dxa"/>
            <w:tcBorders>
              <w:top w:val="nil"/>
              <w:left w:val="nil"/>
              <w:bottom w:val="single" w:color="auto" w:sz="4" w:space="0"/>
              <w:right w:val="single" w:color="auto" w:sz="4" w:space="0"/>
            </w:tcBorders>
            <w:noWrap/>
            <w:vAlign w:val="center"/>
          </w:tcPr>
          <w:p w14:paraId="072AF1D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23.5+32+23.5+14</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30+40+35+19</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30+60+35</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30+27.5+65+11</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25+50+21</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25</w:t>
            </w:r>
          </w:p>
        </w:tc>
        <w:tc>
          <w:tcPr>
            <w:tcW w:w="1410" w:type="dxa"/>
            <w:tcBorders>
              <w:top w:val="nil"/>
              <w:left w:val="nil"/>
              <w:bottom w:val="single" w:color="auto" w:sz="4" w:space="0"/>
              <w:right w:val="single" w:color="auto" w:sz="4" w:space="0"/>
            </w:tcBorders>
            <w:noWrap/>
            <w:vAlign w:val="center"/>
          </w:tcPr>
          <w:p w14:paraId="68DDC03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4F8E7F1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3506.5</w:t>
            </w:r>
          </w:p>
        </w:tc>
        <w:tc>
          <w:tcPr>
            <w:tcW w:w="1695" w:type="dxa"/>
            <w:tcBorders>
              <w:top w:val="nil"/>
              <w:left w:val="nil"/>
              <w:bottom w:val="single" w:color="auto" w:sz="4" w:space="0"/>
              <w:right w:val="single" w:color="auto" w:sz="4" w:space="0"/>
            </w:tcBorders>
            <w:noWrap w:val="0"/>
            <w:vAlign w:val="center"/>
          </w:tcPr>
          <w:p w14:paraId="10F84D5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预应力砼小箱梁、简支组合梁</w:t>
            </w:r>
          </w:p>
        </w:tc>
      </w:tr>
      <w:tr w14:paraId="35E30AC5">
        <w:tblPrEx>
          <w:tblCellMar>
            <w:top w:w="0" w:type="dxa"/>
            <w:left w:w="108" w:type="dxa"/>
            <w:bottom w:w="0" w:type="dxa"/>
            <w:right w:w="108" w:type="dxa"/>
          </w:tblCellMar>
        </w:tblPrEx>
        <w:trPr>
          <w:trHeight w:val="540" w:hRule="atLeast"/>
        </w:trPr>
        <w:tc>
          <w:tcPr>
            <w:tcW w:w="465" w:type="dxa"/>
            <w:vMerge w:val="restart"/>
            <w:tcBorders>
              <w:top w:val="nil"/>
              <w:left w:val="single" w:color="auto" w:sz="4" w:space="0"/>
              <w:bottom w:val="single" w:color="auto" w:sz="4" w:space="0"/>
              <w:right w:val="single" w:color="auto" w:sz="4" w:space="0"/>
            </w:tcBorders>
            <w:noWrap/>
            <w:vAlign w:val="center"/>
          </w:tcPr>
          <w:p w14:paraId="0837AB1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16</w:t>
            </w:r>
          </w:p>
        </w:tc>
        <w:tc>
          <w:tcPr>
            <w:tcW w:w="1273" w:type="dxa"/>
            <w:tcBorders>
              <w:top w:val="nil"/>
              <w:left w:val="nil"/>
              <w:bottom w:val="single" w:color="auto" w:sz="4" w:space="0"/>
              <w:right w:val="single" w:color="auto" w:sz="4" w:space="0"/>
            </w:tcBorders>
            <w:noWrap/>
            <w:vAlign w:val="center"/>
          </w:tcPr>
          <w:p w14:paraId="77C8715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ZK22+094.25</w:t>
            </w:r>
          </w:p>
        </w:tc>
        <w:tc>
          <w:tcPr>
            <w:tcW w:w="1425" w:type="dxa"/>
            <w:tcBorders>
              <w:top w:val="nil"/>
              <w:left w:val="nil"/>
              <w:bottom w:val="single" w:color="auto" w:sz="4" w:space="0"/>
              <w:right w:val="single" w:color="auto" w:sz="4" w:space="0"/>
            </w:tcBorders>
            <w:noWrap w:val="0"/>
            <w:vAlign w:val="center"/>
          </w:tcPr>
          <w:p w14:paraId="255AFA4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捞刀河互通主线桥（左）</w:t>
            </w:r>
          </w:p>
        </w:tc>
        <w:tc>
          <w:tcPr>
            <w:tcW w:w="1605" w:type="dxa"/>
            <w:tcBorders>
              <w:top w:val="nil"/>
              <w:left w:val="nil"/>
              <w:bottom w:val="single" w:color="auto" w:sz="4" w:space="0"/>
              <w:right w:val="single" w:color="auto" w:sz="4" w:space="0"/>
            </w:tcBorders>
            <w:noWrap/>
            <w:vAlign w:val="center"/>
          </w:tcPr>
          <w:p w14:paraId="4530F67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50+5</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30+7</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31+11</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30+29+11</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31</w:t>
            </w:r>
          </w:p>
        </w:tc>
        <w:tc>
          <w:tcPr>
            <w:tcW w:w="1410" w:type="dxa"/>
            <w:tcBorders>
              <w:top w:val="nil"/>
              <w:left w:val="nil"/>
              <w:bottom w:val="single" w:color="auto" w:sz="4" w:space="0"/>
              <w:right w:val="single" w:color="auto" w:sz="4" w:space="0"/>
            </w:tcBorders>
            <w:noWrap/>
            <w:vAlign w:val="center"/>
          </w:tcPr>
          <w:p w14:paraId="752D074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变宽</w:t>
            </w:r>
          </w:p>
        </w:tc>
        <w:tc>
          <w:tcPr>
            <w:tcW w:w="885" w:type="dxa"/>
            <w:tcBorders>
              <w:top w:val="nil"/>
              <w:left w:val="nil"/>
              <w:bottom w:val="single" w:color="auto" w:sz="4" w:space="0"/>
              <w:right w:val="single" w:color="auto" w:sz="4" w:space="0"/>
            </w:tcBorders>
            <w:noWrap/>
            <w:vAlign w:val="center"/>
          </w:tcPr>
          <w:p w14:paraId="1BA98B7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1119.5</w:t>
            </w:r>
          </w:p>
        </w:tc>
        <w:tc>
          <w:tcPr>
            <w:tcW w:w="1695" w:type="dxa"/>
            <w:tcBorders>
              <w:top w:val="nil"/>
              <w:left w:val="nil"/>
              <w:bottom w:val="single" w:color="auto" w:sz="4" w:space="0"/>
              <w:right w:val="single" w:color="auto" w:sz="4" w:space="0"/>
            </w:tcBorders>
            <w:noWrap w:val="0"/>
            <w:vAlign w:val="center"/>
          </w:tcPr>
          <w:p w14:paraId="3B7EC79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预应力砼小箱梁、简支组合梁</w:t>
            </w:r>
          </w:p>
        </w:tc>
      </w:tr>
      <w:tr w14:paraId="63AA1921">
        <w:tblPrEx>
          <w:tblCellMar>
            <w:top w:w="0" w:type="dxa"/>
            <w:left w:w="108" w:type="dxa"/>
            <w:bottom w:w="0" w:type="dxa"/>
            <w:right w:w="108" w:type="dxa"/>
          </w:tblCellMar>
        </w:tblPrEx>
        <w:trPr>
          <w:trHeight w:val="540" w:hRule="atLeast"/>
        </w:trPr>
        <w:tc>
          <w:tcPr>
            <w:tcW w:w="465" w:type="dxa"/>
            <w:vMerge w:val="continue"/>
            <w:tcBorders>
              <w:top w:val="nil"/>
              <w:left w:val="single" w:color="auto" w:sz="4" w:space="0"/>
              <w:bottom w:val="single" w:color="auto" w:sz="4" w:space="0"/>
              <w:right w:val="single" w:color="auto" w:sz="4" w:space="0"/>
            </w:tcBorders>
            <w:noWrap w:val="0"/>
            <w:vAlign w:val="center"/>
          </w:tcPr>
          <w:p w14:paraId="15FD0903">
            <w:pPr>
              <w:pStyle w:val="11"/>
              <w:widowControl/>
              <w:jc w:val="left"/>
              <w:rPr>
                <w:rStyle w:val="13"/>
                <w:rFonts w:hint="eastAsia" w:ascii="宋体" w:hAnsi="宋体" w:eastAsia="宋体" w:cs="宋体"/>
                <w:color w:val="auto"/>
                <w:kern w:val="0"/>
                <w:szCs w:val="21"/>
                <w:highlight w:val="none"/>
              </w:rPr>
            </w:pPr>
          </w:p>
        </w:tc>
        <w:tc>
          <w:tcPr>
            <w:tcW w:w="1273" w:type="dxa"/>
            <w:tcBorders>
              <w:top w:val="nil"/>
              <w:left w:val="nil"/>
              <w:bottom w:val="single" w:color="auto" w:sz="4" w:space="0"/>
              <w:right w:val="single" w:color="auto" w:sz="4" w:space="0"/>
            </w:tcBorders>
            <w:noWrap/>
            <w:vAlign w:val="center"/>
          </w:tcPr>
          <w:p w14:paraId="2EFB94F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YK22+095.75</w:t>
            </w:r>
          </w:p>
        </w:tc>
        <w:tc>
          <w:tcPr>
            <w:tcW w:w="1425" w:type="dxa"/>
            <w:tcBorders>
              <w:top w:val="nil"/>
              <w:left w:val="nil"/>
              <w:bottom w:val="single" w:color="auto" w:sz="4" w:space="0"/>
              <w:right w:val="single" w:color="auto" w:sz="4" w:space="0"/>
            </w:tcBorders>
            <w:noWrap w:val="0"/>
            <w:vAlign w:val="center"/>
          </w:tcPr>
          <w:p w14:paraId="7D121FB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捞刀河互通主线桥（右）</w:t>
            </w:r>
          </w:p>
        </w:tc>
        <w:tc>
          <w:tcPr>
            <w:tcW w:w="1605" w:type="dxa"/>
            <w:tcBorders>
              <w:top w:val="nil"/>
              <w:left w:val="nil"/>
              <w:bottom w:val="single" w:color="auto" w:sz="4" w:space="0"/>
              <w:right w:val="single" w:color="auto" w:sz="4" w:space="0"/>
            </w:tcBorders>
            <w:noWrap/>
            <w:vAlign w:val="center"/>
          </w:tcPr>
          <w:p w14:paraId="4DAABC6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50+5</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30+7</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31+9</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30+3</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29+31+5</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29+5</w:t>
            </w:r>
            <w:r>
              <w:rPr>
                <w:rStyle w:val="13"/>
                <w:rFonts w:hint="eastAsia" w:ascii="宋体" w:hAnsi="宋体" w:eastAsia="宋体" w:cs="宋体"/>
                <w:color w:val="auto"/>
                <w:kern w:val="0"/>
                <w:szCs w:val="21"/>
                <w:highlight w:val="none"/>
              </w:rPr>
              <w:t>×</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1E71A62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1AB9D60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 w:val="20"/>
                <w:szCs w:val="20"/>
                <w:highlight w:val="none"/>
              </w:rPr>
              <w:t>1102.5</w:t>
            </w:r>
          </w:p>
        </w:tc>
        <w:tc>
          <w:tcPr>
            <w:tcW w:w="1695" w:type="dxa"/>
            <w:tcBorders>
              <w:top w:val="nil"/>
              <w:left w:val="nil"/>
              <w:bottom w:val="single" w:color="auto" w:sz="4" w:space="0"/>
              <w:right w:val="single" w:color="auto" w:sz="4" w:space="0"/>
            </w:tcBorders>
            <w:noWrap w:val="0"/>
            <w:vAlign w:val="center"/>
          </w:tcPr>
          <w:p w14:paraId="4FE08FF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预应力砼小箱梁、简支组合梁</w:t>
            </w:r>
          </w:p>
        </w:tc>
      </w:tr>
    </w:tbl>
    <w:p w14:paraId="48B0FAC3">
      <w:pPr>
        <w:pStyle w:val="15"/>
        <w:widowControl/>
        <w:spacing w:line="240" w:lineRule="auto"/>
        <w:ind w:firstLine="0" w:firstLineChars="0"/>
        <w:rPr>
          <w:rStyle w:val="13"/>
          <w:rFonts w:hint="eastAsia" w:ascii="宋体" w:hAnsi="宋体" w:eastAsia="宋体" w:cs="宋体"/>
          <w:b/>
          <w:bCs/>
          <w:color w:val="auto"/>
          <w:kern w:val="0"/>
          <w:szCs w:val="24"/>
          <w:highlight w:val="none"/>
        </w:rPr>
      </w:pPr>
    </w:p>
    <w:p w14:paraId="74054505">
      <w:pPr>
        <w:rPr>
          <w:rFonts w:hint="eastAsia" w:ascii="宋体" w:hAnsi="宋体" w:eastAsia="宋体" w:cs="宋体"/>
          <w:color w:val="auto"/>
        </w:rPr>
      </w:pPr>
      <w:r>
        <w:rPr>
          <w:rStyle w:val="13"/>
          <w:rFonts w:hint="eastAsia" w:ascii="宋体" w:hAnsi="宋体" w:eastAsia="宋体" w:cs="宋体"/>
          <w:b/>
          <w:bCs/>
          <w:color w:val="auto"/>
          <w:kern w:val="0"/>
          <w:szCs w:val="24"/>
          <w:highlight w:val="none"/>
        </w:rPr>
        <w:t>注：以上数量仅供参考。</w:t>
      </w:r>
    </w:p>
    <w:p w14:paraId="2FE21C37">
      <w:pPr>
        <w:rPr>
          <w:rStyle w:val="13"/>
          <w:rFonts w:hint="eastAsia" w:ascii="宋体" w:hAnsi="宋体" w:eastAsia="宋体" w:cs="宋体"/>
          <w:color w:val="auto"/>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3BD7F84C">
      <w:pPr>
        <w:pStyle w:val="15"/>
        <w:widowControl w:val="0"/>
        <w:spacing w:line="320" w:lineRule="exact"/>
        <w:jc w:val="both"/>
        <w:rPr>
          <w:rStyle w:val="13"/>
          <w:rFonts w:ascii="宋体" w:hAnsi="宋体" w:eastAsia="宋体" w:cs="宋体"/>
          <w:kern w:val="2"/>
          <w:sz w:val="15"/>
          <w:szCs w:val="15"/>
          <w:lang w:val="en-US" w:eastAsia="zh-CN" w:bidi="ar-SA"/>
        </w:rPr>
      </w:pPr>
      <w:r>
        <w:rPr>
          <w:rStyle w:val="13"/>
          <w:rFonts w:hint="eastAsia" w:ascii="宋体" w:hAnsi="宋体" w:eastAsia="宋体" w:cs="宋体"/>
          <w:bCs/>
          <w:kern w:val="0"/>
          <w:sz w:val="15"/>
          <w:szCs w:val="15"/>
          <w:vertAlign w:val="superscript"/>
          <w:lang w:val="en-US" w:eastAsia="zh-CN" w:bidi="ar-SA"/>
        </w:rPr>
        <w:footnoteRef/>
      </w:r>
      <w:r>
        <w:rPr>
          <w:rStyle w:val="13"/>
          <w:rFonts w:hint="eastAsia" w:ascii="宋体" w:hAnsi="宋体" w:eastAsia="宋体" w:cs="宋体"/>
          <w:kern w:val="2"/>
          <w:sz w:val="15"/>
          <w:szCs w:val="15"/>
          <w:lang w:val="en-US" w:eastAsia="zh-CN" w:bidi="ar-SA"/>
        </w:rPr>
        <w:t xml:space="preserve"> </w:t>
      </w:r>
      <w:r>
        <w:rPr>
          <w:rStyle w:val="13"/>
          <w:rFonts w:hint="eastAsia" w:ascii="宋体" w:hAnsi="宋体" w:eastAsia="宋体" w:cs="宋体"/>
          <w:kern w:val="0"/>
          <w:sz w:val="15"/>
          <w:szCs w:val="15"/>
          <w:lang w:val="en-US" w:eastAsia="zh-CN" w:bidi="ar-SA"/>
        </w:rPr>
        <w:t>本段规定仅适用于</w:t>
      </w:r>
      <w:bookmarkStart w:id="159" w:name="_Toc411777490"/>
      <w:bookmarkStart w:id="160" w:name="_Toc315861048"/>
      <w:r>
        <w:rPr>
          <w:rStyle w:val="13"/>
          <w:rFonts w:hint="eastAsia" w:ascii="宋体" w:hAnsi="宋体" w:eastAsia="宋体" w:cs="宋体"/>
          <w:kern w:val="0"/>
          <w:sz w:val="15"/>
          <w:szCs w:val="15"/>
          <w:lang w:val="en-US" w:eastAsia="zh-CN" w:bidi="ar-SA"/>
        </w:rPr>
        <w:t>根据《关于发布公路工程从业企业资质名录的通知》</w:t>
      </w:r>
      <w:bookmarkEnd w:id="159"/>
      <w:bookmarkEnd w:id="160"/>
      <w:r>
        <w:rPr>
          <w:rStyle w:val="13"/>
          <w:rFonts w:hint="eastAsia" w:ascii="宋体" w:hAnsi="宋体" w:eastAsia="宋体" w:cs="宋体"/>
          <w:kern w:val="0"/>
          <w:sz w:val="15"/>
          <w:szCs w:val="15"/>
          <w:lang w:val="en-US" w:eastAsia="zh-CN" w:bidi="ar-SA"/>
        </w:rPr>
        <w:t>（厅公路字〔2011〕114号）要求，招标人应通过名录对投标人资质条件进行审核的公路施工监理企业。</w:t>
      </w:r>
    </w:p>
  </w:footnote>
  <w:footnote w:id="1">
    <w:p w14:paraId="68D6D911">
      <w:pPr>
        <w:pStyle w:val="15"/>
        <w:adjustRightInd w:val="0"/>
        <w:snapToGrid w:val="0"/>
        <w:spacing w:line="320" w:lineRule="exact"/>
        <w:jc w:val="left"/>
        <w:textAlignment w:val="baseline"/>
        <w:rPr>
          <w:rStyle w:val="13"/>
          <w:rFonts w:ascii="宋体" w:hAnsi="宋体" w:eastAsia="宋体" w:cs="宋体"/>
          <w:kern w:val="0"/>
          <w:sz w:val="15"/>
          <w:szCs w:val="15"/>
          <w:lang w:val="zh-CN"/>
        </w:rPr>
      </w:pPr>
      <w:r>
        <w:rPr>
          <w:rStyle w:val="13"/>
          <w:rFonts w:hint="eastAsia" w:ascii="宋体" w:hAnsi="宋体" w:eastAsia="宋体" w:cs="宋体"/>
          <w:kern w:val="0"/>
          <w:sz w:val="15"/>
          <w:szCs w:val="15"/>
          <w:vertAlign w:val="superscript"/>
          <w:lang w:val="zh-CN"/>
        </w:rPr>
        <w:footnoteRef/>
      </w:r>
      <w:r>
        <w:rPr>
          <w:rStyle w:val="13"/>
          <w:rFonts w:hint="eastAsia" w:ascii="宋体" w:hAnsi="宋体" w:eastAsia="宋体" w:cs="宋体"/>
          <w:kern w:val="0"/>
          <w:sz w:val="15"/>
          <w:szCs w:val="15"/>
          <w:lang w:val="zh-CN"/>
        </w:rPr>
        <w:t xml:space="preserve"> 单位负责人，是指单位法定代表人或者法律、行政法规规定代表单位行使职权的主要负责人。（招标文件中所列“单位负责人”均作本条解释）。</w:t>
      </w:r>
    </w:p>
  </w:footnote>
  <w:footnote w:id="2">
    <w:p w14:paraId="13584C82">
      <w:pPr>
        <w:pStyle w:val="15"/>
        <w:adjustRightInd w:val="0"/>
        <w:snapToGrid w:val="0"/>
        <w:spacing w:line="320" w:lineRule="exact"/>
        <w:jc w:val="left"/>
        <w:textAlignment w:val="baseline"/>
        <w:rPr>
          <w:rStyle w:val="13"/>
          <w:rFonts w:ascii="宋体" w:hAnsi="宋体" w:eastAsia="宋体" w:cs="宋体"/>
          <w:kern w:val="0"/>
          <w:sz w:val="15"/>
          <w:szCs w:val="15"/>
          <w:lang w:val="zh-CN"/>
        </w:rPr>
      </w:pPr>
      <w:r>
        <w:rPr>
          <w:rStyle w:val="13"/>
          <w:rFonts w:hint="eastAsia" w:ascii="宋体" w:hAnsi="宋体" w:eastAsia="宋体" w:cs="宋体"/>
          <w:kern w:val="0"/>
          <w:sz w:val="15"/>
          <w:szCs w:val="15"/>
          <w:vertAlign w:val="superscript"/>
          <w:lang w:val="zh-CN"/>
        </w:rPr>
        <w:footnoteRef/>
      </w:r>
      <w:r>
        <w:rPr>
          <w:rStyle w:val="13"/>
          <w:rFonts w:hint="eastAsia" w:ascii="宋体" w:hAnsi="宋体" w:eastAsia="宋体" w:cs="宋体"/>
          <w:kern w:val="0"/>
          <w:sz w:val="15"/>
          <w:szCs w:val="15"/>
          <w:lang w:val="zh-CN"/>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3">
    <w:p w14:paraId="3D5B988D">
      <w:pPr>
        <w:pStyle w:val="15"/>
        <w:adjustRightInd w:val="0"/>
        <w:snapToGrid w:val="0"/>
        <w:spacing w:line="320" w:lineRule="exact"/>
        <w:jc w:val="left"/>
        <w:textAlignment w:val="baseline"/>
        <w:rPr>
          <w:rStyle w:val="13"/>
          <w:rFonts w:ascii="宋体" w:hAnsi="宋体" w:eastAsia="宋体" w:cs="宋体"/>
          <w:kern w:val="0"/>
          <w:sz w:val="15"/>
          <w:szCs w:val="15"/>
          <w:lang w:val="zh-CN"/>
        </w:rPr>
      </w:pPr>
      <w:r>
        <w:rPr>
          <w:rStyle w:val="13"/>
          <w:rFonts w:hint="eastAsia" w:ascii="宋体" w:hAnsi="宋体" w:eastAsia="宋体" w:cs="宋体"/>
          <w:kern w:val="0"/>
          <w:sz w:val="15"/>
          <w:szCs w:val="15"/>
          <w:vertAlign w:val="superscript"/>
          <w:lang w:val="zh-CN"/>
        </w:rPr>
        <w:footnoteRef/>
      </w:r>
      <w:r>
        <w:rPr>
          <w:rStyle w:val="13"/>
          <w:rFonts w:hint="eastAsia" w:ascii="宋体" w:hAnsi="宋体" w:eastAsia="宋体" w:cs="宋体"/>
          <w:kern w:val="0"/>
          <w:sz w:val="15"/>
          <w:szCs w:val="15"/>
          <w:lang w:val="zh-CN"/>
        </w:rPr>
        <w:t xml:space="preserve"> 管理，是指不具有出资持股关系的其他单位之间存在的管理与被管理关系。（招标文件中所列“管理”均作本条解释）。</w:t>
      </w:r>
    </w:p>
  </w:footnote>
  <w:footnote w:id="4">
    <w:p w14:paraId="1CE11696">
      <w:pPr>
        <w:pStyle w:val="5"/>
        <w:spacing w:line="300" w:lineRule="atLeast"/>
        <w:ind w:left="180" w:hanging="180" w:hangingChars="100"/>
        <w:rPr>
          <w:szCs w:val="18"/>
        </w:rPr>
      </w:pPr>
      <w:r>
        <w:rPr>
          <w:rStyle w:val="14"/>
          <w:szCs w:val="18"/>
        </w:rPr>
        <w:footnoteRef/>
      </w:r>
      <w:r>
        <w:rPr>
          <w:szCs w:val="18"/>
          <w:highlight w:val="white"/>
        </w:rPr>
        <w:t xml:space="preserve"> “</w:t>
      </w:r>
      <w:r>
        <w:rPr>
          <w:rFonts w:hint="eastAsia"/>
          <w:szCs w:val="18"/>
          <w:highlight w:val="white"/>
        </w:rPr>
        <w:t>评标办法前附表</w:t>
      </w:r>
      <w:r>
        <w:rPr>
          <w:szCs w:val="18"/>
          <w:highlight w:val="white"/>
        </w:rPr>
        <w:t>”</w:t>
      </w:r>
      <w:r>
        <w:rPr>
          <w:rFonts w:hint="eastAsia"/>
          <w:szCs w:val="18"/>
          <w:highlight w:val="white"/>
        </w:rPr>
        <w:t>用于明确评标的方法、因素、标准和程序。招标人应根据招标项目具体特点和实际需要，详细列明全部评审因素、标准，没有列明的因素和标准不得作为评标的依据。</w:t>
      </w:r>
    </w:p>
  </w:footnote>
  <w:footnote w:id="5">
    <w:p w14:paraId="315C7920">
      <w:pPr>
        <w:pStyle w:val="5"/>
        <w:spacing w:line="280" w:lineRule="atLeast"/>
        <w:ind w:left="180" w:hanging="180" w:hangingChars="100"/>
        <w:rPr>
          <w:rFonts w:hint="eastAsia" w:ascii="黑体" w:hAnsi="黑体" w:eastAsia="黑体"/>
          <w:szCs w:val="18"/>
        </w:rPr>
      </w:pPr>
      <w:r>
        <w:rPr>
          <w:rStyle w:val="14"/>
          <w:rFonts w:ascii="黑体" w:hAnsi="黑体" w:eastAsia="黑体"/>
          <w:szCs w:val="18"/>
        </w:rPr>
        <w:footnoteRef/>
      </w:r>
      <w:r>
        <w:rPr>
          <w:rFonts w:hint="eastAsia" w:ascii="黑体" w:hAnsi="黑体" w:eastAsia="黑体"/>
          <w:szCs w:val="18"/>
          <w:highlight w:val="white"/>
        </w:rPr>
        <w:t xml:space="preserve"> </w:t>
      </w:r>
      <w:r>
        <w:rPr>
          <w:rFonts w:hint="eastAsia" w:ascii="黑体" w:hAnsi="黑体" w:eastAsia="黑体"/>
          <w:highlight w:val="white"/>
        </w:rPr>
        <w:t>具体数值由招标人依据项目特点和实际需要予以明确。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8422B"/>
    <w:rsid w:val="02614EBE"/>
    <w:rsid w:val="2AF46035"/>
    <w:rsid w:val="324A2916"/>
    <w:rsid w:val="4098422B"/>
    <w:rsid w:val="6EBF142E"/>
    <w:rsid w:val="7621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unhideWhenUsed/>
    <w:qFormat/>
    <w:uiPriority w:val="0"/>
    <w:pPr>
      <w:spacing w:before="120" w:after="120" w:line="360" w:lineRule="auto"/>
      <w:outlineLvl w:val="2"/>
    </w:pPr>
    <w:rPr>
      <w:b/>
      <w:kern w:val="0"/>
      <w:sz w:val="32"/>
      <w:szCs w:val="20"/>
    </w:rPr>
  </w:style>
  <w:style w:type="paragraph" w:styleId="4">
    <w:name w:val="heading 4"/>
    <w:basedOn w:val="1"/>
    <w:next w:val="3"/>
    <w:unhideWhenUsed/>
    <w:qFormat/>
    <w:uiPriority w:val="0"/>
    <w:pPr>
      <w:keepNext/>
      <w:adjustRightInd w:val="0"/>
      <w:spacing w:line="420" w:lineRule="atLeast"/>
      <w:ind w:firstLine="454"/>
      <w:jc w:val="center"/>
      <w:outlineLvl w:val="3"/>
    </w:pPr>
    <w:rPr>
      <w:i/>
      <w:kern w:val="0"/>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footnote text"/>
    <w:basedOn w:val="1"/>
    <w:semiHidden/>
    <w:unhideWhenUsed/>
    <w:qFormat/>
    <w:uiPriority w:val="99"/>
    <w:pPr>
      <w:adjustRightInd w:val="0"/>
      <w:snapToGrid w:val="0"/>
      <w:spacing w:line="420" w:lineRule="atLeast"/>
      <w:ind w:firstLine="454"/>
      <w:jc w:val="left"/>
    </w:pPr>
    <w:rPr>
      <w:kern w:val="0"/>
      <w:sz w:val="18"/>
      <w:szCs w:val="20"/>
    </w:rPr>
  </w:style>
  <w:style w:type="paragraph" w:styleId="6">
    <w:name w:val="Title"/>
    <w:basedOn w:val="1"/>
    <w:link w:val="18"/>
    <w:qFormat/>
    <w:uiPriority w:val="99"/>
    <w:pPr>
      <w:adjustRightInd w:val="0"/>
      <w:spacing w:before="240" w:after="60" w:line="420" w:lineRule="atLeast"/>
      <w:jc w:val="center"/>
      <w:outlineLvl w:val="0"/>
    </w:pPr>
    <w:rPr>
      <w:rFonts w:ascii="Arial" w:hAnsi="Arial" w:eastAsia="黑体"/>
      <w:b/>
      <w:kern w:val="0"/>
      <w:sz w:val="42"/>
      <w:szCs w:val="20"/>
    </w:rPr>
  </w:style>
  <w:style w:type="paragraph" w:styleId="7">
    <w:name w:val="Body Text First Indent 2"/>
    <w:basedOn w:val="8"/>
    <w:next w:val="10"/>
    <w:qFormat/>
    <w:uiPriority w:val="99"/>
    <w:pPr>
      <w:ind w:firstLine="420" w:firstLineChars="200"/>
    </w:pPr>
  </w:style>
  <w:style w:type="paragraph" w:customStyle="1" w:styleId="8">
    <w:name w:val="正文文本缩进_0"/>
    <w:basedOn w:val="9"/>
    <w:unhideWhenUsed/>
    <w:qFormat/>
    <w:uiPriority w:val="0"/>
    <w:pPr>
      <w:spacing w:after="120"/>
      <w:ind w:left="420" w:leftChars="200"/>
    </w:pPr>
    <w:rPr>
      <w:rFonts w:ascii="Calibri" w:hAnsi="Calibri" w:eastAsia="宋体" w:cs="Times New Roman"/>
    </w:rPr>
  </w:style>
  <w:style w:type="paragraph" w:customStyle="1" w:styleId="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缩进_0"/>
    <w:basedOn w:val="11"/>
    <w:unhideWhenUsed/>
    <w:qFormat/>
    <w:uiPriority w:val="99"/>
    <w:pPr>
      <w:ind w:firstLine="420" w:firstLineChars="200"/>
    </w:pPr>
    <w:rPr>
      <w:rFonts w:ascii="Times New Roman" w:hAnsi="Times New Roman" w:eastAsia="宋体" w:cs="Times New Roman"/>
      <w:szCs w:val="24"/>
    </w:rPr>
  </w:style>
  <w:style w:type="paragraph" w:customStyle="1" w:styleId="11">
    <w:name w:val="正文_1"/>
    <w:qFormat/>
    <w:uiPriority w:val="0"/>
    <w:pPr>
      <w:widowControl w:val="0"/>
      <w:jc w:val="both"/>
    </w:pPr>
    <w:rPr>
      <w:rFonts w:ascii="Calibri" w:hAnsi="Calibri" w:eastAsia="宋体" w:cs="Times New Roman"/>
      <w:kern w:val="2"/>
      <w:sz w:val="21"/>
      <w:szCs w:val="22"/>
      <w:lang w:val="en-US" w:eastAsia="zh-CN" w:bidi="ar-SA"/>
    </w:rPr>
  </w:style>
  <w:style w:type="character" w:styleId="14">
    <w:name w:val="footnote reference"/>
    <w:semiHidden/>
    <w:unhideWhenUsed/>
    <w:qFormat/>
    <w:uiPriority w:val="0"/>
    <w:rPr>
      <w:vertAlign w:val="superscript"/>
    </w:rPr>
  </w:style>
  <w:style w:type="paragraph" w:customStyle="1" w:styleId="15">
    <w:name w:val="正文_0"/>
    <w:next w:val="7"/>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6">
    <w:name w:val="网格型_0"/>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标题 Char"/>
    <w:link w:val="6"/>
    <w:qFormat/>
    <w:uiPriority w:val="99"/>
    <w:rPr>
      <w:rFonts w:ascii="Arial" w:hAnsi="Arial" w:eastAsia="黑体"/>
      <w:b/>
      <w:kern w:val="0"/>
      <w:sz w:val="4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5189</Words>
  <Characters>5892</Characters>
  <Lines>0</Lines>
  <Paragraphs>0</Paragraphs>
  <TotalTime>6</TotalTime>
  <ScaleCrop>false</ScaleCrop>
  <LinksUpToDate>false</LinksUpToDate>
  <CharactersWithSpaces>6234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2025-06-10T09:17:00Z</dcterms:created>
  <dc:creator>刘诗郁（中南）</dc:creator>
  <cp:lastModifiedBy>LY</cp:lastModifiedBy>
  <dcterms:modified xsi:type="dcterms:W3CDTF">2025-06-11T02:34:41Z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671EF1D4AE2747F4A78941D88EF53681_13</vt:lpwstr>
  </property>
  <property fmtid="{D5CDD505-2E9C-101B-9397-08002B2CF9AE}" pid="4" name="KSOTemplateDocerSaveRecord">
    <vt:lpwstr>eyJoZGlkIjoiNjFkMzA0ZTFhMmViZjMxYTQ4YjQ4MTMzOTgxOWUxOGEiLCJ1c2VySWQiOiIzMDg3OTE5NTQifQ==</vt:lpwstr>
  </property>
</Properties>
</file>