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line="440" w:lineRule="exact"/>
        <w:jc w:val="center"/>
        <w:rPr>
          <w:rStyle w:val="18"/>
          <w:rFonts w:hint="eastAsia" w:ascii="Times New Roman" w:hAnsi="Times New Roman" w:eastAsia="黑体" w:cs="Times New Roman"/>
          <w:sz w:val="28"/>
          <w:szCs w:val="28"/>
          <w:lang w:val="en-US" w:eastAsia="zh-CN"/>
        </w:rPr>
      </w:pPr>
      <w:bookmarkStart w:id="0" w:name="OLE_LINK9"/>
      <w:r>
        <w:rPr>
          <w:rStyle w:val="18"/>
          <w:rFonts w:hint="eastAsia" w:ascii="Times New Roman" w:hAnsi="Times New Roman" w:eastAsia="黑体" w:cs="Times New Roman"/>
          <w:sz w:val="28"/>
          <w:szCs w:val="28"/>
          <w:lang w:val="en-US" w:eastAsia="zh-CN"/>
        </w:rPr>
        <w:t>湖南高速广通实业发展有限公司通道服务区提质改造项目TZGZ1标段施工招标公</w:t>
      </w:r>
      <w:bookmarkStart w:id="54" w:name="_GoBack"/>
      <w:bookmarkEnd w:id="54"/>
      <w:r>
        <w:rPr>
          <w:rStyle w:val="18"/>
          <w:rFonts w:hint="eastAsia" w:ascii="Times New Roman" w:hAnsi="Times New Roman" w:eastAsia="黑体" w:cs="Times New Roman"/>
          <w:sz w:val="28"/>
          <w:szCs w:val="28"/>
          <w:lang w:val="en-US" w:eastAsia="zh-CN"/>
        </w:rPr>
        <w:t>告</w:t>
      </w:r>
    </w:p>
    <w:p>
      <w:pPr>
        <w:pStyle w:val="20"/>
        <w:spacing w:line="440" w:lineRule="exact"/>
        <w:jc w:val="center"/>
        <w:rPr>
          <w:rStyle w:val="18"/>
          <w:rFonts w:hint="eastAsia" w:ascii="Times New Roman" w:hAnsi="Times New Roman" w:eastAsia="黑体" w:cs="Times New Roman"/>
          <w:sz w:val="28"/>
          <w:szCs w:val="28"/>
          <w:lang w:val="en-US" w:eastAsia="zh-CN"/>
        </w:rPr>
      </w:pPr>
    </w:p>
    <w:p>
      <w:pPr>
        <w:pStyle w:val="20"/>
        <w:spacing w:line="440" w:lineRule="exact"/>
        <w:jc w:val="center"/>
        <w:rPr>
          <w:rStyle w:val="18"/>
          <w:rFonts w:hint="eastAsia" w:ascii="Times New Roman" w:hAnsi="Times New Roman" w:eastAsia="黑体" w:cs="Times New Roman"/>
          <w:sz w:val="28"/>
          <w:szCs w:val="28"/>
          <w:lang w:val="en-US" w:eastAsia="zh-CN"/>
        </w:rPr>
      </w:pPr>
      <w:r>
        <w:rPr>
          <w:rStyle w:val="18"/>
          <w:rFonts w:hint="eastAsia" w:ascii="Times New Roman" w:hAnsi="Times New Roman" w:eastAsia="黑体" w:cs="Times New Roman"/>
          <w:sz w:val="28"/>
          <w:szCs w:val="28"/>
          <w:lang w:val="en-US" w:eastAsia="zh-CN"/>
        </w:rPr>
        <w:t>投标文件递交截止时间：2024年11月18日9:00</w:t>
      </w:r>
    </w:p>
    <w:p>
      <w:pPr>
        <w:pStyle w:val="20"/>
        <w:spacing w:line="440" w:lineRule="exact"/>
        <w:jc w:val="center"/>
        <w:rPr>
          <w:rStyle w:val="18"/>
          <w:rFonts w:hint="default" w:ascii="Times New Roman" w:hAnsi="Times New Roman" w:eastAsia="黑体" w:cs="Times New Roman"/>
          <w:sz w:val="28"/>
          <w:szCs w:val="28"/>
          <w:lang w:val="en-US" w:eastAsia="zh-CN"/>
        </w:rPr>
      </w:pPr>
      <w:r>
        <w:rPr>
          <w:rStyle w:val="18"/>
          <w:rFonts w:hint="default" w:ascii="Times New Roman" w:hAnsi="Times New Roman" w:eastAsia="黑体" w:cs="Times New Roman"/>
          <w:sz w:val="28"/>
          <w:szCs w:val="28"/>
          <w:lang w:val="en-US" w:eastAsia="zh-CN"/>
        </w:rPr>
        <w:t>开标时间：同</w:t>
      </w:r>
      <w:r>
        <w:rPr>
          <w:rStyle w:val="18"/>
          <w:rFonts w:hint="eastAsia" w:ascii="Times New Roman" w:hAnsi="Times New Roman" w:eastAsia="黑体" w:cs="Times New Roman"/>
          <w:sz w:val="28"/>
          <w:szCs w:val="28"/>
          <w:lang w:val="en-US" w:eastAsia="zh-CN"/>
        </w:rPr>
        <w:t>投标</w:t>
      </w:r>
      <w:r>
        <w:rPr>
          <w:rStyle w:val="18"/>
          <w:rFonts w:hint="default" w:ascii="Times New Roman" w:hAnsi="Times New Roman" w:eastAsia="黑体" w:cs="Times New Roman"/>
          <w:sz w:val="28"/>
          <w:szCs w:val="28"/>
          <w:lang w:val="en-US" w:eastAsia="zh-CN"/>
        </w:rPr>
        <w:t>文件递交截止时间</w:t>
      </w:r>
    </w:p>
    <w:p>
      <w:pPr>
        <w:pStyle w:val="22"/>
        <w:rPr>
          <w:rStyle w:val="18"/>
          <w:rFonts w:ascii="Times New Roman" w:hAnsi="Times New Roman" w:cs="Times New Roman"/>
          <w:szCs w:val="28"/>
        </w:rPr>
      </w:pPr>
      <w:r>
        <w:rPr>
          <w:rStyle w:val="18"/>
          <w:rFonts w:ascii="Times New Roman" w:hAnsi="Times New Roman" w:cs="Times New Roman"/>
          <w:szCs w:val="28"/>
        </w:rPr>
        <w:t xml:space="preserve">1. </w:t>
      </w:r>
      <w:r>
        <w:rPr>
          <w:rStyle w:val="18"/>
          <w:rFonts w:hint="eastAsia" w:ascii="Times New Roman" w:hAnsi="Times New Roman" w:cs="Times New Roman"/>
          <w:szCs w:val="28"/>
        </w:rPr>
        <w:t>招标条件</w:t>
      </w:r>
    </w:p>
    <w:p>
      <w:pPr>
        <w:pStyle w:val="24"/>
        <w:spacing w:line="440" w:lineRule="exact"/>
        <w:ind w:firstLine="480" w:firstLineChars="200"/>
        <w:rPr>
          <w:rStyle w:val="18"/>
          <w:rFonts w:ascii="Times New Roman" w:hAnsi="Times New Roman" w:eastAsia="宋体" w:cs="Times New Roman"/>
          <w:color w:val="auto"/>
          <w:sz w:val="24"/>
          <w:szCs w:val="24"/>
          <w:highlight w:val="none"/>
        </w:rPr>
      </w:pPr>
      <w:r>
        <w:rPr>
          <w:rStyle w:val="18"/>
          <w:rFonts w:ascii="Times New Roman" w:hAnsi="Times New Roman"/>
          <w:sz w:val="24"/>
          <w:szCs w:val="24"/>
        </w:rPr>
        <w:t>本招标项目</w:t>
      </w:r>
      <w:r>
        <w:rPr>
          <w:rStyle w:val="18"/>
          <w:rFonts w:hint="eastAsia" w:ascii="Times New Roman" w:hAnsi="Times New Roman"/>
          <w:sz w:val="24"/>
          <w:szCs w:val="24"/>
          <w:u w:val="single"/>
        </w:rPr>
        <w:t>湖南高速广通实业发展有限公司通道服务区提质改造项目</w:t>
      </w:r>
      <w:r>
        <w:rPr>
          <w:rStyle w:val="18"/>
          <w:rFonts w:ascii="Times New Roman" w:hAnsi="Times New Roman"/>
          <w:sz w:val="24"/>
          <w:szCs w:val="24"/>
          <w:u w:val="single"/>
        </w:rPr>
        <w:t xml:space="preserve"> </w:t>
      </w:r>
      <w:r>
        <w:rPr>
          <w:rStyle w:val="18"/>
          <w:rFonts w:ascii="Times New Roman" w:hAnsi="Times New Roman"/>
          <w:sz w:val="24"/>
          <w:szCs w:val="24"/>
        </w:rPr>
        <w:t>（项目名称）已由</w:t>
      </w:r>
      <w:r>
        <w:rPr>
          <w:rStyle w:val="18"/>
          <w:rFonts w:hint="eastAsia" w:ascii="Times New Roman" w:hAnsi="Times New Roman"/>
          <w:sz w:val="24"/>
          <w:szCs w:val="24"/>
          <w:u w:val="single"/>
          <w:lang w:val="en-US" w:eastAsia="zh-CN"/>
        </w:rPr>
        <w:t>湖南省交通运输厅</w:t>
      </w:r>
      <w:r>
        <w:rPr>
          <w:rStyle w:val="18"/>
          <w:rFonts w:ascii="Times New Roman" w:hAnsi="Times New Roman"/>
          <w:sz w:val="24"/>
          <w:szCs w:val="24"/>
        </w:rPr>
        <w:t>以</w:t>
      </w:r>
      <w:r>
        <w:rPr>
          <w:rStyle w:val="18"/>
          <w:rFonts w:hint="eastAsia" w:ascii="Times New Roman" w:hAnsi="Times New Roman"/>
          <w:sz w:val="24"/>
          <w:szCs w:val="24"/>
          <w:u w:val="single"/>
          <w:lang w:eastAsia="zh-CN"/>
        </w:rPr>
        <w:t>关于印发《湖南省高速公路服务区提质改造规划》的通知（</w:t>
      </w:r>
      <w:r>
        <w:rPr>
          <w:rStyle w:val="18"/>
          <w:rFonts w:hint="eastAsia" w:ascii="Times New Roman" w:hAnsi="Times New Roman"/>
          <w:sz w:val="24"/>
          <w:szCs w:val="24"/>
          <w:u w:val="single"/>
        </w:rPr>
        <w:t>交养管〔2022〕46号</w:t>
      </w:r>
      <w:r>
        <w:rPr>
          <w:rStyle w:val="18"/>
          <w:rFonts w:hint="eastAsia" w:ascii="Times New Roman" w:hAnsi="Times New Roman"/>
          <w:sz w:val="24"/>
          <w:szCs w:val="24"/>
          <w:u w:val="single"/>
          <w:lang w:val="en-US" w:eastAsia="zh-CN"/>
        </w:rPr>
        <w:t>文</w:t>
      </w:r>
      <w:r>
        <w:rPr>
          <w:rStyle w:val="18"/>
          <w:rFonts w:hint="eastAsia" w:ascii="Times New Roman" w:hAnsi="Times New Roman"/>
          <w:sz w:val="24"/>
          <w:szCs w:val="24"/>
          <w:u w:val="single"/>
          <w:lang w:eastAsia="zh-CN"/>
        </w:rPr>
        <w:t>）</w:t>
      </w:r>
      <w:r>
        <w:rPr>
          <w:rStyle w:val="18"/>
          <w:rFonts w:ascii="Times New Roman" w:hAnsi="Times New Roman"/>
          <w:sz w:val="24"/>
          <w:szCs w:val="24"/>
        </w:rPr>
        <w:t>批准建设，</w:t>
      </w:r>
      <w:r>
        <w:rPr>
          <w:rStyle w:val="18"/>
          <w:rFonts w:ascii="Times New Roman" w:hAnsi="Times New Roman"/>
          <w:sz w:val="24"/>
          <w:szCs w:val="24"/>
          <w:highlight w:val="none"/>
        </w:rPr>
        <w:t>施工图设计已由</w:t>
      </w:r>
      <w:r>
        <w:rPr>
          <w:rStyle w:val="18"/>
          <w:rFonts w:hint="eastAsia" w:ascii="Times New Roman" w:hAnsi="Times New Roman"/>
          <w:sz w:val="24"/>
          <w:szCs w:val="24"/>
          <w:highlight w:val="none"/>
          <w:u w:val="single"/>
        </w:rPr>
        <w:t>湖南省高速公路集团有限公司</w:t>
      </w:r>
      <w:r>
        <w:rPr>
          <w:rStyle w:val="18"/>
          <w:rFonts w:ascii="Times New Roman" w:hAnsi="Times New Roman"/>
          <w:sz w:val="24"/>
          <w:szCs w:val="24"/>
          <w:highlight w:val="none"/>
        </w:rPr>
        <w:t>以</w:t>
      </w:r>
      <w:r>
        <w:rPr>
          <w:rStyle w:val="18"/>
          <w:rFonts w:hint="eastAsia"/>
          <w:sz w:val="24"/>
          <w:szCs w:val="24"/>
          <w:highlight w:val="none"/>
          <w:u w:val="single"/>
          <w:lang w:eastAsia="zh-CN"/>
        </w:rPr>
        <w:t>《关于</w:t>
      </w:r>
      <w:r>
        <w:rPr>
          <w:rStyle w:val="18"/>
          <w:rFonts w:hint="eastAsia"/>
          <w:sz w:val="24"/>
          <w:szCs w:val="24"/>
          <w:highlight w:val="none"/>
          <w:u w:val="single"/>
          <w:lang w:val="en-US" w:eastAsia="zh-CN"/>
        </w:rPr>
        <w:t>通道</w:t>
      </w:r>
      <w:r>
        <w:rPr>
          <w:rStyle w:val="18"/>
          <w:rFonts w:hint="eastAsia"/>
          <w:sz w:val="24"/>
          <w:szCs w:val="24"/>
          <w:highlight w:val="none"/>
          <w:u w:val="single"/>
          <w:lang w:eastAsia="zh-CN"/>
        </w:rPr>
        <w:t>服务区提质改造项目施工图设计的批复》（</w:t>
      </w:r>
      <w:r>
        <w:rPr>
          <w:rStyle w:val="18"/>
          <w:rFonts w:hint="eastAsia"/>
          <w:sz w:val="24"/>
          <w:szCs w:val="24"/>
          <w:highlight w:val="none"/>
          <w:u w:val="single"/>
          <w:lang w:val="en-US" w:eastAsia="zh-CN"/>
        </w:rPr>
        <w:t>湘高速建函〔2024〕512 号文件</w:t>
      </w:r>
      <w:r>
        <w:rPr>
          <w:rStyle w:val="18"/>
          <w:rFonts w:ascii="Times New Roman" w:hAnsi="Times New Roman"/>
          <w:sz w:val="24"/>
          <w:szCs w:val="24"/>
          <w:highlight w:val="none"/>
        </w:rPr>
        <w:t>批准，项</w:t>
      </w:r>
      <w:r>
        <w:rPr>
          <w:rStyle w:val="18"/>
          <w:rFonts w:ascii="Times New Roman" w:hAnsi="Times New Roman"/>
          <w:sz w:val="24"/>
          <w:szCs w:val="24"/>
        </w:rPr>
        <w:t>目业主为</w:t>
      </w:r>
      <w:r>
        <w:rPr>
          <w:rStyle w:val="18"/>
          <w:rFonts w:hint="eastAsia" w:ascii="Times New Roman" w:hAnsi="Times New Roman"/>
          <w:sz w:val="24"/>
          <w:szCs w:val="24"/>
          <w:u w:val="single"/>
        </w:rPr>
        <w:t>湖南高速广通实业发展有限公司</w:t>
      </w:r>
      <w:r>
        <w:rPr>
          <w:rStyle w:val="18"/>
          <w:rFonts w:ascii="Times New Roman" w:hAnsi="Times New Roman"/>
          <w:sz w:val="24"/>
          <w:szCs w:val="24"/>
        </w:rPr>
        <w:t>，建设资金来自</w:t>
      </w:r>
      <w:r>
        <w:rPr>
          <w:rStyle w:val="18"/>
          <w:rFonts w:hint="eastAsia" w:ascii="Times New Roman" w:hAnsi="Times New Roman"/>
          <w:sz w:val="24"/>
          <w:szCs w:val="24"/>
          <w:u w:val="single"/>
          <w:lang w:val="en-US" w:eastAsia="zh-CN"/>
        </w:rPr>
        <w:t>自筹</w:t>
      </w:r>
      <w:r>
        <w:rPr>
          <w:rStyle w:val="18"/>
          <w:rFonts w:ascii="Times New Roman" w:hAnsi="Times New Roman"/>
          <w:sz w:val="24"/>
          <w:szCs w:val="24"/>
        </w:rPr>
        <w:t>，出资比例为</w:t>
      </w:r>
      <w:r>
        <w:rPr>
          <w:rStyle w:val="18"/>
          <w:rFonts w:ascii="Times New Roman" w:hAnsi="Times New Roman"/>
          <w:sz w:val="24"/>
          <w:szCs w:val="24"/>
          <w:u w:val="single"/>
        </w:rPr>
        <w:t xml:space="preserve"> </w:t>
      </w:r>
      <w:r>
        <w:rPr>
          <w:rStyle w:val="18"/>
          <w:rFonts w:hint="eastAsia" w:ascii="Times New Roman" w:hAnsi="Times New Roman"/>
          <w:sz w:val="24"/>
          <w:szCs w:val="24"/>
          <w:u w:val="single"/>
          <w:lang w:val="en-US" w:eastAsia="zh-CN"/>
        </w:rPr>
        <w:t>100%</w:t>
      </w:r>
      <w:r>
        <w:rPr>
          <w:rStyle w:val="18"/>
          <w:rFonts w:ascii="Times New Roman" w:hAnsi="Times New Roman"/>
          <w:sz w:val="24"/>
          <w:szCs w:val="24"/>
          <w:u w:val="single"/>
        </w:rPr>
        <w:t xml:space="preserve"> </w:t>
      </w:r>
      <w:r>
        <w:rPr>
          <w:rStyle w:val="18"/>
          <w:rFonts w:ascii="Times New Roman" w:hAnsi="Times New Roman"/>
          <w:sz w:val="24"/>
          <w:szCs w:val="24"/>
        </w:rPr>
        <w:t>，招标人为</w:t>
      </w:r>
      <w:r>
        <w:rPr>
          <w:rStyle w:val="18"/>
          <w:rFonts w:ascii="Times New Roman" w:hAnsi="Times New Roman"/>
          <w:sz w:val="24"/>
          <w:szCs w:val="24"/>
          <w:u w:val="single"/>
        </w:rPr>
        <w:t xml:space="preserve"> </w:t>
      </w:r>
      <w:r>
        <w:rPr>
          <w:rStyle w:val="18"/>
          <w:rFonts w:hint="eastAsia" w:ascii="Times New Roman" w:hAnsi="Times New Roman"/>
          <w:sz w:val="24"/>
          <w:szCs w:val="24"/>
          <w:u w:val="single"/>
        </w:rPr>
        <w:t>湖南高速广通实业发展有限公司</w:t>
      </w:r>
      <w:r>
        <w:rPr>
          <w:rStyle w:val="18"/>
          <w:rFonts w:ascii="Times New Roman" w:hAnsi="Times New Roman"/>
          <w:sz w:val="24"/>
          <w:szCs w:val="24"/>
          <w:u w:val="single"/>
        </w:rPr>
        <w:t xml:space="preserve"> </w:t>
      </w:r>
      <w:r>
        <w:rPr>
          <w:rStyle w:val="18"/>
          <w:rFonts w:ascii="Times New Roman" w:hAnsi="Times New Roman"/>
          <w:sz w:val="24"/>
          <w:szCs w:val="24"/>
        </w:rPr>
        <w:t>。项目已具备招标条件，现对该项目的施工进行公开招标。</w:t>
      </w:r>
      <w:r>
        <w:rPr>
          <w:rStyle w:val="18"/>
          <w:rFonts w:ascii="Times New Roman" w:hAnsi="Times New Roman" w:eastAsia="宋体" w:cs="Times New Roman"/>
          <w:color w:val="auto"/>
          <w:sz w:val="24"/>
          <w:szCs w:val="24"/>
          <w:highlight w:val="none"/>
        </w:rPr>
        <w:t xml:space="preserve"> </w:t>
      </w:r>
    </w:p>
    <w:p>
      <w:pPr>
        <w:pStyle w:val="22"/>
        <w:rPr>
          <w:rStyle w:val="18"/>
          <w:rFonts w:ascii="Times New Roman" w:hAnsi="Times New Roman" w:cs="Times New Roman"/>
        </w:rPr>
      </w:pPr>
      <w:r>
        <w:rPr>
          <w:rStyle w:val="18"/>
          <w:rFonts w:ascii="Times New Roman" w:hAnsi="Times New Roman" w:cs="Times New Roman"/>
        </w:rPr>
        <w:t xml:space="preserve">2. </w:t>
      </w:r>
      <w:r>
        <w:rPr>
          <w:rStyle w:val="18"/>
          <w:rFonts w:hint="eastAsia" w:ascii="Times New Roman" w:hAnsi="Times New Roman" w:cs="Times New Roman"/>
        </w:rPr>
        <w:t>项目概况与招标范围</w:t>
      </w:r>
    </w:p>
    <w:p>
      <w:pPr>
        <w:pStyle w:val="20"/>
        <w:spacing w:line="400" w:lineRule="atLeast"/>
        <w:rPr>
          <w:rStyle w:val="18"/>
          <w:rFonts w:ascii="Times New Roman" w:hAnsi="Times New Roman" w:eastAsia="黑体" w:cs="Times New Roman"/>
          <w:sz w:val="24"/>
        </w:rPr>
      </w:pPr>
      <w:r>
        <w:rPr>
          <w:rStyle w:val="18"/>
          <w:rFonts w:ascii="Times New Roman" w:hAnsi="Times New Roman" w:eastAsia="黑体" w:cs="Times New Roman"/>
          <w:sz w:val="24"/>
        </w:rPr>
        <w:t xml:space="preserve">2.1 </w:t>
      </w:r>
      <w:r>
        <w:rPr>
          <w:rStyle w:val="18"/>
          <w:rFonts w:hint="eastAsia" w:ascii="Times New Roman" w:hAnsi="Times New Roman" w:eastAsia="黑体" w:cs="Times New Roman"/>
          <w:sz w:val="24"/>
        </w:rPr>
        <w:t>建设地点：</w:t>
      </w:r>
      <w:r>
        <w:rPr>
          <w:rStyle w:val="18"/>
          <w:rFonts w:ascii="Times New Roman" w:hAnsi="Times New Roman" w:eastAsia="宋体" w:cs="Times New Roman"/>
          <w:sz w:val="24"/>
        </w:rPr>
        <w:t>湖南省</w:t>
      </w:r>
      <w:r>
        <w:rPr>
          <w:rStyle w:val="18"/>
          <w:rFonts w:hint="eastAsia" w:ascii="Times New Roman" w:hAnsi="Times New Roman" w:eastAsia="宋体" w:cs="Times New Roman"/>
          <w:sz w:val="24"/>
          <w:lang w:val="en-US" w:eastAsia="zh-CN"/>
        </w:rPr>
        <w:t>怀化</w:t>
      </w:r>
      <w:r>
        <w:rPr>
          <w:rStyle w:val="18"/>
          <w:rFonts w:ascii="Times New Roman" w:hAnsi="Times New Roman" w:eastAsia="宋体" w:cs="Times New Roman"/>
          <w:sz w:val="24"/>
        </w:rPr>
        <w:t>市境内。</w:t>
      </w:r>
    </w:p>
    <w:p>
      <w:pPr>
        <w:pStyle w:val="20"/>
        <w:spacing w:line="400" w:lineRule="atLeast"/>
        <w:jc w:val="left"/>
        <w:rPr>
          <w:rStyle w:val="18"/>
          <w:rFonts w:ascii="Times New Roman" w:hAnsi="Times New Roman" w:eastAsia="黑体" w:cs="Times New Roman"/>
          <w:sz w:val="24"/>
        </w:rPr>
      </w:pPr>
      <w:r>
        <w:rPr>
          <w:rStyle w:val="18"/>
          <w:rFonts w:ascii="Times New Roman" w:hAnsi="Times New Roman" w:eastAsia="黑体" w:cs="Times New Roman"/>
          <w:sz w:val="24"/>
        </w:rPr>
        <w:t xml:space="preserve">2.2 </w:t>
      </w:r>
      <w:r>
        <w:rPr>
          <w:rStyle w:val="18"/>
          <w:rFonts w:hint="eastAsia" w:ascii="Times New Roman" w:hAnsi="Times New Roman" w:eastAsia="黑体" w:cs="Times New Roman"/>
          <w:sz w:val="24"/>
        </w:rPr>
        <w:t>项目建设规模及招标范围：</w:t>
      </w:r>
      <w:r>
        <w:rPr>
          <w:rStyle w:val="18"/>
          <w:rFonts w:hint="eastAsia" w:ascii="Times New Roman" w:hAnsi="Times New Roman" w:eastAsia="宋体" w:cs="Times New Roman"/>
          <w:kern w:val="2"/>
          <w:sz w:val="24"/>
          <w:szCs w:val="24"/>
          <w:lang w:val="en-US" w:eastAsia="zh-CN" w:bidi="ar-SA"/>
        </w:rPr>
        <w:t>湖南高速广通实业发展有限公司通道服务区提质改造工程项目位于怀化市通道侗族自治县万佛山镇，包茂高速沿线，分为南、北两区。A区原综合楼总建筑面积1673m2,其中一层1287m2，改造后综合楼总建筑面积2001m2,其中一层1615m2，二层386m2，改造内容为对A 区原综合楼建筑外墙、室内公共区域装修、母婴室、开水间、司机之家提质改造，新建钢结构休闲区，新建走廊玻璃围护；B区新建综合楼1222m2 、连廊改造212m2。</w:t>
      </w:r>
      <w:r>
        <w:rPr>
          <w:rStyle w:val="18"/>
          <w:rFonts w:hint="eastAsia" w:ascii="Times New Roman" w:hAnsi="Times New Roman" w:eastAsia="黑体" w:cs="Times New Roman"/>
          <w:sz w:val="24"/>
          <w:lang w:val="en-US" w:eastAsia="zh-CN"/>
        </w:rPr>
        <w:t xml:space="preserve"> </w:t>
      </w:r>
    </w:p>
    <w:p>
      <w:pPr>
        <w:pStyle w:val="20"/>
        <w:spacing w:line="400" w:lineRule="atLeast"/>
        <w:ind w:firstLine="540" w:firstLineChars="225"/>
        <w:jc w:val="left"/>
        <w:rPr>
          <w:rStyle w:val="18"/>
          <w:rFonts w:ascii="Times New Roman" w:hAnsi="Times New Roman" w:eastAsia="黑体" w:cs="Times New Roman"/>
          <w:sz w:val="24"/>
        </w:rPr>
      </w:pPr>
      <w:r>
        <w:rPr>
          <w:rStyle w:val="18"/>
          <w:rFonts w:hint="eastAsia" w:ascii="Times New Roman" w:hAnsi="Times New Roman" w:eastAsia="黑体" w:cs="Times New Roman"/>
          <w:sz w:val="24"/>
        </w:rPr>
        <w:t>本次招标工程共分为</w:t>
      </w:r>
      <w:r>
        <w:rPr>
          <w:rStyle w:val="18"/>
          <w:rFonts w:hint="eastAsia" w:ascii="Times New Roman" w:hAnsi="Times New Roman" w:eastAsia="黑体" w:cs="Times New Roman"/>
          <w:sz w:val="24"/>
          <w:u w:val="single"/>
          <w:lang w:val="en-US" w:eastAsia="zh-CN"/>
        </w:rPr>
        <w:t>1</w:t>
      </w:r>
      <w:r>
        <w:rPr>
          <w:rStyle w:val="18"/>
          <w:rFonts w:hint="eastAsia" w:ascii="Times New Roman" w:hAnsi="Times New Roman" w:eastAsia="黑体" w:cs="Times New Roman"/>
          <w:sz w:val="24"/>
        </w:rPr>
        <w:t>个标段。其类别划分、工程内容等见下表。</w:t>
      </w:r>
    </w:p>
    <w:tbl>
      <w:tblPr>
        <w:tblStyle w:val="17"/>
        <w:tblW w:w="5000"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980"/>
        <w:gridCol w:w="917"/>
        <w:gridCol w:w="1402"/>
        <w:gridCol w:w="4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848" w:type="dxa"/>
            <w:noWrap w:val="0"/>
            <w:vAlign w:val="center"/>
          </w:tcPr>
          <w:p>
            <w:pPr>
              <w:pStyle w:val="20"/>
              <w:spacing w:line="240" w:lineRule="exact"/>
              <w:jc w:val="center"/>
              <w:rPr>
                <w:rStyle w:val="18"/>
                <w:rFonts w:ascii="Times New Roman" w:hAnsi="Times New Roman" w:eastAsia="黑体" w:cs="Times New Roman"/>
                <w:sz w:val="24"/>
              </w:rPr>
            </w:pPr>
            <w:r>
              <w:rPr>
                <w:rStyle w:val="18"/>
                <w:rFonts w:hint="eastAsia" w:ascii="Times New Roman" w:hAnsi="Times New Roman" w:eastAsia="黑体" w:cs="Times New Roman"/>
                <w:sz w:val="24"/>
              </w:rPr>
              <w:t>工程类别</w:t>
            </w:r>
          </w:p>
        </w:tc>
        <w:tc>
          <w:tcPr>
            <w:tcW w:w="1018" w:type="dxa"/>
            <w:noWrap w:val="0"/>
            <w:vAlign w:val="center"/>
          </w:tcPr>
          <w:p>
            <w:pPr>
              <w:pStyle w:val="20"/>
              <w:spacing w:line="240" w:lineRule="exact"/>
              <w:jc w:val="center"/>
              <w:rPr>
                <w:rStyle w:val="18"/>
                <w:rFonts w:ascii="Times New Roman" w:hAnsi="Times New Roman" w:eastAsia="黑体" w:cs="Times New Roman"/>
                <w:sz w:val="24"/>
              </w:rPr>
            </w:pPr>
            <w:r>
              <w:rPr>
                <w:rStyle w:val="18"/>
                <w:rFonts w:hint="eastAsia" w:ascii="Times New Roman" w:hAnsi="Times New Roman" w:eastAsia="黑体" w:cs="Times New Roman"/>
                <w:sz w:val="24"/>
              </w:rPr>
              <w:t>招标工程类别</w:t>
            </w:r>
            <w:r>
              <w:rPr>
                <w:rStyle w:val="31"/>
                <w:rFonts w:ascii="Times New Roman" w:hAnsi="Times New Roman" w:eastAsia="黑体" w:cs="Times New Roman"/>
                <w:sz w:val="24"/>
              </w:rPr>
              <w:footnoteReference w:id="0"/>
            </w:r>
          </w:p>
        </w:tc>
        <w:tc>
          <w:tcPr>
            <w:tcW w:w="952" w:type="dxa"/>
            <w:noWrap w:val="0"/>
            <w:vAlign w:val="center"/>
          </w:tcPr>
          <w:p>
            <w:pPr>
              <w:pStyle w:val="20"/>
              <w:spacing w:line="240" w:lineRule="exact"/>
              <w:jc w:val="center"/>
              <w:rPr>
                <w:rStyle w:val="18"/>
                <w:rFonts w:ascii="Times New Roman" w:hAnsi="Times New Roman" w:eastAsia="黑体" w:cs="Times New Roman"/>
                <w:sz w:val="24"/>
              </w:rPr>
            </w:pPr>
            <w:r>
              <w:rPr>
                <w:rStyle w:val="18"/>
                <w:rFonts w:hint="eastAsia" w:ascii="Times New Roman" w:hAnsi="Times New Roman" w:eastAsia="黑体" w:cs="Times New Roman"/>
                <w:sz w:val="24"/>
              </w:rPr>
              <w:t>标段号</w:t>
            </w:r>
          </w:p>
        </w:tc>
        <w:tc>
          <w:tcPr>
            <w:tcW w:w="1461" w:type="dxa"/>
            <w:noWrap w:val="0"/>
            <w:vAlign w:val="center"/>
          </w:tcPr>
          <w:p>
            <w:pPr>
              <w:pStyle w:val="20"/>
              <w:spacing w:line="240" w:lineRule="exact"/>
              <w:jc w:val="center"/>
              <w:rPr>
                <w:rStyle w:val="18"/>
                <w:rFonts w:ascii="Times New Roman" w:hAnsi="Times New Roman" w:eastAsia="黑体" w:cs="Times New Roman"/>
                <w:sz w:val="24"/>
              </w:rPr>
            </w:pPr>
            <w:r>
              <w:rPr>
                <w:rStyle w:val="18"/>
                <w:rFonts w:hint="eastAsia" w:ascii="Times New Roman" w:hAnsi="Times New Roman" w:eastAsia="黑体" w:cs="Times New Roman"/>
                <w:sz w:val="24"/>
              </w:rPr>
              <w:t>桩号</w:t>
            </w:r>
          </w:p>
        </w:tc>
        <w:tc>
          <w:tcPr>
            <w:tcW w:w="4612" w:type="dxa"/>
            <w:noWrap w:val="0"/>
            <w:vAlign w:val="center"/>
          </w:tcPr>
          <w:p>
            <w:pPr>
              <w:pStyle w:val="20"/>
              <w:spacing w:line="240" w:lineRule="exact"/>
              <w:jc w:val="center"/>
              <w:rPr>
                <w:rStyle w:val="18"/>
                <w:rFonts w:ascii="Times New Roman" w:hAnsi="Times New Roman" w:eastAsia="黑体" w:cs="Times New Roman"/>
                <w:sz w:val="24"/>
              </w:rPr>
            </w:pPr>
            <w:r>
              <w:rPr>
                <w:rStyle w:val="18"/>
                <w:rFonts w:hint="eastAsia" w:ascii="Times New Roman" w:hAnsi="Times New Roman" w:eastAsia="黑体" w:cs="Times New Roman"/>
                <w:sz w:val="24"/>
              </w:rPr>
              <w:t>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48" w:type="dxa"/>
            <w:noWrap w:val="0"/>
            <w:vAlign w:val="center"/>
          </w:tcPr>
          <w:p>
            <w:pPr>
              <w:pStyle w:val="20"/>
              <w:spacing w:line="240" w:lineRule="exact"/>
              <w:jc w:val="center"/>
              <w:rPr>
                <w:rStyle w:val="18"/>
                <w:rFonts w:hint="default" w:ascii="Times New Roman" w:hAnsi="Times New Roman" w:eastAsia="黑体" w:cs="Times New Roman"/>
                <w:sz w:val="24"/>
                <w:lang w:val="en-US" w:eastAsia="zh-CN"/>
              </w:rPr>
            </w:pPr>
            <w:r>
              <w:rPr>
                <w:rStyle w:val="18"/>
                <w:rFonts w:hint="eastAsia" w:ascii="Times New Roman" w:hAnsi="Times New Roman" w:eastAsia="黑体" w:cs="Times New Roman"/>
                <w:sz w:val="24"/>
                <w:lang w:val="en-US" w:eastAsia="zh-CN"/>
              </w:rPr>
              <w:t>公路工程</w:t>
            </w:r>
          </w:p>
        </w:tc>
        <w:tc>
          <w:tcPr>
            <w:tcW w:w="1018" w:type="dxa"/>
            <w:noWrap w:val="0"/>
            <w:vAlign w:val="center"/>
          </w:tcPr>
          <w:p>
            <w:pPr>
              <w:pStyle w:val="20"/>
              <w:adjustRightInd w:val="0"/>
              <w:snapToGrid w:val="0"/>
              <w:spacing w:line="240" w:lineRule="exact"/>
              <w:jc w:val="center"/>
              <w:rPr>
                <w:rStyle w:val="18"/>
                <w:rFonts w:hint="default" w:ascii="Times New Roman" w:hAnsi="Times New Roman" w:eastAsia="黑体" w:cs="Times New Roman"/>
                <w:sz w:val="24"/>
                <w:lang w:val="en-US" w:eastAsia="zh-CN"/>
              </w:rPr>
            </w:pPr>
            <w:r>
              <w:rPr>
                <w:rStyle w:val="18"/>
                <w:rFonts w:hint="eastAsia" w:ascii="Times New Roman" w:hAnsi="Times New Roman" w:eastAsia="黑体" w:cs="Times New Roman"/>
                <w:sz w:val="24"/>
                <w:lang w:val="en-US" w:eastAsia="zh-CN"/>
              </w:rPr>
              <w:t>房建工程施工</w:t>
            </w:r>
          </w:p>
        </w:tc>
        <w:tc>
          <w:tcPr>
            <w:tcW w:w="952" w:type="dxa"/>
            <w:noWrap w:val="0"/>
            <w:vAlign w:val="center"/>
          </w:tcPr>
          <w:p>
            <w:pPr>
              <w:pStyle w:val="20"/>
              <w:adjustRightInd w:val="0"/>
              <w:snapToGrid w:val="0"/>
              <w:spacing w:line="240" w:lineRule="exact"/>
              <w:jc w:val="center"/>
              <w:rPr>
                <w:rStyle w:val="18"/>
                <w:rFonts w:hint="eastAsia" w:ascii="Times New Roman" w:hAnsi="Times New Roman" w:eastAsia="黑体" w:cs="Times New Roman"/>
                <w:sz w:val="24"/>
                <w:lang w:val="en-US" w:eastAsia="zh-CN"/>
              </w:rPr>
            </w:pPr>
            <w:r>
              <w:rPr>
                <w:rStyle w:val="18"/>
                <w:rFonts w:hint="eastAsia" w:ascii="Times New Roman" w:hAnsi="Times New Roman" w:eastAsia="黑体" w:cs="Times New Roman"/>
                <w:sz w:val="24"/>
                <w:lang w:val="en-US" w:eastAsia="zh-CN"/>
              </w:rPr>
              <w:t>TZGZ1</w:t>
            </w:r>
          </w:p>
        </w:tc>
        <w:tc>
          <w:tcPr>
            <w:tcW w:w="1461" w:type="dxa"/>
            <w:noWrap w:val="0"/>
            <w:vAlign w:val="center"/>
          </w:tcPr>
          <w:p>
            <w:pPr>
              <w:pStyle w:val="20"/>
              <w:adjustRightInd w:val="0"/>
              <w:snapToGrid w:val="0"/>
              <w:spacing w:line="240" w:lineRule="exact"/>
              <w:jc w:val="center"/>
              <w:rPr>
                <w:rStyle w:val="18"/>
                <w:rFonts w:hint="eastAsia" w:ascii="Times New Roman" w:hAnsi="Times New Roman" w:eastAsia="黑体" w:cs="Times New Roman"/>
                <w:sz w:val="24"/>
                <w:lang w:val="en-US" w:eastAsia="zh-CN"/>
              </w:rPr>
            </w:pPr>
            <w:r>
              <w:rPr>
                <w:rStyle w:val="18"/>
                <w:rFonts w:hint="eastAsia" w:ascii="Times New Roman" w:hAnsi="Times New Roman" w:eastAsia="黑体" w:cs="Times New Roman"/>
                <w:sz w:val="24"/>
                <w:lang w:val="en-US" w:eastAsia="zh-CN"/>
              </w:rPr>
              <w:t>通道服务区</w:t>
            </w:r>
          </w:p>
        </w:tc>
        <w:tc>
          <w:tcPr>
            <w:tcW w:w="4612" w:type="dxa"/>
            <w:noWrap w:val="0"/>
            <w:vAlign w:val="center"/>
          </w:tcPr>
          <w:p>
            <w:pPr>
              <w:pStyle w:val="20"/>
              <w:spacing w:line="400" w:lineRule="atLeast"/>
              <w:rPr>
                <w:rStyle w:val="18"/>
                <w:rFonts w:hint="eastAsia" w:ascii="Times New Roman" w:hAnsi="Times New Roman" w:eastAsia="黑体" w:cs="Times New Roman"/>
                <w:szCs w:val="21"/>
                <w:lang w:val="en-US" w:eastAsia="zh-CN"/>
              </w:rPr>
            </w:pPr>
            <w:r>
              <w:rPr>
                <w:rStyle w:val="18"/>
                <w:rFonts w:hint="eastAsia" w:ascii="Times New Roman" w:hAnsi="Times New Roman" w:eastAsia="黑体" w:cs="Times New Roman"/>
                <w:szCs w:val="21"/>
                <w:lang w:val="en-US" w:eastAsia="zh-CN"/>
              </w:rPr>
              <w:t>本项目工程内容为通道服务区 A 区综合楼装饰装修，包括建筑外立面翻新为真石漆、增设亮化效果，内部商业流线优化，新建钢结构休闲区，公共区域、母婴室、司机之家装饰装修等；B 区新建综合楼 1222 ㎡及连廊改造，包括：超市、档口、母婴室、开水间、休闲区装饰装修；A、B 两区综合楼前坪广场停车位、消防通道优化等。</w:t>
            </w:r>
          </w:p>
          <w:p>
            <w:pPr>
              <w:pStyle w:val="20"/>
              <w:spacing w:line="400" w:lineRule="atLeast"/>
              <w:rPr>
                <w:rStyle w:val="18"/>
                <w:rFonts w:ascii="Times New Roman" w:hAnsi="Times New Roman" w:eastAsia="黑体" w:cs="Times New Roman"/>
                <w:szCs w:val="21"/>
              </w:rPr>
            </w:pPr>
            <w:r>
              <w:rPr>
                <w:rStyle w:val="18"/>
                <w:rFonts w:hint="eastAsia" w:ascii="Times New Roman" w:hAnsi="Times New Roman" w:eastAsia="黑体" w:cs="Times New Roman"/>
                <w:szCs w:val="21"/>
                <w:lang w:val="en-US" w:eastAsia="zh-CN"/>
              </w:rPr>
              <w:t>具体内容详见招标工程量清单及施工图纸。</w:t>
            </w:r>
          </w:p>
        </w:tc>
      </w:tr>
    </w:tbl>
    <w:p>
      <w:pPr>
        <w:pStyle w:val="32"/>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Style w:val="35"/>
          <w:rFonts w:hint="eastAsia" w:ascii="黑体" w:hAnsi="黑体" w:eastAsia="黑体" w:cs="黑体"/>
          <w:color w:val="auto"/>
          <w:sz w:val="24"/>
          <w:szCs w:val="24"/>
          <w:highlight w:val="none"/>
        </w:rPr>
      </w:pPr>
      <w:r>
        <w:rPr>
          <w:rStyle w:val="35"/>
          <w:rFonts w:hint="eastAsia" w:ascii="黑体" w:hAnsi="黑体" w:eastAsia="黑体" w:cs="黑体"/>
          <w:color w:val="auto"/>
          <w:sz w:val="24"/>
          <w:szCs w:val="24"/>
          <w:highlight w:val="none"/>
        </w:rPr>
        <w:t xml:space="preserve">本项目工期 </w:t>
      </w:r>
      <w:r>
        <w:rPr>
          <w:rStyle w:val="35"/>
          <w:rFonts w:hint="eastAsia" w:ascii="黑体" w:hAnsi="黑体" w:eastAsia="黑体" w:cs="黑体"/>
          <w:color w:val="auto"/>
          <w:sz w:val="24"/>
          <w:szCs w:val="24"/>
          <w:highlight w:val="none"/>
          <w:u w:val="single"/>
          <w:lang w:val="en-US" w:eastAsia="zh-CN"/>
        </w:rPr>
        <w:t>110</w:t>
      </w:r>
      <w:r>
        <w:rPr>
          <w:rStyle w:val="35"/>
          <w:rFonts w:hint="eastAsia" w:ascii="黑体" w:hAnsi="黑体" w:eastAsia="黑体" w:cs="黑体"/>
          <w:color w:val="auto"/>
          <w:sz w:val="24"/>
          <w:szCs w:val="24"/>
          <w:highlight w:val="none"/>
          <w:lang w:val="en-US" w:eastAsia="zh-CN"/>
        </w:rPr>
        <w:t>日历天</w:t>
      </w:r>
      <w:r>
        <w:rPr>
          <w:rStyle w:val="35"/>
          <w:rFonts w:hint="eastAsia" w:ascii="黑体" w:hAnsi="黑体" w:eastAsia="黑体" w:cs="黑体"/>
          <w:color w:val="auto"/>
          <w:sz w:val="24"/>
          <w:szCs w:val="24"/>
          <w:highlight w:val="none"/>
        </w:rPr>
        <w:t>，</w:t>
      </w:r>
      <w:r>
        <w:rPr>
          <w:rStyle w:val="35"/>
          <w:rFonts w:hint="eastAsia" w:ascii="黑体" w:hAnsi="黑体" w:eastAsia="黑体" w:cs="黑体"/>
          <w:color w:val="auto"/>
          <w:sz w:val="24"/>
          <w:szCs w:val="24"/>
          <w:highlight w:val="none"/>
          <w:lang w:val="en-US" w:eastAsia="zh-CN"/>
        </w:rPr>
        <w:t>，</w:t>
      </w:r>
      <w:r>
        <w:rPr>
          <w:rStyle w:val="35"/>
          <w:rFonts w:hint="eastAsia" w:ascii="黑体" w:hAnsi="黑体" w:eastAsia="黑体" w:cs="黑体"/>
          <w:color w:val="auto"/>
          <w:sz w:val="24"/>
          <w:szCs w:val="24"/>
          <w:highlight w:val="none"/>
        </w:rPr>
        <w:t>缺陷责任期为</w:t>
      </w:r>
      <w:r>
        <w:rPr>
          <w:rStyle w:val="35"/>
          <w:rFonts w:hint="eastAsia" w:ascii="黑体" w:hAnsi="黑体" w:eastAsia="黑体" w:cs="黑体"/>
          <w:color w:val="auto"/>
          <w:sz w:val="24"/>
          <w:szCs w:val="24"/>
          <w:highlight w:val="none"/>
          <w:u w:val="single"/>
          <w:lang w:val="en-US" w:eastAsia="zh-CN"/>
        </w:rPr>
        <w:t>730</w:t>
      </w:r>
      <w:r>
        <w:rPr>
          <w:rStyle w:val="35"/>
          <w:rFonts w:hint="eastAsia" w:ascii="黑体" w:hAnsi="黑体" w:eastAsia="黑体" w:cs="黑体"/>
          <w:color w:val="auto"/>
          <w:sz w:val="24"/>
          <w:szCs w:val="24"/>
          <w:highlight w:val="none"/>
          <w:lang w:val="en-US" w:eastAsia="zh-CN"/>
        </w:rPr>
        <w:t>日历天。</w:t>
      </w:r>
    </w:p>
    <w:p>
      <w:pPr>
        <w:pStyle w:val="22"/>
        <w:rPr>
          <w:rStyle w:val="18"/>
          <w:rFonts w:ascii="Times New Roman" w:hAnsi="Times New Roman" w:cs="Times New Roman"/>
        </w:rPr>
      </w:pPr>
      <w:r>
        <w:rPr>
          <w:rStyle w:val="18"/>
          <w:rFonts w:ascii="Times New Roman" w:hAnsi="Times New Roman" w:cs="Times New Roman"/>
        </w:rPr>
        <w:t xml:space="preserve">3. </w:t>
      </w:r>
      <w:r>
        <w:rPr>
          <w:rStyle w:val="18"/>
          <w:rFonts w:hint="eastAsia" w:ascii="Times New Roman" w:hAnsi="Times New Roman" w:cs="Times New Roman"/>
        </w:rPr>
        <w:t>投标人资格要求</w:t>
      </w:r>
    </w:p>
    <w:p>
      <w:pPr>
        <w:pStyle w:val="20"/>
        <w:spacing w:line="400" w:lineRule="atLeast"/>
        <w:ind w:firstLine="480" w:firstLineChars="200"/>
        <w:rPr>
          <w:rStyle w:val="18"/>
          <w:rFonts w:ascii="Times New Roman" w:hAnsi="Times New Roman" w:eastAsia="宋体" w:cs="Times New Roman"/>
          <w:sz w:val="24"/>
        </w:rPr>
      </w:pPr>
      <w:r>
        <w:rPr>
          <w:rStyle w:val="18"/>
          <w:rFonts w:ascii="Times New Roman" w:hAnsi="Times New Roman" w:eastAsia="宋体" w:cs="Times New Roman"/>
          <w:sz w:val="24"/>
        </w:rPr>
        <w:t xml:space="preserve">3.1 </w:t>
      </w:r>
      <w:r>
        <w:rPr>
          <w:rStyle w:val="18"/>
          <w:rFonts w:hint="eastAsia" w:ascii="宋体" w:hAnsi="宋体" w:eastAsia="宋体" w:cs="宋体"/>
          <w:color w:val="auto"/>
          <w:kern w:val="0"/>
          <w:sz w:val="24"/>
          <w:szCs w:val="24"/>
          <w:highlight w:val="none"/>
        </w:rPr>
        <w:t>本次招标要求投标人须具备投标人须知附录1要求的资质、 投标人须知附录 3要求的业绩，并在人员、设备、资金等方面具有相应的施工能力。</w:t>
      </w:r>
    </w:p>
    <w:p>
      <w:pPr>
        <w:pStyle w:val="20"/>
        <w:spacing w:line="420" w:lineRule="exact"/>
        <w:ind w:firstLine="480" w:firstLineChars="200"/>
        <w:rPr>
          <w:rStyle w:val="18"/>
          <w:rFonts w:hint="eastAsia" w:ascii="Times New Roman" w:hAnsi="Times New Roman" w:eastAsia="宋体" w:cs="Times New Roman"/>
          <w:sz w:val="24"/>
          <w:szCs w:val="24"/>
          <w:u w:val="single"/>
        </w:rPr>
      </w:pPr>
      <w:r>
        <w:rPr>
          <w:rStyle w:val="18"/>
          <w:rFonts w:ascii="Times New Roman" w:hAnsi="Times New Roman" w:eastAsia="宋体" w:cs="Times New Roman"/>
          <w:sz w:val="24"/>
          <w:szCs w:val="20"/>
        </w:rPr>
        <w:t xml:space="preserve">3.2 </w:t>
      </w:r>
      <w:r>
        <w:rPr>
          <w:rStyle w:val="18"/>
          <w:rFonts w:hint="eastAsia" w:ascii="宋体" w:hAnsi="宋体" w:eastAsia="宋体" w:cs="宋体"/>
          <w:color w:val="auto"/>
          <w:kern w:val="0"/>
          <w:sz w:val="24"/>
          <w:szCs w:val="24"/>
          <w:highlight w:val="none"/>
        </w:rPr>
        <w:t>本次招标</w:t>
      </w:r>
      <w:r>
        <w:rPr>
          <w:rStyle w:val="18"/>
          <w:rFonts w:hint="eastAsia" w:ascii="宋体" w:hAnsi="宋体" w:eastAsia="宋体" w:cs="宋体"/>
          <w:color w:val="auto"/>
          <w:kern w:val="0"/>
          <w:sz w:val="24"/>
          <w:szCs w:val="24"/>
          <w:highlight w:val="none"/>
          <w:u w:val="single"/>
        </w:rPr>
        <w:t>接受</w:t>
      </w:r>
      <w:r>
        <w:rPr>
          <w:rStyle w:val="18"/>
          <w:rFonts w:hint="eastAsia" w:ascii="宋体" w:hAnsi="宋体" w:eastAsia="宋体" w:cs="宋体"/>
          <w:color w:val="auto"/>
          <w:kern w:val="0"/>
          <w:sz w:val="24"/>
          <w:szCs w:val="24"/>
          <w:highlight w:val="none"/>
        </w:rPr>
        <w:t>联合体投标。</w:t>
      </w:r>
      <w:r>
        <w:rPr>
          <w:rStyle w:val="18"/>
          <w:rFonts w:hint="eastAsia" w:ascii="宋体" w:hAnsi="宋体" w:eastAsia="宋体" w:cs="宋体"/>
          <w:color w:val="auto"/>
          <w:kern w:val="0"/>
          <w:sz w:val="24"/>
          <w:szCs w:val="24"/>
          <w:highlight w:val="none"/>
          <w:lang w:val="en-US" w:eastAsia="zh-CN"/>
        </w:rPr>
        <w:t>联合体响应的，联合体所有成员数量不得超过</w:t>
      </w:r>
      <w:r>
        <w:rPr>
          <w:rStyle w:val="18"/>
          <w:rFonts w:hint="default" w:ascii="宋体" w:hAnsi="宋体" w:eastAsia="宋体" w:cs="宋体"/>
          <w:color w:val="auto"/>
          <w:kern w:val="0"/>
          <w:sz w:val="24"/>
          <w:szCs w:val="24"/>
          <w:highlight w:val="none"/>
          <w:lang w:val="en-US" w:eastAsia="zh-CN"/>
        </w:rPr>
        <w:t>2</w:t>
      </w:r>
      <w:r>
        <w:rPr>
          <w:rStyle w:val="18"/>
          <w:rFonts w:hint="eastAsia" w:ascii="宋体" w:hAnsi="宋体" w:eastAsia="宋体" w:cs="宋体"/>
          <w:color w:val="auto"/>
          <w:kern w:val="0"/>
          <w:sz w:val="24"/>
          <w:szCs w:val="24"/>
          <w:highlight w:val="none"/>
          <w:lang w:val="en-US" w:eastAsia="zh-CN"/>
        </w:rPr>
        <w:t>家，且应满足下列要求：</w:t>
      </w:r>
      <w:r>
        <w:rPr>
          <w:rStyle w:val="18"/>
          <w:rFonts w:hint="eastAsia" w:ascii="Times New Roman" w:hAnsi="Times New Roman" w:eastAsia="宋体" w:cs="Times New Roman"/>
          <w:sz w:val="24"/>
          <w:szCs w:val="24"/>
          <w:u w:val="single"/>
        </w:rPr>
        <w:t>（1）联合体牵头人须具有</w:t>
      </w:r>
      <w:r>
        <w:rPr>
          <w:rStyle w:val="18"/>
          <w:rFonts w:hint="eastAsia" w:ascii="Times New Roman" w:hAnsi="Times New Roman" w:eastAsia="宋体" w:cs="Times New Roman"/>
          <w:sz w:val="24"/>
          <w:szCs w:val="24"/>
          <w:u w:val="single"/>
          <w:lang w:val="en-US" w:eastAsia="zh-CN"/>
        </w:rPr>
        <w:t>建筑工程施工总承包叁级及以上资质；</w:t>
      </w:r>
      <w:r>
        <w:rPr>
          <w:rStyle w:val="18"/>
          <w:rFonts w:hint="eastAsia" w:ascii="Times New Roman" w:hAnsi="Times New Roman" w:eastAsia="宋体" w:cs="Times New Roman"/>
          <w:sz w:val="24"/>
          <w:szCs w:val="24"/>
          <w:u w:val="single"/>
        </w:rPr>
        <w:t>（</w:t>
      </w:r>
      <w:r>
        <w:rPr>
          <w:rStyle w:val="18"/>
          <w:rFonts w:hint="eastAsia" w:ascii="Times New Roman" w:hAnsi="Times New Roman" w:eastAsia="宋体" w:cs="Times New Roman"/>
          <w:sz w:val="24"/>
          <w:szCs w:val="24"/>
          <w:u w:val="single"/>
          <w:lang w:val="en-US" w:eastAsia="zh-CN"/>
        </w:rPr>
        <w:t>2</w:t>
      </w:r>
      <w:r>
        <w:rPr>
          <w:rStyle w:val="18"/>
          <w:rFonts w:hint="eastAsia" w:ascii="Times New Roman" w:hAnsi="Times New Roman" w:eastAsia="宋体" w:cs="Times New Roman"/>
          <w:sz w:val="24"/>
          <w:szCs w:val="24"/>
          <w:u w:val="single"/>
        </w:rPr>
        <w:t>）联合体协议应当明确各成员在合同中所承担的工作内容及范围。联合体各方应当具备联合体协议书中承担相应工作内容的资质；不承担联合体协议中相关工作内容的成员，其相关的专业资质不作为该联合体该专业的资质进行资格审查；（</w:t>
      </w:r>
      <w:r>
        <w:rPr>
          <w:rStyle w:val="18"/>
          <w:rFonts w:hint="eastAsia" w:ascii="Times New Roman" w:hAnsi="Times New Roman" w:eastAsia="宋体" w:cs="Times New Roman"/>
          <w:sz w:val="24"/>
          <w:szCs w:val="24"/>
          <w:u w:val="single"/>
          <w:lang w:val="en-US" w:eastAsia="zh-CN"/>
        </w:rPr>
        <w:t>3</w:t>
      </w:r>
      <w:r>
        <w:rPr>
          <w:rStyle w:val="18"/>
          <w:rFonts w:hint="eastAsia" w:ascii="Times New Roman" w:hAnsi="Times New Roman" w:eastAsia="宋体" w:cs="Times New Roman"/>
          <w:sz w:val="24"/>
          <w:szCs w:val="24"/>
          <w:u w:val="single"/>
        </w:rPr>
        <w:t>）联合体信用等级按联合体成员最低信用等级确定；（</w:t>
      </w:r>
      <w:r>
        <w:rPr>
          <w:rStyle w:val="18"/>
          <w:rFonts w:hint="eastAsia" w:ascii="Times New Roman" w:hAnsi="Times New Roman" w:eastAsia="宋体" w:cs="Times New Roman"/>
          <w:sz w:val="24"/>
          <w:szCs w:val="24"/>
          <w:u w:val="single"/>
          <w:lang w:val="en-US" w:eastAsia="zh-CN"/>
        </w:rPr>
        <w:t>4</w:t>
      </w:r>
      <w:r>
        <w:rPr>
          <w:rStyle w:val="18"/>
          <w:rFonts w:hint="eastAsia" w:ascii="Times New Roman" w:hAnsi="Times New Roman" w:eastAsia="宋体" w:cs="Times New Roman"/>
          <w:sz w:val="24"/>
          <w:szCs w:val="24"/>
          <w:u w:val="single"/>
        </w:rPr>
        <w:t>）联合体各方不得再以自己名义单独或参加其他联合体在同一标段中响应。</w:t>
      </w:r>
    </w:p>
    <w:p>
      <w:pPr>
        <w:pStyle w:val="20"/>
        <w:spacing w:line="420" w:lineRule="exact"/>
        <w:ind w:firstLine="480" w:firstLineChars="200"/>
        <w:rPr>
          <w:rStyle w:val="18"/>
          <w:rFonts w:ascii="Times New Roman" w:hAnsi="Times New Roman" w:eastAsia="黑体" w:cs="Times New Roman"/>
          <w:sz w:val="24"/>
        </w:rPr>
      </w:pPr>
      <w:r>
        <w:rPr>
          <w:rStyle w:val="18"/>
          <w:rFonts w:ascii="Times New Roman" w:hAnsi="Times New Roman" w:eastAsia="黑体" w:cs="Times New Roman"/>
          <w:sz w:val="24"/>
          <w:szCs w:val="20"/>
        </w:rPr>
        <w:t>3.3</w:t>
      </w:r>
      <w:r>
        <w:rPr>
          <w:rStyle w:val="18"/>
          <w:rFonts w:hint="eastAsia" w:ascii="Times New Roman" w:hAnsi="Times New Roman" w:eastAsia="黑体" w:cs="Times New Roman"/>
          <w:sz w:val="24"/>
        </w:rPr>
        <w:t xml:space="preserve"> 每个投标人可在本次招标中对</w:t>
      </w:r>
      <w:r>
        <w:rPr>
          <w:rStyle w:val="18"/>
          <w:rFonts w:hint="eastAsia" w:ascii="Times New Roman" w:hAnsi="Times New Roman" w:eastAsia="黑体" w:cs="Times New Roman"/>
          <w:sz w:val="24"/>
          <w:u w:val="single"/>
          <w:lang w:val="en-US" w:eastAsia="zh-CN"/>
        </w:rPr>
        <w:t>1</w:t>
      </w:r>
      <w:r>
        <w:rPr>
          <w:rStyle w:val="18"/>
          <w:rFonts w:hint="eastAsia" w:ascii="Times New Roman" w:hAnsi="Times New Roman" w:eastAsia="黑体" w:cs="Times New Roman"/>
          <w:sz w:val="24"/>
        </w:rPr>
        <w:t>个标段投标，每个投标人允许中</w:t>
      </w:r>
      <w:r>
        <w:rPr>
          <w:rStyle w:val="18"/>
          <w:rFonts w:hint="eastAsia" w:ascii="Times New Roman" w:hAnsi="Times New Roman" w:eastAsia="黑体" w:cs="Times New Roman"/>
          <w:sz w:val="24"/>
          <w:u w:val="single"/>
          <w:lang w:val="en-US" w:eastAsia="zh-CN"/>
        </w:rPr>
        <w:t>1</w:t>
      </w:r>
      <w:r>
        <w:rPr>
          <w:rStyle w:val="18"/>
          <w:rFonts w:hint="eastAsia" w:ascii="Times New Roman" w:hAnsi="Times New Roman" w:eastAsia="黑体" w:cs="Times New Roman"/>
          <w:sz w:val="24"/>
        </w:rPr>
        <w:t>个标。</w:t>
      </w:r>
    </w:p>
    <w:p>
      <w:pPr>
        <w:pStyle w:val="20"/>
        <w:autoSpaceDE w:val="0"/>
        <w:autoSpaceDN w:val="0"/>
        <w:adjustRightInd w:val="0"/>
        <w:spacing w:line="400" w:lineRule="exact"/>
        <w:ind w:firstLine="480"/>
        <w:rPr>
          <w:rStyle w:val="18"/>
          <w:rFonts w:ascii="Times New Roman" w:hAnsi="Times New Roman" w:eastAsia="宋体" w:cs="Times New Roman"/>
          <w:kern w:val="0"/>
          <w:sz w:val="24"/>
        </w:rPr>
      </w:pPr>
      <w:r>
        <w:rPr>
          <w:rStyle w:val="18"/>
          <w:rFonts w:ascii="Times New Roman" w:hAnsi="Times New Roman" w:eastAsia="宋体" w:cs="Times New Roman"/>
          <w:sz w:val="24"/>
          <w:szCs w:val="20"/>
        </w:rPr>
        <w:t xml:space="preserve">3.4 </w:t>
      </w:r>
      <w:r>
        <w:rPr>
          <w:rStyle w:val="18"/>
          <w:rFonts w:hint="eastAsia" w:ascii="Times New Roman" w:hAnsi="Times New Roman" w:eastAsia="宋体" w:cs="Times New Roman"/>
          <w:sz w:val="24"/>
        </w:rPr>
        <w:t>与招标人存在利害关系且可能影响招标公正性的单位，不得参加投标。</w:t>
      </w:r>
      <w:r>
        <w:rPr>
          <w:rStyle w:val="18"/>
          <w:rFonts w:hint="eastAsia" w:ascii="Times New Roman" w:hAnsi="Times New Roman" w:eastAsia="宋体" w:cs="Times New Roman"/>
          <w:kern w:val="0"/>
          <w:sz w:val="24"/>
        </w:rPr>
        <w:t>单位负责人</w:t>
      </w:r>
      <w:r>
        <w:rPr>
          <w:rStyle w:val="18"/>
          <w:rFonts w:ascii="Times New Roman" w:hAnsi="Times New Roman" w:eastAsia="宋体" w:cs="Times New Roman"/>
          <w:kern w:val="0"/>
          <w:sz w:val="24"/>
          <w:vertAlign w:val="superscript"/>
        </w:rPr>
        <w:footnoteReference w:id="1"/>
      </w:r>
      <w:r>
        <w:rPr>
          <w:rStyle w:val="18"/>
          <w:rFonts w:hint="eastAsia" w:ascii="Times New Roman" w:hAnsi="Times New Roman" w:eastAsia="宋体" w:cs="Times New Roman"/>
          <w:kern w:val="0"/>
          <w:sz w:val="24"/>
        </w:rPr>
        <w:t>为同一人或者存在控股</w:t>
      </w:r>
      <w:r>
        <w:rPr>
          <w:rStyle w:val="18"/>
          <w:rFonts w:ascii="Times New Roman" w:hAnsi="Times New Roman" w:eastAsia="宋体" w:cs="Times New Roman"/>
          <w:kern w:val="0"/>
          <w:sz w:val="24"/>
          <w:vertAlign w:val="superscript"/>
        </w:rPr>
        <w:footnoteReference w:id="2"/>
      </w:r>
      <w:r>
        <w:rPr>
          <w:rStyle w:val="18"/>
          <w:rFonts w:hint="eastAsia" w:ascii="Times New Roman" w:hAnsi="Times New Roman" w:eastAsia="宋体" w:cs="Times New Roman"/>
          <w:kern w:val="0"/>
          <w:sz w:val="24"/>
        </w:rPr>
        <w:t>、管理</w:t>
      </w:r>
      <w:r>
        <w:rPr>
          <w:rStyle w:val="18"/>
          <w:rFonts w:ascii="Times New Roman" w:hAnsi="Times New Roman" w:eastAsia="宋体" w:cs="Times New Roman"/>
          <w:kern w:val="0"/>
          <w:sz w:val="24"/>
          <w:vertAlign w:val="superscript"/>
        </w:rPr>
        <w:footnoteReference w:id="3"/>
      </w:r>
      <w:r>
        <w:rPr>
          <w:rStyle w:val="18"/>
          <w:rFonts w:hint="eastAsia" w:ascii="Times New Roman" w:hAnsi="Times New Roman" w:eastAsia="宋体" w:cs="Times New Roman"/>
          <w:kern w:val="0"/>
          <w:sz w:val="24"/>
        </w:rPr>
        <w:t>关系的不同单位，不得参加同一标段投标，否则，相关投标均无效。</w:t>
      </w:r>
    </w:p>
    <w:p>
      <w:pPr>
        <w:pStyle w:val="24"/>
        <w:spacing w:line="420" w:lineRule="exact"/>
        <w:ind w:firstLine="480" w:firstLineChars="200"/>
        <w:rPr>
          <w:rStyle w:val="18"/>
          <w:rFonts w:ascii="Times New Roman" w:hAnsi="Times New Roman" w:eastAsia="黑体"/>
          <w:sz w:val="24"/>
          <w:szCs w:val="24"/>
          <w:highlight w:val="none"/>
        </w:rPr>
      </w:pPr>
      <w:r>
        <w:rPr>
          <w:rStyle w:val="18"/>
          <w:rFonts w:ascii="Times New Roman" w:hAnsi="Times New Roman" w:eastAsia="黑体"/>
          <w:sz w:val="24"/>
          <w:szCs w:val="20"/>
          <w:highlight w:val="none"/>
        </w:rPr>
        <w:t>3.5</w:t>
      </w:r>
      <w:r>
        <w:rPr>
          <w:rStyle w:val="18"/>
          <w:rFonts w:ascii="Times New Roman" w:hAnsi="Times New Roman" w:eastAsia="黑体"/>
          <w:sz w:val="24"/>
          <w:szCs w:val="24"/>
          <w:highlight w:val="none"/>
        </w:rPr>
        <w:t xml:space="preserve"> </w:t>
      </w:r>
      <w:r>
        <w:rPr>
          <w:rStyle w:val="18"/>
          <w:rFonts w:ascii="Times New Roman" w:hAnsi="Times New Roman" w:eastAsia="黑体" w:cs="Times New Roman"/>
          <w:sz w:val="24"/>
          <w:szCs w:val="24"/>
          <w:highlight w:val="none"/>
        </w:rPr>
        <w:t>招标人不接受被湖南省交通运输厅</w:t>
      </w:r>
      <w:r>
        <w:rPr>
          <w:rStyle w:val="18"/>
          <w:rFonts w:ascii="Times New Roman" w:hAnsi="Times New Roman" w:eastAsia="黑体" w:cs="Times New Roman"/>
          <w:sz w:val="24"/>
          <w:szCs w:val="24"/>
          <w:highlight w:val="none"/>
          <w:vertAlign w:val="superscript"/>
        </w:rPr>
        <w:footnoteReference w:id="4"/>
      </w:r>
      <w:r>
        <w:rPr>
          <w:rStyle w:val="18"/>
          <w:rFonts w:ascii="Times New Roman" w:hAnsi="Times New Roman" w:eastAsia="黑体" w:cs="Times New Roman"/>
          <w:sz w:val="24"/>
          <w:szCs w:val="24"/>
          <w:highlight w:val="none"/>
        </w:rPr>
        <w:t>评为最近第一年度D级、连续</w:t>
      </w:r>
      <w:r>
        <w:rPr>
          <w:rStyle w:val="18"/>
          <w:rFonts w:hint="eastAsia" w:ascii="Calibri" w:hAnsi="Calibri" w:eastAsia="黑体" w:cs="Times New Roman"/>
          <w:sz w:val="24"/>
          <w:szCs w:val="24"/>
          <w:highlight w:val="none"/>
          <w:lang w:val="en-US" w:eastAsia="zh-CN"/>
        </w:rPr>
        <w:t>三</w:t>
      </w:r>
      <w:r>
        <w:rPr>
          <w:rStyle w:val="18"/>
          <w:rFonts w:ascii="Times New Roman" w:hAnsi="Times New Roman" w:eastAsia="黑体" w:cs="Times New Roman"/>
          <w:sz w:val="24"/>
          <w:szCs w:val="24"/>
          <w:highlight w:val="none"/>
        </w:rPr>
        <w:t>年（最近第</w:t>
      </w:r>
      <w:r>
        <w:rPr>
          <w:rStyle w:val="18"/>
          <w:rFonts w:hint="eastAsia" w:ascii="Calibri" w:hAnsi="Calibri" w:eastAsia="黑体" w:cs="Times New Roman"/>
          <w:sz w:val="24"/>
          <w:szCs w:val="24"/>
          <w:highlight w:val="none"/>
          <w:lang w:val="en-US" w:eastAsia="zh-CN"/>
        </w:rPr>
        <w:t>三</w:t>
      </w:r>
      <w:r>
        <w:rPr>
          <w:rStyle w:val="18"/>
          <w:rFonts w:ascii="Times New Roman" w:hAnsi="Times New Roman" w:eastAsia="黑体" w:cs="Times New Roman"/>
          <w:sz w:val="24"/>
          <w:szCs w:val="24"/>
          <w:highlight w:val="none"/>
        </w:rPr>
        <w:t>年</w:t>
      </w:r>
      <w:r>
        <w:rPr>
          <w:rStyle w:val="18"/>
          <w:rFonts w:hint="eastAsia" w:ascii="Calibri" w:hAnsi="Calibri" w:eastAsia="黑体" w:cs="Times New Roman"/>
          <w:sz w:val="24"/>
          <w:szCs w:val="24"/>
          <w:highlight w:val="none"/>
          <w:lang w:eastAsia="zh-CN"/>
        </w:rPr>
        <w:t>、</w:t>
      </w:r>
      <w:r>
        <w:rPr>
          <w:rStyle w:val="18"/>
          <w:rFonts w:ascii="Times New Roman" w:hAnsi="Times New Roman" w:eastAsia="黑体" w:cs="Times New Roman"/>
          <w:sz w:val="24"/>
          <w:szCs w:val="24"/>
          <w:highlight w:val="none"/>
        </w:rPr>
        <w:t>最近第二年和最近第一年）评为C级</w:t>
      </w:r>
      <w:r>
        <w:rPr>
          <w:rStyle w:val="18"/>
          <w:rFonts w:hint="eastAsia" w:ascii="Calibri" w:hAnsi="Calibri" w:eastAsia="黑体" w:cs="Times New Roman"/>
          <w:sz w:val="24"/>
          <w:szCs w:val="24"/>
          <w:highlight w:val="none"/>
          <w:lang w:val="en-US" w:eastAsia="zh-CN"/>
        </w:rPr>
        <w:t>及以下信用等级</w:t>
      </w:r>
      <w:r>
        <w:rPr>
          <w:rStyle w:val="18"/>
          <w:rFonts w:ascii="Times New Roman" w:hAnsi="Times New Roman" w:eastAsia="黑体" w:cs="Times New Roman"/>
          <w:sz w:val="24"/>
          <w:szCs w:val="24"/>
          <w:highlight w:val="none"/>
        </w:rPr>
        <w:t>的投标人投标。</w:t>
      </w:r>
      <w:r>
        <w:rPr>
          <w:rStyle w:val="18"/>
          <w:rFonts w:hint="eastAsia" w:ascii="Times New Roman" w:hAnsi="Times New Roman" w:eastAsia="黑体" w:cs="Times New Roman"/>
          <w:sz w:val="24"/>
          <w:szCs w:val="24"/>
          <w:highlight w:val="none"/>
        </w:rPr>
        <w:t>（信用等级以湖南省交通运输厅发布的湖南省养护从业单位信用评价结果为准；评价结果发布截止时间：以投标截止时间前一日为准）。</w:t>
      </w:r>
    </w:p>
    <w:p>
      <w:pPr>
        <w:pStyle w:val="20"/>
        <w:autoSpaceDE w:val="0"/>
        <w:autoSpaceDN w:val="0"/>
        <w:adjustRightInd w:val="0"/>
        <w:spacing w:line="400" w:lineRule="exact"/>
        <w:ind w:firstLine="480"/>
        <w:rPr>
          <w:rStyle w:val="18"/>
          <w:rFonts w:ascii="Times New Roman" w:hAnsi="Times New Roman" w:eastAsia="黑体" w:cs="Times New Roman"/>
          <w:sz w:val="24"/>
          <w:szCs w:val="22"/>
          <w:u w:val="single"/>
        </w:rPr>
      </w:pPr>
      <w:r>
        <w:rPr>
          <w:rStyle w:val="18"/>
          <w:rFonts w:ascii="Times New Roman" w:hAnsi="Times New Roman" w:eastAsia="黑体" w:cs="Times New Roman"/>
          <w:sz w:val="24"/>
          <w:szCs w:val="20"/>
        </w:rPr>
        <w:t xml:space="preserve">3.6 </w:t>
      </w:r>
      <w:r>
        <w:rPr>
          <w:rStyle w:val="18"/>
          <w:rFonts w:hint="eastAsia" w:ascii="Times New Roman" w:hAnsi="Times New Roman" w:eastAsia="黑体" w:cs="Times New Roman"/>
          <w:sz w:val="24"/>
          <w:szCs w:val="20"/>
        </w:rPr>
        <w:t>招标人不接受</w:t>
      </w:r>
      <w:r>
        <w:rPr>
          <w:rStyle w:val="18"/>
          <w:rFonts w:hint="eastAsia" w:ascii="Times New Roman" w:hAnsi="Times New Roman" w:eastAsia="黑体" w:cs="Times New Roman"/>
          <w:sz w:val="24"/>
          <w:szCs w:val="22"/>
        </w:rPr>
        <w:t>在全国企业信用信息公示系统（http</w:t>
      </w:r>
      <w:r>
        <w:rPr>
          <w:rStyle w:val="18"/>
          <w:rFonts w:hint="eastAsia" w:ascii="Times New Roman" w:hAnsi="Times New Roman" w:eastAsia="黑体" w:cs="Times New Roman"/>
          <w:sz w:val="24"/>
          <w:szCs w:val="22"/>
          <w:lang w:val="en-US" w:eastAsia="zh-CN"/>
        </w:rPr>
        <w:t>s</w:t>
      </w:r>
      <w:r>
        <w:rPr>
          <w:rStyle w:val="18"/>
          <w:rFonts w:hint="eastAsia" w:ascii="Times New Roman" w:hAnsi="Times New Roman" w:eastAsia="黑体" w:cs="Times New Roman"/>
          <w:sz w:val="24"/>
          <w:szCs w:val="22"/>
        </w:rPr>
        <w:t>://www.gsxt.gov.cn）中被列入严重违法失信企业名单的或在“中国执行信息公开网”（http</w:t>
      </w:r>
      <w:r>
        <w:rPr>
          <w:rStyle w:val="18"/>
          <w:rFonts w:hint="eastAsia" w:ascii="Times New Roman" w:hAnsi="Times New Roman" w:eastAsia="黑体" w:cs="Times New Roman"/>
          <w:sz w:val="24"/>
          <w:szCs w:val="22"/>
          <w:lang w:val="en-US" w:eastAsia="zh-CN"/>
        </w:rPr>
        <w:t>s</w:t>
      </w:r>
      <w:r>
        <w:rPr>
          <w:rStyle w:val="18"/>
          <w:rFonts w:hint="eastAsia" w:ascii="Times New Roman" w:hAnsi="Times New Roman" w:eastAsia="黑体" w:cs="Times New Roman"/>
          <w:sz w:val="24"/>
          <w:szCs w:val="22"/>
        </w:rPr>
        <w:t>://zxgk.court.gov.cn/）中被列入失信被执行人名单的投标人投标。</w:t>
      </w:r>
    </w:p>
    <w:p>
      <w:pPr>
        <w:pStyle w:val="22"/>
        <w:rPr>
          <w:rStyle w:val="18"/>
          <w:rFonts w:ascii="Times New Roman" w:hAnsi="Times New Roman" w:cs="Times New Roman"/>
        </w:rPr>
      </w:pPr>
      <w:r>
        <w:rPr>
          <w:rStyle w:val="18"/>
          <w:rFonts w:ascii="Times New Roman" w:hAnsi="Times New Roman" w:cs="Times New Roman"/>
        </w:rPr>
        <w:t xml:space="preserve">4. </w:t>
      </w:r>
      <w:r>
        <w:rPr>
          <w:rStyle w:val="18"/>
          <w:rFonts w:hint="eastAsia" w:ascii="Times New Roman" w:hAnsi="Times New Roman" w:cs="Times New Roman"/>
        </w:rPr>
        <w:t>招标文件的获取</w:t>
      </w:r>
    </w:p>
    <w:p>
      <w:pPr>
        <w:pStyle w:val="24"/>
        <w:spacing w:line="400" w:lineRule="atLeast"/>
        <w:ind w:firstLine="480" w:firstLineChars="200"/>
        <w:jc w:val="left"/>
        <w:rPr>
          <w:rStyle w:val="18"/>
          <w:rFonts w:hint="eastAsia" w:ascii="Times New Roman" w:hAnsi="Times New Roman" w:eastAsia="宋体" w:cs="Times New Roman"/>
          <w:color w:val="auto"/>
          <w:sz w:val="24"/>
          <w:szCs w:val="24"/>
          <w:highlight w:val="none"/>
        </w:rPr>
      </w:pPr>
      <w:r>
        <w:rPr>
          <w:rStyle w:val="18"/>
          <w:rFonts w:hint="eastAsia" w:ascii="Times New Roman" w:hAnsi="Times New Roman" w:eastAsia="宋体" w:cs="Times New Roman"/>
          <w:color w:val="auto"/>
          <w:sz w:val="24"/>
          <w:szCs w:val="24"/>
          <w:highlight w:val="none"/>
        </w:rPr>
        <w:t>4.1根据规定，本项目只接受网上报名。凡有意参加投标者，请登录</w:t>
      </w:r>
      <w:r>
        <w:rPr>
          <w:rStyle w:val="18"/>
          <w:rFonts w:ascii="宋体" w:hAnsi="宋体" w:eastAsia="宋体" w:cs="宋体"/>
          <w:color w:val="auto"/>
          <w:sz w:val="24"/>
          <w:szCs w:val="24"/>
          <w:highlight w:val="none"/>
        </w:rPr>
        <w:t>“湖南省公路养护作业单位资信管理系统”（网址：http://113.246.57.32:8088/#/）</w:t>
      </w:r>
      <w:r>
        <w:rPr>
          <w:rStyle w:val="18"/>
          <w:rFonts w:hint="eastAsia" w:ascii="Times New Roman" w:hAnsi="Times New Roman" w:eastAsia="宋体" w:cs="Times New Roman"/>
          <w:color w:val="auto"/>
          <w:sz w:val="24"/>
          <w:szCs w:val="24"/>
          <w:highlight w:val="none"/>
        </w:rPr>
        <w:t>中注册、完善、公开本单位信息，并在湖南省公共资源交易中心办理CA 数字证书（具体流程参见网址：</w:t>
      </w:r>
      <w:r>
        <w:rPr>
          <w:rStyle w:val="18"/>
          <w:rFonts w:hint="eastAsia" w:ascii="宋体" w:hAnsi="宋体" w:eastAsia="宋体" w:cs="宋体"/>
          <w:color w:val="auto"/>
          <w:sz w:val="24"/>
          <w:szCs w:val="24"/>
          <w:highlight w:val="none"/>
          <w:u w:val="single"/>
        </w:rPr>
        <w:t>https://casign.hnsggzy.com:7080/ca-hunanplatform/operation/main</w:t>
      </w:r>
      <w:r>
        <w:rPr>
          <w:rStyle w:val="18"/>
          <w:rFonts w:hint="eastAsia" w:ascii="Times New Roman" w:hAnsi="Times New Roman" w:eastAsia="宋体" w:cs="Times New Roman"/>
          <w:color w:val="auto"/>
          <w:sz w:val="24"/>
          <w:szCs w:val="24"/>
          <w:highlight w:val="none"/>
        </w:rPr>
        <w:t>）。</w:t>
      </w:r>
    </w:p>
    <w:p>
      <w:pPr>
        <w:pStyle w:val="24"/>
        <w:spacing w:line="400" w:lineRule="atLeast"/>
        <w:ind w:firstLine="480" w:firstLineChars="200"/>
        <w:rPr>
          <w:rStyle w:val="18"/>
          <w:rFonts w:hint="eastAsia" w:ascii="Times New Roman" w:hAnsi="Times New Roman" w:eastAsia="宋体" w:cs="Times New Roman"/>
          <w:color w:val="auto"/>
          <w:sz w:val="24"/>
          <w:szCs w:val="24"/>
          <w:highlight w:val="none"/>
        </w:rPr>
      </w:pPr>
      <w:r>
        <w:rPr>
          <w:rStyle w:val="18"/>
          <w:rFonts w:hint="eastAsia" w:ascii="Times New Roman" w:hAnsi="Times New Roman" w:eastAsia="宋体" w:cs="Times New Roman"/>
          <w:color w:val="auto"/>
          <w:sz w:val="24"/>
          <w:szCs w:val="24"/>
          <w:highlight w:val="none"/>
        </w:rPr>
        <w:t>4.2办理完成CA数字认证后，请于招标公告发布之日至投标文件递交截止之日 前一日（北京时间，下同）通过互联网使用CA数字证书登录</w:t>
      </w:r>
      <w:r>
        <w:rPr>
          <w:rStyle w:val="18"/>
          <w:rFonts w:hint="eastAsia" w:ascii="宋体" w:hAnsi="宋体" w:eastAsia="宋体" w:cs="宋体"/>
          <w:color w:val="auto"/>
          <w:sz w:val="24"/>
          <w:szCs w:val="24"/>
          <w:highlight w:val="none"/>
        </w:rPr>
        <w:t>湖南省公共资源交易中心</w:t>
      </w:r>
      <w:r>
        <w:rPr>
          <w:rStyle w:val="18"/>
          <w:rFonts w:hint="eastAsia" w:ascii="宋体" w:hAnsi="宋体" w:eastAsia="宋体" w:cs="宋体"/>
          <w:color w:val="auto"/>
          <w:sz w:val="24"/>
          <w:szCs w:val="24"/>
          <w:highlight w:val="none"/>
          <w:lang w:val="en-US" w:eastAsia="zh-CN"/>
        </w:rPr>
        <w:t>工程建设项目交易招投标</w:t>
      </w:r>
      <w:r>
        <w:rPr>
          <w:rStyle w:val="18"/>
          <w:rFonts w:hint="eastAsia" w:ascii="宋体" w:hAnsi="宋体" w:eastAsia="宋体" w:cs="宋体"/>
          <w:color w:val="auto"/>
          <w:sz w:val="24"/>
          <w:szCs w:val="24"/>
          <w:highlight w:val="none"/>
        </w:rPr>
        <w:t>系统</w:t>
      </w:r>
      <w:r>
        <w:rPr>
          <w:rStyle w:val="18"/>
          <w:rFonts w:hint="eastAsia" w:ascii="Times New Roman" w:hAnsi="Times New Roman" w:eastAsia="宋体" w:cs="Times New Roman"/>
          <w:color w:val="auto"/>
          <w:sz w:val="24"/>
          <w:szCs w:val="24"/>
          <w:highlight w:val="none"/>
        </w:rPr>
        <w:t>（以下简称：“电子交易平台”，网址：http://www.hnsdzjy.com/tpbidder/gcjsLogin），选择所投类别进行报名后下载招标文件、图纸等相关资料，完成获取招标文件。联合体投标的，由联合体牵头人完成招标文件等资料下载。</w:t>
      </w:r>
    </w:p>
    <w:p>
      <w:pPr>
        <w:pStyle w:val="24"/>
        <w:spacing w:line="400" w:lineRule="atLeast"/>
        <w:ind w:firstLine="480" w:firstLineChars="200"/>
        <w:rPr>
          <w:rStyle w:val="18"/>
          <w:rFonts w:ascii="Times New Roman" w:hAnsi="Times New Roman" w:eastAsia="宋体" w:cs="Times New Roman"/>
          <w:color w:val="auto"/>
          <w:sz w:val="24"/>
          <w:szCs w:val="24"/>
          <w:highlight w:val="none"/>
        </w:rPr>
      </w:pPr>
      <w:r>
        <w:rPr>
          <w:rStyle w:val="18"/>
          <w:rFonts w:hint="eastAsia" w:ascii="Times New Roman" w:hAnsi="Times New Roman" w:eastAsia="宋体" w:cs="Times New Roman"/>
          <w:color w:val="auto"/>
          <w:sz w:val="24"/>
          <w:szCs w:val="24"/>
          <w:highlight w:val="none"/>
        </w:rPr>
        <w:t>4.3 本次招标所有的招标文件下载、澄清、补遗、异议等均通过“电子交易平台”进行。投标人应及时关注网上相关招标信息，如有遗漏招标人概不负责，所造成的投标失败或损失由投标人自行负责。未按规定从湖南省公共资源交易中心工程建设项目招投标交易系统下载招标文件的，招标人将拒收其投标。</w:t>
      </w:r>
    </w:p>
    <w:p>
      <w:pPr>
        <w:pStyle w:val="22"/>
        <w:keepNext/>
        <w:keepLines/>
        <w:pageBreakBefore w:val="0"/>
        <w:widowControl/>
        <w:kinsoku/>
        <w:wordWrap/>
        <w:overflowPunct/>
        <w:topLinePunct w:val="0"/>
        <w:autoSpaceDE/>
        <w:autoSpaceDN/>
        <w:bidi w:val="0"/>
        <w:adjustRightInd/>
        <w:snapToGrid/>
        <w:spacing w:line="360" w:lineRule="auto"/>
        <w:ind w:firstLine="480" w:firstLineChars="200"/>
        <w:textAlignment w:val="auto"/>
        <w:rPr>
          <w:rStyle w:val="18"/>
          <w:rFonts w:hint="eastAsia" w:ascii="Times New Roman" w:hAnsi="Times New Roman" w:eastAsia="宋体" w:cs="Times New Roman"/>
          <w:b w:val="0"/>
          <w:color w:val="auto"/>
          <w:kern w:val="2"/>
          <w:sz w:val="24"/>
          <w:szCs w:val="24"/>
          <w:highlight w:val="none"/>
          <w:lang w:val="en-US" w:eastAsia="zh-CN" w:bidi="ar-SA"/>
        </w:rPr>
      </w:pPr>
      <w:r>
        <w:rPr>
          <w:rStyle w:val="18"/>
          <w:rFonts w:hint="eastAsia" w:ascii="Times New Roman" w:hAnsi="Times New Roman" w:eastAsia="宋体" w:cs="Times New Roman"/>
          <w:b w:val="0"/>
          <w:color w:val="auto"/>
          <w:kern w:val="2"/>
          <w:sz w:val="24"/>
          <w:szCs w:val="24"/>
          <w:highlight w:val="none"/>
          <w:lang w:val="en-US" w:eastAsia="zh-CN" w:bidi="ar-SA"/>
        </w:rPr>
        <w:t>4.4 投标人在办理 CA 数字证书时，自行填写利益相关企业，由电子招投标系统根据投标人填写的利益相关企业情况，在网上获取招标文件时自动提醒利益相关企业已获取招标文件，随机分配标段时自动规避利益相关企业，如因企业未如实填写利益相关企业导致利益相关企业自动分配到同一标段的，按否决其投标处理。</w:t>
      </w:r>
    </w:p>
    <w:p>
      <w:pPr>
        <w:pStyle w:val="22"/>
        <w:rPr>
          <w:rStyle w:val="18"/>
          <w:rFonts w:ascii="Times New Roman" w:hAnsi="Times New Roman" w:cs="Times New Roman"/>
        </w:rPr>
      </w:pPr>
      <w:r>
        <w:rPr>
          <w:rStyle w:val="18"/>
          <w:rFonts w:ascii="Times New Roman" w:hAnsi="Times New Roman" w:cs="Times New Roman"/>
        </w:rPr>
        <w:t xml:space="preserve">5. </w:t>
      </w:r>
      <w:r>
        <w:rPr>
          <w:rStyle w:val="18"/>
          <w:rFonts w:hint="eastAsia" w:ascii="Times New Roman" w:hAnsi="Times New Roman" w:cs="Times New Roman"/>
        </w:rPr>
        <w:t>投标文件的递交及相关事宜</w:t>
      </w:r>
    </w:p>
    <w:p>
      <w:pPr>
        <w:pStyle w:val="24"/>
        <w:topLinePunct/>
        <w:spacing w:line="400" w:lineRule="atLeast"/>
        <w:ind w:firstLine="360" w:firstLineChars="150"/>
        <w:rPr>
          <w:rStyle w:val="18"/>
          <w:rFonts w:hint="eastAsia" w:ascii="宋体" w:hAnsi="宋体" w:eastAsia="宋体" w:cs="宋体"/>
          <w:color w:val="auto"/>
          <w:sz w:val="24"/>
          <w:szCs w:val="20"/>
          <w:highlight w:val="none"/>
        </w:rPr>
      </w:pPr>
      <w:r>
        <w:rPr>
          <w:rStyle w:val="18"/>
          <w:rFonts w:hint="eastAsia" w:ascii="宋体" w:hAnsi="宋体" w:eastAsia="宋体" w:cs="宋体"/>
          <w:color w:val="auto"/>
          <w:sz w:val="24"/>
          <w:szCs w:val="20"/>
          <w:highlight w:val="none"/>
        </w:rPr>
        <w:t xml:space="preserve">5.1 招标人不组织进行工程现场踏勘，不召开投标预备会。 </w:t>
      </w:r>
    </w:p>
    <w:p>
      <w:pPr>
        <w:pStyle w:val="24"/>
        <w:topLinePunct/>
        <w:spacing w:line="400" w:lineRule="atLeast"/>
        <w:ind w:firstLine="360" w:firstLineChars="150"/>
        <w:rPr>
          <w:rStyle w:val="18"/>
          <w:rFonts w:hint="eastAsia" w:ascii="宋体" w:hAnsi="宋体" w:eastAsia="宋体" w:cs="宋体"/>
          <w:color w:val="auto"/>
          <w:sz w:val="24"/>
          <w:szCs w:val="20"/>
          <w:highlight w:val="none"/>
        </w:rPr>
      </w:pPr>
      <w:r>
        <w:rPr>
          <w:rStyle w:val="18"/>
          <w:rFonts w:hint="eastAsia" w:ascii="宋体" w:hAnsi="宋体" w:eastAsia="宋体" w:cs="宋体"/>
          <w:color w:val="auto"/>
          <w:sz w:val="24"/>
          <w:szCs w:val="20"/>
          <w:highlight w:val="none"/>
        </w:rPr>
        <w:t>5.2 投标文件递交的截止时间</w:t>
      </w:r>
      <w:r>
        <w:rPr>
          <w:rStyle w:val="18"/>
          <w:rFonts w:hint="eastAsia" w:ascii="宋体" w:hAnsi="宋体" w:cs="宋体"/>
          <w:color w:val="auto"/>
          <w:sz w:val="24"/>
          <w:szCs w:val="20"/>
          <w:highlight w:val="none"/>
          <w:lang w:val="en-US" w:eastAsia="zh-CN"/>
        </w:rPr>
        <w:t>:2024年11月18日9:00</w:t>
      </w:r>
    </w:p>
    <w:p>
      <w:pPr>
        <w:pStyle w:val="24"/>
        <w:topLinePunct/>
        <w:spacing w:line="400" w:lineRule="atLeast"/>
        <w:ind w:firstLine="360" w:firstLineChars="150"/>
        <w:rPr>
          <w:rStyle w:val="18"/>
          <w:rFonts w:hint="eastAsia" w:ascii="宋体" w:hAnsi="宋体" w:eastAsia="宋体" w:cs="宋体"/>
          <w:color w:val="auto"/>
          <w:sz w:val="24"/>
          <w:szCs w:val="20"/>
          <w:highlight w:val="none"/>
        </w:rPr>
      </w:pPr>
      <w:r>
        <w:rPr>
          <w:rStyle w:val="18"/>
          <w:rFonts w:hint="eastAsia" w:ascii="宋体" w:hAnsi="宋体" w:eastAsia="宋体" w:cs="宋体"/>
          <w:color w:val="auto"/>
          <w:sz w:val="24"/>
          <w:szCs w:val="20"/>
          <w:highlight w:val="none"/>
        </w:rPr>
        <w:t>投标人应当在投标截止时间前，通过互联网使用 CA 数字证书登录“电子交易平台”，将加密的电子投标文件（投标文件第一信封（商务和技术文件）和投标文件第二信封（报价文件））上传，并保存上传成功后系统自动生成的电子签收凭证，递交时间即为电子签收凭证时间。逾期未完成上传或未按规定加密的电子投标文件，招标人将拒收。 以联合体形式投标的，由联合体牵头人完成投标文件的加密、上传。</w:t>
      </w:r>
    </w:p>
    <w:p>
      <w:pPr>
        <w:pStyle w:val="24"/>
        <w:topLinePunct/>
        <w:spacing w:line="400" w:lineRule="atLeast"/>
        <w:ind w:firstLine="480" w:firstLineChars="200"/>
        <w:rPr>
          <w:rStyle w:val="18"/>
          <w:rFonts w:hint="eastAsia" w:ascii="宋体" w:hAnsi="宋体" w:eastAsia="宋体" w:cs="宋体"/>
          <w:color w:val="auto"/>
          <w:sz w:val="24"/>
          <w:szCs w:val="20"/>
          <w:highlight w:val="none"/>
        </w:rPr>
      </w:pPr>
      <w:r>
        <w:rPr>
          <w:rStyle w:val="18"/>
          <w:rFonts w:hint="eastAsia" w:ascii="宋体" w:hAnsi="宋体" w:eastAsia="宋体" w:cs="宋体"/>
          <w:color w:val="auto"/>
          <w:sz w:val="24"/>
          <w:szCs w:val="20"/>
          <w:highlight w:val="none"/>
        </w:rPr>
        <w:t>原件等资料送达：本次招标实行网上解密和开标。湖南省公共资源交易中心目前已全面启动电子化开评标，不见面开标项目无需现场参与，投标人可自行登录“不见面开标大厅”在线解密和收看开标现场。招标人允许投标人将投标保函原件</w:t>
      </w:r>
      <w:r>
        <w:rPr>
          <w:rStyle w:val="18"/>
          <w:rFonts w:hint="eastAsia" w:ascii="宋体" w:hAnsi="宋体" w:eastAsia="宋体" w:cs="宋体"/>
          <w:color w:val="auto"/>
          <w:sz w:val="24"/>
          <w:szCs w:val="20"/>
          <w:highlight w:val="none"/>
          <w:lang w:val="en-US" w:eastAsia="zh-CN"/>
        </w:rPr>
        <w:t>和</w:t>
      </w:r>
      <w:r>
        <w:rPr>
          <w:rStyle w:val="18"/>
          <w:rFonts w:hint="eastAsia" w:ascii="宋体" w:hAnsi="宋体" w:eastAsia="宋体" w:cs="宋体"/>
          <w:color w:val="auto"/>
          <w:sz w:val="24"/>
          <w:szCs w:val="20"/>
          <w:highlight w:val="none"/>
        </w:rPr>
        <w:t>查询授权书原件（如有）、信贷证明（如有）按照招标文件要求密封后（封套注明项目名称、标段号、招标编号、投标人名称），采用邮寄方式最晚于开标之日前一</w:t>
      </w:r>
      <w:r>
        <w:rPr>
          <w:rStyle w:val="18"/>
          <w:rFonts w:hint="eastAsia" w:ascii="宋体" w:hAnsi="宋体" w:cs="宋体"/>
          <w:color w:val="auto"/>
          <w:sz w:val="24"/>
          <w:szCs w:val="20"/>
          <w:highlight w:val="none"/>
          <w:lang w:val="en-US" w:eastAsia="zh-CN"/>
        </w:rPr>
        <w:t>工作</w:t>
      </w:r>
      <w:r>
        <w:rPr>
          <w:rStyle w:val="18"/>
          <w:rFonts w:hint="eastAsia" w:ascii="宋体" w:hAnsi="宋体" w:eastAsia="宋体" w:cs="宋体"/>
          <w:color w:val="auto"/>
          <w:sz w:val="24"/>
          <w:szCs w:val="20"/>
          <w:highlight w:val="none"/>
        </w:rPr>
        <w:t>日下午 17:00 时前交招标</w:t>
      </w:r>
      <w:r>
        <w:rPr>
          <w:rStyle w:val="18"/>
          <w:rFonts w:hint="eastAsia" w:ascii="宋体" w:hAnsi="宋体" w:eastAsia="宋体" w:cs="宋体"/>
          <w:color w:val="auto"/>
          <w:sz w:val="24"/>
          <w:szCs w:val="20"/>
          <w:highlight w:val="none"/>
          <w:lang w:val="en-US" w:eastAsia="zh-CN"/>
        </w:rPr>
        <w:t>代理机构</w:t>
      </w:r>
      <w:r>
        <w:rPr>
          <w:rStyle w:val="18"/>
          <w:rFonts w:hint="eastAsia" w:ascii="宋体" w:hAnsi="宋体" w:eastAsia="宋体" w:cs="宋体"/>
          <w:color w:val="auto"/>
          <w:sz w:val="24"/>
          <w:szCs w:val="20"/>
          <w:highlight w:val="none"/>
        </w:rPr>
        <w:t>签收（以签收时间为准，不含节假日），邮寄地址：湖南省开福区三一大道500号金色比华利16栋2单元</w:t>
      </w:r>
      <w:r>
        <w:rPr>
          <w:rStyle w:val="18"/>
          <w:rFonts w:hint="eastAsia" w:ascii="宋体" w:hAnsi="宋体" w:eastAsia="宋体" w:cs="宋体"/>
          <w:color w:val="auto"/>
          <w:sz w:val="24"/>
          <w:szCs w:val="20"/>
          <w:highlight w:val="none"/>
          <w:lang w:val="en-US" w:eastAsia="zh-CN"/>
        </w:rPr>
        <w:t>104</w:t>
      </w:r>
      <w:r>
        <w:rPr>
          <w:rStyle w:val="18"/>
          <w:rFonts w:hint="eastAsia" w:ascii="宋体" w:hAnsi="宋体" w:eastAsia="宋体" w:cs="宋体"/>
          <w:color w:val="auto"/>
          <w:sz w:val="24"/>
          <w:szCs w:val="20"/>
          <w:highlight w:val="none"/>
        </w:rPr>
        <w:t>室</w:t>
      </w:r>
      <w:r>
        <w:rPr>
          <w:rStyle w:val="18"/>
          <w:rFonts w:hint="eastAsia" w:ascii="宋体" w:hAnsi="宋体" w:cs="宋体"/>
          <w:color w:val="auto"/>
          <w:sz w:val="24"/>
          <w:szCs w:val="20"/>
          <w:highlight w:val="none"/>
          <w:lang w:val="en-US" w:eastAsia="zh-CN"/>
        </w:rPr>
        <w:t>郭先生</w:t>
      </w:r>
      <w:r>
        <w:rPr>
          <w:rStyle w:val="18"/>
          <w:rFonts w:hint="eastAsia" w:ascii="宋体" w:hAnsi="宋体" w:eastAsia="宋体" w:cs="宋体"/>
          <w:color w:val="auto"/>
          <w:sz w:val="24"/>
          <w:szCs w:val="20"/>
          <w:highlight w:val="none"/>
        </w:rPr>
        <w:t>收（联系电话0731-83285781/85222202）。</w:t>
      </w:r>
    </w:p>
    <w:p>
      <w:pPr>
        <w:pStyle w:val="24"/>
        <w:topLinePunct/>
        <w:spacing w:line="400" w:lineRule="atLeast"/>
        <w:ind w:firstLine="480" w:firstLineChars="200"/>
        <w:rPr>
          <w:rStyle w:val="18"/>
          <w:rFonts w:hint="eastAsia" w:ascii="宋体" w:hAnsi="宋体" w:eastAsia="宋体" w:cs="宋体"/>
          <w:color w:val="auto"/>
          <w:sz w:val="24"/>
          <w:szCs w:val="20"/>
          <w:highlight w:val="none"/>
        </w:rPr>
      </w:pPr>
      <w:r>
        <w:rPr>
          <w:rStyle w:val="18"/>
          <w:rFonts w:hint="eastAsia" w:ascii="宋体" w:hAnsi="宋体" w:eastAsia="宋体" w:cs="宋体"/>
          <w:color w:val="auto"/>
          <w:sz w:val="24"/>
          <w:szCs w:val="20"/>
          <w:highlight w:val="none"/>
        </w:rPr>
        <w:t>若投标人自愿到达开标现场参加开标活动的，应当在开标当日投标截止时间之前，将投标保函原件（如有）、查询授权书原件（如有）</w:t>
      </w:r>
      <w:r>
        <w:rPr>
          <w:rStyle w:val="18"/>
          <w:rFonts w:hint="eastAsia" w:ascii="宋体" w:hAnsi="宋体" w:eastAsia="宋体" w:cs="宋体"/>
          <w:color w:val="auto"/>
          <w:sz w:val="24"/>
          <w:szCs w:val="20"/>
          <w:highlight w:val="none"/>
          <w:lang w:val="en-US" w:eastAsia="zh-CN"/>
        </w:rPr>
        <w:t>、信贷证明（如有）</w:t>
      </w:r>
      <w:r>
        <w:rPr>
          <w:rStyle w:val="18"/>
          <w:rFonts w:hint="eastAsia" w:ascii="宋体" w:hAnsi="宋体" w:eastAsia="宋体" w:cs="宋体"/>
          <w:color w:val="auto"/>
          <w:sz w:val="24"/>
          <w:szCs w:val="20"/>
          <w:highlight w:val="none"/>
        </w:rPr>
        <w:t>按照招标文件要求密封后，递交至湖南省长沙市雨花区万家丽南路二段 29 号湖南省公共资源交易中心开标室（具体开标室请见一楼电子显示屏）交招标人签收；投标人在原件等资料递交完成后，请在三楼休息区、一楼办事大厅休息，禁止进入不见面开标室或在门口、过道聚集。</w:t>
      </w:r>
    </w:p>
    <w:p>
      <w:pPr>
        <w:pStyle w:val="24"/>
        <w:topLinePunct/>
        <w:spacing w:line="400" w:lineRule="atLeast"/>
        <w:ind w:firstLine="480" w:firstLineChars="200"/>
        <w:rPr>
          <w:rStyle w:val="18"/>
          <w:rFonts w:hint="eastAsia" w:ascii="宋体" w:hAnsi="宋体" w:eastAsia="宋体" w:cs="宋体"/>
          <w:color w:val="auto"/>
          <w:sz w:val="24"/>
          <w:szCs w:val="20"/>
          <w:highlight w:val="none"/>
        </w:rPr>
      </w:pPr>
      <w:r>
        <w:rPr>
          <w:rStyle w:val="18"/>
          <w:rFonts w:hint="eastAsia" w:ascii="宋体" w:hAnsi="宋体" w:eastAsia="宋体" w:cs="宋体"/>
          <w:color w:val="auto"/>
          <w:sz w:val="24"/>
          <w:szCs w:val="20"/>
          <w:highlight w:val="none"/>
        </w:rPr>
        <w:t xml:space="preserve">投标人可到开标现场完成投标文件解密工作，也可以按时远程登陆“电子交易平台”参与网上开标，完成投标文件远程解密工作，参与网上开标的投标人应保持通讯方式畅通。若投标人在现场解密，则须携带加密投标文件的 CA 数字证书、笔记本电脑并自备可靠的网络连接。逾期送达的、未送达指定地点的或不按照招标文件要求密封的投标文件，招标人将予以拒收。 </w:t>
      </w:r>
    </w:p>
    <w:p>
      <w:pPr>
        <w:pStyle w:val="24"/>
        <w:topLinePunct/>
        <w:spacing w:line="400" w:lineRule="atLeast"/>
        <w:ind w:firstLine="360" w:firstLineChars="150"/>
        <w:rPr>
          <w:rStyle w:val="18"/>
          <w:rFonts w:hint="eastAsia" w:ascii="宋体" w:hAnsi="宋体" w:eastAsia="宋体" w:cs="宋体"/>
          <w:color w:val="auto"/>
          <w:sz w:val="24"/>
          <w:szCs w:val="20"/>
          <w:highlight w:val="none"/>
        </w:rPr>
      </w:pPr>
      <w:r>
        <w:rPr>
          <w:rStyle w:val="18"/>
          <w:rFonts w:hint="eastAsia" w:ascii="宋体" w:hAnsi="宋体" w:eastAsia="宋体" w:cs="宋体"/>
          <w:color w:val="auto"/>
          <w:sz w:val="24"/>
          <w:szCs w:val="20"/>
          <w:highlight w:val="none"/>
        </w:rPr>
        <w:t>5.3 投标保证金的递交：</w:t>
      </w:r>
    </w:p>
    <w:p>
      <w:pPr>
        <w:pStyle w:val="24"/>
        <w:topLinePunct/>
        <w:spacing w:line="400" w:lineRule="atLeast"/>
        <w:ind w:firstLine="360" w:firstLineChars="150"/>
        <w:rPr>
          <w:rStyle w:val="18"/>
          <w:rFonts w:hint="eastAsia" w:ascii="宋体" w:hAnsi="宋体" w:eastAsia="宋体" w:cs="宋体"/>
          <w:color w:val="auto"/>
          <w:sz w:val="24"/>
          <w:szCs w:val="20"/>
          <w:highlight w:val="none"/>
        </w:rPr>
      </w:pPr>
      <w:r>
        <w:rPr>
          <w:rStyle w:val="18"/>
          <w:rFonts w:hint="eastAsia" w:ascii="宋体" w:hAnsi="宋体" w:eastAsia="宋体" w:cs="宋体"/>
          <w:color w:val="auto"/>
          <w:sz w:val="24"/>
          <w:szCs w:val="20"/>
          <w:highlight w:val="none"/>
        </w:rPr>
        <w:t>投标保证金的金额：</w:t>
      </w:r>
      <w:r>
        <w:rPr>
          <w:rStyle w:val="18"/>
          <w:rFonts w:hint="eastAsia" w:cs="Times New Roman"/>
          <w:kern w:val="2"/>
          <w:sz w:val="24"/>
          <w:szCs w:val="24"/>
          <w:lang w:val="en-US" w:eastAsia="zh-CN" w:bidi="ar-SA"/>
        </w:rPr>
        <w:t>TZGZ</w:t>
      </w:r>
      <w:r>
        <w:rPr>
          <w:rStyle w:val="18"/>
          <w:rFonts w:hint="eastAsia" w:ascii="Times New Roman" w:hAnsi="Times New Roman" w:eastAsia="宋体" w:cs="Times New Roman"/>
          <w:kern w:val="2"/>
          <w:sz w:val="24"/>
          <w:szCs w:val="24"/>
          <w:lang w:val="en-US" w:eastAsia="zh-CN" w:bidi="ar-SA"/>
        </w:rPr>
        <w:t>1</w:t>
      </w:r>
      <w:r>
        <w:rPr>
          <w:rStyle w:val="18"/>
          <w:rFonts w:hint="eastAsia" w:ascii="宋体" w:hAnsi="宋体" w:eastAsia="宋体" w:cs="宋体"/>
          <w:color w:val="auto"/>
          <w:sz w:val="24"/>
          <w:szCs w:val="20"/>
          <w:highlight w:val="none"/>
          <w:lang w:val="en-US" w:eastAsia="zh-CN"/>
        </w:rPr>
        <w:t>标段</w:t>
      </w:r>
      <w:r>
        <w:rPr>
          <w:rStyle w:val="18"/>
          <w:rFonts w:hint="eastAsia" w:ascii="宋体" w:hAnsi="宋体" w:cs="宋体"/>
          <w:color w:val="auto"/>
          <w:sz w:val="24"/>
          <w:szCs w:val="20"/>
          <w:highlight w:val="none"/>
          <w:u w:val="single"/>
          <w:lang w:val="en-US" w:eastAsia="zh-CN"/>
        </w:rPr>
        <w:t>9</w:t>
      </w:r>
      <w:r>
        <w:rPr>
          <w:rStyle w:val="18"/>
          <w:rFonts w:hint="eastAsia" w:ascii="宋体" w:hAnsi="宋体" w:eastAsia="宋体" w:cs="宋体"/>
          <w:color w:val="auto"/>
          <w:sz w:val="24"/>
          <w:szCs w:val="20"/>
          <w:highlight w:val="none"/>
        </w:rPr>
        <w:t xml:space="preserve">万元 </w:t>
      </w:r>
    </w:p>
    <w:p>
      <w:pPr>
        <w:pStyle w:val="24"/>
        <w:topLinePunct/>
        <w:spacing w:line="400" w:lineRule="atLeast"/>
        <w:ind w:firstLine="360" w:firstLineChars="150"/>
        <w:rPr>
          <w:rStyle w:val="18"/>
          <w:rFonts w:hint="eastAsia" w:ascii="宋体" w:hAnsi="宋体" w:eastAsia="宋体" w:cs="宋体"/>
          <w:color w:val="auto"/>
          <w:sz w:val="24"/>
          <w:szCs w:val="20"/>
          <w:highlight w:val="none"/>
          <w:lang w:eastAsia="zh-CN"/>
        </w:rPr>
      </w:pPr>
      <w:r>
        <w:rPr>
          <w:rStyle w:val="18"/>
          <w:rFonts w:hint="eastAsia" w:ascii="宋体" w:hAnsi="宋体" w:eastAsia="宋体" w:cs="宋体"/>
          <w:color w:val="auto"/>
          <w:sz w:val="24"/>
          <w:szCs w:val="20"/>
          <w:highlight w:val="none"/>
        </w:rPr>
        <w:t>投标保证金可采用的形式：现金</w:t>
      </w:r>
      <w:r>
        <w:rPr>
          <w:rStyle w:val="18"/>
          <w:rFonts w:hint="eastAsia" w:ascii="宋体" w:hAnsi="宋体" w:eastAsia="宋体" w:cs="宋体"/>
          <w:color w:val="auto"/>
          <w:sz w:val="24"/>
          <w:szCs w:val="20"/>
          <w:highlight w:val="none"/>
          <w:lang w:eastAsia="zh-CN"/>
        </w:rPr>
        <w:t>（</w:t>
      </w:r>
      <w:r>
        <w:rPr>
          <w:rStyle w:val="18"/>
          <w:rFonts w:hint="eastAsia" w:ascii="宋体" w:hAnsi="宋体" w:eastAsia="宋体" w:cs="宋体"/>
          <w:color w:val="auto"/>
          <w:sz w:val="24"/>
          <w:szCs w:val="20"/>
          <w:highlight w:val="none"/>
        </w:rPr>
        <w:t>转账、电汇、网银</w:t>
      </w:r>
      <w:r>
        <w:rPr>
          <w:rStyle w:val="18"/>
          <w:rFonts w:hint="eastAsia" w:ascii="宋体" w:hAnsi="宋体" w:eastAsia="宋体" w:cs="宋体"/>
          <w:color w:val="auto"/>
          <w:sz w:val="24"/>
          <w:szCs w:val="20"/>
          <w:highlight w:val="none"/>
          <w:lang w:eastAsia="zh-CN"/>
        </w:rPr>
        <w:t>）</w:t>
      </w:r>
      <w:r>
        <w:rPr>
          <w:rStyle w:val="18"/>
          <w:rFonts w:hint="eastAsia" w:ascii="宋体" w:hAnsi="宋体" w:eastAsia="宋体" w:cs="宋体"/>
          <w:color w:val="auto"/>
          <w:sz w:val="24"/>
          <w:szCs w:val="20"/>
          <w:highlight w:val="none"/>
        </w:rPr>
        <w:t>、支票、非现金</w:t>
      </w:r>
      <w:r>
        <w:rPr>
          <w:rStyle w:val="18"/>
          <w:rFonts w:hint="eastAsia" w:ascii="宋体" w:hAnsi="宋体" w:eastAsia="宋体" w:cs="宋体"/>
          <w:color w:val="auto"/>
          <w:sz w:val="24"/>
          <w:szCs w:val="20"/>
          <w:highlight w:val="none"/>
          <w:lang w:eastAsia="zh-CN"/>
        </w:rPr>
        <w:t>（</w:t>
      </w:r>
      <w:r>
        <w:rPr>
          <w:rStyle w:val="18"/>
          <w:rFonts w:hint="eastAsia" w:ascii="宋体" w:hAnsi="宋体" w:eastAsia="宋体" w:cs="宋体"/>
          <w:color w:val="auto"/>
          <w:sz w:val="24"/>
          <w:szCs w:val="20"/>
          <w:highlight w:val="none"/>
        </w:rPr>
        <w:t>银行保函、担保保函、保险保单</w:t>
      </w:r>
      <w:r>
        <w:rPr>
          <w:rStyle w:val="18"/>
          <w:rFonts w:hint="eastAsia" w:ascii="宋体" w:hAnsi="宋体" w:eastAsia="宋体" w:cs="宋体"/>
          <w:color w:val="auto"/>
          <w:sz w:val="24"/>
          <w:szCs w:val="20"/>
          <w:highlight w:val="none"/>
          <w:lang w:eastAsia="zh-CN"/>
        </w:rPr>
        <w:t>）</w:t>
      </w:r>
      <w:r>
        <w:rPr>
          <w:rStyle w:val="18"/>
          <w:rFonts w:hint="eastAsia" w:ascii="宋体" w:hAnsi="宋体" w:eastAsia="宋体" w:cs="宋体"/>
          <w:color w:val="auto"/>
          <w:sz w:val="24"/>
          <w:szCs w:val="20"/>
          <w:highlight w:val="none"/>
          <w:lang w:val="en-US" w:eastAsia="zh-CN"/>
        </w:rPr>
        <w:t>等</w:t>
      </w:r>
      <w:r>
        <w:rPr>
          <w:rStyle w:val="18"/>
          <w:rFonts w:hint="eastAsia" w:ascii="宋体" w:hAnsi="宋体" w:eastAsia="宋体" w:cs="宋体"/>
          <w:color w:val="auto"/>
          <w:sz w:val="24"/>
          <w:szCs w:val="20"/>
          <w:highlight w:val="none"/>
          <w:lang w:eastAsia="zh-CN"/>
        </w:rPr>
        <w:t>。</w:t>
      </w:r>
    </w:p>
    <w:p>
      <w:pPr>
        <w:pStyle w:val="24"/>
        <w:topLinePunct/>
        <w:spacing w:line="400" w:lineRule="atLeast"/>
        <w:ind w:firstLine="360" w:firstLineChars="150"/>
        <w:rPr>
          <w:rStyle w:val="18"/>
          <w:rFonts w:hint="eastAsia" w:ascii="宋体" w:hAnsi="宋体" w:eastAsia="宋体" w:cs="宋体"/>
          <w:color w:val="auto"/>
          <w:sz w:val="24"/>
          <w:szCs w:val="20"/>
          <w:highlight w:val="none"/>
        </w:rPr>
      </w:pPr>
      <w:r>
        <w:rPr>
          <w:rStyle w:val="18"/>
          <w:rFonts w:hint="eastAsia" w:ascii="宋体" w:hAnsi="宋体" w:eastAsia="宋体" w:cs="宋体"/>
          <w:color w:val="auto"/>
          <w:sz w:val="24"/>
          <w:szCs w:val="20"/>
          <w:highlight w:val="none"/>
        </w:rPr>
        <w:t>（1）</w:t>
      </w:r>
      <w:bookmarkStart w:id="1" w:name="_Hlk11941435"/>
      <w:bookmarkStart w:id="2" w:name="_Hlk12419643"/>
      <w:r>
        <w:rPr>
          <w:rStyle w:val="18"/>
          <w:rFonts w:hint="eastAsia" w:ascii="宋体" w:hAnsi="宋体" w:eastAsia="宋体" w:cs="宋体"/>
          <w:color w:val="auto"/>
          <w:sz w:val="24"/>
          <w:szCs w:val="20"/>
          <w:highlight w:val="none"/>
        </w:rPr>
        <w:t>投标人采用现金或者支票形式提交的投标保证金应当从其基本账户转出，投标人应在投标截止时间前以转账、电汇、网银方式从投标人基本账户一次性划款到以下指定投标保证金专用账号上（以到账时间为准）</w:t>
      </w:r>
      <w:bookmarkEnd w:id="1"/>
      <w:r>
        <w:rPr>
          <w:rStyle w:val="18"/>
          <w:rFonts w:hint="eastAsia" w:ascii="宋体" w:hAnsi="宋体" w:eastAsia="宋体" w:cs="宋体"/>
          <w:color w:val="auto"/>
          <w:sz w:val="24"/>
          <w:szCs w:val="20"/>
          <w:highlight w:val="none"/>
        </w:rPr>
        <w:t>。</w:t>
      </w:r>
      <w:bookmarkEnd w:id="2"/>
    </w:p>
    <w:p>
      <w:pPr>
        <w:pStyle w:val="24"/>
        <w:topLinePunct/>
        <w:spacing w:line="400" w:lineRule="atLeast"/>
        <w:ind w:firstLine="360" w:firstLineChars="150"/>
        <w:rPr>
          <w:rStyle w:val="18"/>
          <w:rFonts w:hint="eastAsia" w:ascii="宋体" w:hAnsi="宋体" w:eastAsia="宋体" w:cs="宋体"/>
          <w:color w:val="auto"/>
          <w:sz w:val="24"/>
          <w:szCs w:val="20"/>
          <w:highlight w:val="none"/>
        </w:rPr>
      </w:pPr>
      <w:r>
        <w:rPr>
          <w:rStyle w:val="18"/>
          <w:rFonts w:hint="eastAsia" w:ascii="宋体" w:hAnsi="宋体" w:eastAsia="宋体" w:cs="宋体"/>
          <w:color w:val="auto"/>
          <w:sz w:val="24"/>
          <w:szCs w:val="20"/>
          <w:highlight w:val="none"/>
        </w:rPr>
        <w:t>招标工程类别：房建工程</w:t>
      </w:r>
    </w:p>
    <w:p>
      <w:pPr>
        <w:pStyle w:val="24"/>
        <w:topLinePunct/>
        <w:spacing w:line="400" w:lineRule="atLeast"/>
        <w:ind w:firstLine="360" w:firstLineChars="150"/>
        <w:rPr>
          <w:rStyle w:val="18"/>
          <w:rFonts w:hint="eastAsia" w:ascii="宋体" w:hAnsi="宋体" w:eastAsia="宋体" w:cs="宋体"/>
          <w:color w:val="auto"/>
          <w:sz w:val="24"/>
          <w:szCs w:val="20"/>
          <w:highlight w:val="none"/>
          <w:lang w:val="en-US" w:eastAsia="zh-CN"/>
        </w:rPr>
      </w:pPr>
      <w:r>
        <w:rPr>
          <w:rStyle w:val="18"/>
          <w:rFonts w:hint="eastAsia" w:ascii="宋体" w:hAnsi="宋体" w:eastAsia="宋体" w:cs="宋体"/>
          <w:color w:val="auto"/>
          <w:sz w:val="24"/>
          <w:szCs w:val="20"/>
          <w:highlight w:val="none"/>
          <w:lang w:val="en-US" w:eastAsia="zh-CN"/>
        </w:rPr>
        <w:t>账户名称：湖南省公共资源交易中心工程建设保证户</w:t>
      </w:r>
    </w:p>
    <w:p>
      <w:pPr>
        <w:pStyle w:val="24"/>
        <w:topLinePunct/>
        <w:spacing w:line="400" w:lineRule="atLeast"/>
        <w:ind w:firstLine="360" w:firstLineChars="150"/>
        <w:rPr>
          <w:rStyle w:val="18"/>
          <w:rFonts w:hint="eastAsia" w:ascii="宋体" w:hAnsi="宋体" w:eastAsia="宋体" w:cs="宋体"/>
          <w:color w:val="auto"/>
          <w:sz w:val="24"/>
          <w:szCs w:val="20"/>
          <w:highlight w:val="none"/>
          <w:lang w:val="en-US" w:eastAsia="zh-CN"/>
        </w:rPr>
      </w:pPr>
      <w:r>
        <w:rPr>
          <w:rStyle w:val="18"/>
          <w:rFonts w:hint="eastAsia" w:ascii="宋体" w:hAnsi="宋体" w:eastAsia="宋体" w:cs="宋体"/>
          <w:color w:val="auto"/>
          <w:sz w:val="24"/>
          <w:szCs w:val="20"/>
          <w:highlight w:val="none"/>
          <w:lang w:val="en-US" w:eastAsia="zh-CN"/>
        </w:rPr>
        <w:t>开户银行：中国农业银行股份有限公司长沙芙蓉区支行</w:t>
      </w:r>
    </w:p>
    <w:p>
      <w:pPr>
        <w:pStyle w:val="24"/>
        <w:topLinePunct/>
        <w:spacing w:line="400" w:lineRule="atLeast"/>
        <w:ind w:firstLine="480" w:firstLineChars="200"/>
        <w:rPr>
          <w:rStyle w:val="18"/>
          <w:rFonts w:hint="default" w:ascii="宋体" w:hAnsi="宋体" w:eastAsia="宋体" w:cs="宋体"/>
          <w:color w:val="auto"/>
          <w:sz w:val="24"/>
          <w:szCs w:val="20"/>
          <w:highlight w:val="none"/>
          <w:lang w:val="en-US" w:eastAsia="zh-CN"/>
        </w:rPr>
      </w:pPr>
      <w:r>
        <w:rPr>
          <w:rStyle w:val="18"/>
          <w:rFonts w:hint="eastAsia" w:ascii="宋体" w:hAnsi="宋体" w:eastAsia="宋体" w:cs="宋体"/>
          <w:color w:val="auto"/>
          <w:sz w:val="24"/>
          <w:szCs w:val="20"/>
          <w:highlight w:val="none"/>
          <w:lang w:val="en-US" w:eastAsia="zh-CN"/>
        </w:rPr>
        <w:t>账</w:t>
      </w:r>
      <w:r>
        <w:rPr>
          <w:rStyle w:val="18"/>
          <w:rFonts w:hint="eastAsia" w:ascii="宋体" w:hAnsi="宋体" w:cs="宋体"/>
          <w:color w:val="auto"/>
          <w:sz w:val="24"/>
          <w:szCs w:val="20"/>
          <w:highlight w:val="none"/>
          <w:lang w:val="en-US" w:eastAsia="zh-CN"/>
        </w:rPr>
        <w:t xml:space="preserve">   </w:t>
      </w:r>
      <w:r>
        <w:rPr>
          <w:rStyle w:val="18"/>
          <w:rFonts w:hint="eastAsia" w:ascii="宋体" w:hAnsi="宋体" w:eastAsia="宋体" w:cs="宋体"/>
          <w:color w:val="auto"/>
          <w:sz w:val="24"/>
          <w:szCs w:val="20"/>
          <w:highlight w:val="none"/>
          <w:lang w:val="en-US" w:eastAsia="zh-CN"/>
        </w:rPr>
        <w:t>号：180619010400118220010001062</w:t>
      </w:r>
      <w:r>
        <w:rPr>
          <w:rStyle w:val="18"/>
          <w:rFonts w:hint="eastAsia" w:ascii="宋体" w:hAnsi="宋体" w:cs="宋体"/>
          <w:color w:val="auto"/>
          <w:sz w:val="24"/>
          <w:szCs w:val="20"/>
          <w:highlight w:val="none"/>
          <w:lang w:val="en-US" w:eastAsia="zh-CN"/>
        </w:rPr>
        <w:t xml:space="preserve"> </w:t>
      </w:r>
    </w:p>
    <w:p>
      <w:pPr>
        <w:pStyle w:val="24"/>
        <w:topLinePunct/>
        <w:spacing w:line="400" w:lineRule="atLeast"/>
        <w:ind w:firstLine="360" w:firstLineChars="150"/>
        <w:rPr>
          <w:rStyle w:val="18"/>
          <w:rFonts w:hint="eastAsia" w:ascii="宋体" w:hAnsi="宋体" w:eastAsia="宋体" w:cs="宋体"/>
          <w:color w:val="auto"/>
          <w:sz w:val="24"/>
          <w:szCs w:val="20"/>
          <w:highlight w:val="none"/>
        </w:rPr>
      </w:pPr>
      <w:r>
        <w:rPr>
          <w:rStyle w:val="18"/>
          <w:rFonts w:hint="eastAsia" w:ascii="宋体" w:hAnsi="宋体" w:eastAsia="宋体" w:cs="宋体"/>
          <w:color w:val="auto"/>
          <w:sz w:val="24"/>
          <w:szCs w:val="20"/>
          <w:highlight w:val="none"/>
        </w:rPr>
        <w:t>（2）采用非现金形式的纸质保函（保单）时，保函（保单）出具机构要求如下：</w:t>
      </w:r>
    </w:p>
    <w:p>
      <w:pPr>
        <w:pStyle w:val="24"/>
        <w:topLinePunct/>
        <w:spacing w:line="400" w:lineRule="atLeast"/>
        <w:ind w:firstLine="360" w:firstLineChars="150"/>
        <w:rPr>
          <w:rStyle w:val="18"/>
          <w:rFonts w:hint="eastAsia" w:ascii="宋体" w:hAnsi="宋体" w:eastAsia="宋体" w:cs="宋体"/>
          <w:color w:val="auto"/>
          <w:sz w:val="24"/>
          <w:szCs w:val="20"/>
          <w:highlight w:val="none"/>
        </w:rPr>
      </w:pPr>
      <w:r>
        <w:rPr>
          <w:rStyle w:val="18"/>
          <w:rFonts w:hint="eastAsia" w:ascii="宋体" w:hAnsi="宋体" w:eastAsia="宋体" w:cs="宋体"/>
          <w:color w:val="auto"/>
          <w:sz w:val="24"/>
          <w:szCs w:val="20"/>
          <w:highlight w:val="none"/>
        </w:rPr>
        <w:t>采用银行纸质保函时，应由投标人开立基本账户的银行出具保函；</w:t>
      </w:r>
    </w:p>
    <w:p>
      <w:pPr>
        <w:pStyle w:val="24"/>
        <w:topLinePunct/>
        <w:spacing w:line="400" w:lineRule="atLeast"/>
        <w:ind w:firstLine="360" w:firstLineChars="150"/>
        <w:rPr>
          <w:rStyle w:val="18"/>
          <w:rFonts w:hint="eastAsia" w:ascii="宋体" w:hAnsi="宋体" w:eastAsia="宋体" w:cs="宋体"/>
          <w:color w:val="auto"/>
          <w:sz w:val="24"/>
          <w:szCs w:val="20"/>
          <w:highlight w:val="none"/>
        </w:rPr>
      </w:pPr>
      <w:r>
        <w:rPr>
          <w:rStyle w:val="18"/>
          <w:rFonts w:hint="eastAsia" w:ascii="宋体" w:hAnsi="宋体" w:eastAsia="宋体" w:cs="宋体"/>
          <w:color w:val="auto"/>
          <w:sz w:val="24"/>
          <w:szCs w:val="20"/>
          <w:highlight w:val="none"/>
        </w:rPr>
        <w:t>采用担保纸质保函时，应由专业担保公司</w:t>
      </w:r>
      <w:r>
        <w:rPr>
          <w:rStyle w:val="18"/>
          <w:rFonts w:hint="eastAsia" w:ascii="宋体" w:hAnsi="宋体" w:eastAsia="宋体" w:cs="宋体"/>
          <w:color w:val="auto"/>
          <w:szCs w:val="24"/>
          <w:highlight w:val="none"/>
          <w:vertAlign w:val="superscript"/>
        </w:rPr>
        <w:footnoteReference w:id="5"/>
      </w:r>
      <w:r>
        <w:rPr>
          <w:rStyle w:val="18"/>
          <w:rFonts w:hint="eastAsia" w:ascii="宋体" w:hAnsi="宋体" w:eastAsia="宋体" w:cs="宋体"/>
          <w:color w:val="auto"/>
          <w:sz w:val="24"/>
          <w:szCs w:val="20"/>
          <w:highlight w:val="none"/>
        </w:rPr>
        <w:t>开立无条件的、不可撤销的独立保函；</w:t>
      </w:r>
    </w:p>
    <w:p>
      <w:pPr>
        <w:pStyle w:val="24"/>
        <w:topLinePunct/>
        <w:spacing w:line="400" w:lineRule="atLeast"/>
        <w:ind w:firstLine="360" w:firstLineChars="150"/>
        <w:rPr>
          <w:rStyle w:val="18"/>
          <w:rFonts w:hint="eastAsia" w:ascii="宋体" w:hAnsi="宋体" w:eastAsia="宋体" w:cs="宋体"/>
          <w:color w:val="auto"/>
          <w:sz w:val="24"/>
          <w:szCs w:val="20"/>
          <w:highlight w:val="none"/>
        </w:rPr>
      </w:pPr>
      <w:r>
        <w:rPr>
          <w:rStyle w:val="18"/>
          <w:rFonts w:hint="eastAsia" w:ascii="宋体" w:hAnsi="宋体" w:eastAsia="宋体" w:cs="宋体"/>
          <w:color w:val="auto"/>
          <w:sz w:val="24"/>
          <w:szCs w:val="20"/>
          <w:highlight w:val="none"/>
        </w:rPr>
        <w:t>采用保险纸质保单时，应由保险公司</w:t>
      </w:r>
      <w:r>
        <w:rPr>
          <w:rStyle w:val="18"/>
          <w:rFonts w:hint="eastAsia" w:ascii="宋体" w:hAnsi="宋体" w:eastAsia="宋体" w:cs="宋体"/>
          <w:color w:val="auto"/>
          <w:szCs w:val="24"/>
          <w:highlight w:val="none"/>
          <w:vertAlign w:val="superscript"/>
        </w:rPr>
        <w:footnoteReference w:id="6"/>
      </w:r>
      <w:r>
        <w:rPr>
          <w:rStyle w:val="18"/>
          <w:rFonts w:hint="eastAsia" w:ascii="宋体" w:hAnsi="宋体" w:eastAsia="宋体" w:cs="宋体"/>
          <w:color w:val="auto"/>
          <w:sz w:val="24"/>
          <w:szCs w:val="20"/>
          <w:highlight w:val="none"/>
        </w:rPr>
        <w:t>开具无免责条款的保证保险。</w:t>
      </w:r>
    </w:p>
    <w:p>
      <w:pPr>
        <w:pStyle w:val="24"/>
        <w:topLinePunct/>
        <w:spacing w:line="400" w:lineRule="atLeast"/>
        <w:ind w:firstLine="360" w:firstLineChars="150"/>
        <w:rPr>
          <w:rStyle w:val="18"/>
          <w:rFonts w:hint="eastAsia" w:ascii="宋体" w:hAnsi="宋体" w:eastAsia="宋体" w:cs="宋体"/>
          <w:color w:val="auto"/>
          <w:sz w:val="24"/>
          <w:szCs w:val="20"/>
          <w:highlight w:val="none"/>
        </w:rPr>
      </w:pPr>
      <w:r>
        <w:rPr>
          <w:rStyle w:val="18"/>
          <w:rFonts w:hint="eastAsia" w:ascii="宋体" w:hAnsi="宋体" w:eastAsia="宋体" w:cs="宋体"/>
          <w:color w:val="auto"/>
          <w:sz w:val="24"/>
          <w:szCs w:val="20"/>
          <w:highlight w:val="none"/>
        </w:rPr>
        <w:t>投标人应将保函（保单）原件与保函（保单）出具机构查询授权书原件一并按照本章第5.2条规定递交方式在投标截止时间前交招标代理机构，其复印件附在投标文件中。若保函（保单）仅加盖保函（保单）出具机构业务公章的，须同时提交保函（保单）出具机构出具的同等法律效力证明的原件。保函（保单）出具机构应当依法开展相关业务。投标人对保函（保险）的真实性、合法性、有效性负责。保函（保单）出具机构查询授权书须按照招标文件第九章投标文件格式“投标保证金”要求出具，如出现保函（保险）无法查询或查询内容与实际不符，则视为投标人提供虚假资料。</w:t>
      </w:r>
    </w:p>
    <w:p>
      <w:pPr>
        <w:pStyle w:val="24"/>
        <w:topLinePunct/>
        <w:spacing w:line="400" w:lineRule="atLeast"/>
        <w:ind w:firstLine="360" w:firstLineChars="150"/>
        <w:rPr>
          <w:rStyle w:val="18"/>
          <w:rFonts w:hint="eastAsia" w:ascii="宋体" w:hAnsi="宋体" w:eastAsia="宋体" w:cs="宋体"/>
          <w:color w:val="auto"/>
          <w:sz w:val="24"/>
          <w:szCs w:val="20"/>
          <w:highlight w:val="none"/>
        </w:rPr>
      </w:pPr>
      <w:r>
        <w:rPr>
          <w:rStyle w:val="18"/>
          <w:rFonts w:hint="eastAsia" w:ascii="宋体" w:hAnsi="宋体" w:eastAsia="宋体" w:cs="宋体"/>
          <w:color w:val="auto"/>
          <w:sz w:val="24"/>
          <w:szCs w:val="20"/>
          <w:highlight w:val="none"/>
        </w:rPr>
        <w:t>（3）采用非现金形式的电子保函（保单）时，投标人应在投标截止时间前登录“湖南省公共资源交易中心保证金创新服务支撑管理系统”，申请开具银行电子保函、保险电子保单、担保电子保函，并将电子保函（保单）附在投标文件中。</w:t>
      </w:r>
    </w:p>
    <w:p>
      <w:pPr>
        <w:pStyle w:val="24"/>
        <w:topLinePunct/>
        <w:spacing w:line="400" w:lineRule="atLeast"/>
        <w:ind w:firstLine="360" w:firstLineChars="150"/>
        <w:rPr>
          <w:rStyle w:val="18"/>
          <w:rFonts w:hint="eastAsia" w:ascii="宋体" w:hAnsi="宋体" w:eastAsia="宋体" w:cs="宋体"/>
          <w:color w:val="auto"/>
          <w:sz w:val="24"/>
          <w:szCs w:val="20"/>
          <w:highlight w:val="none"/>
        </w:rPr>
      </w:pPr>
      <w:r>
        <w:rPr>
          <w:rStyle w:val="18"/>
          <w:rFonts w:hint="eastAsia" w:ascii="宋体" w:hAnsi="宋体" w:eastAsia="宋体" w:cs="宋体"/>
          <w:color w:val="auto"/>
          <w:sz w:val="24"/>
          <w:szCs w:val="20"/>
          <w:highlight w:val="none"/>
        </w:rPr>
        <w:t>（4）联合体投标的，由牵头人递交投标保证金。若因招标人推迟投标截止时间而导致投标人已开具的保函时效不足，投标人应另行提交满足时效的保函，否则视为投标人未提供保函。</w:t>
      </w:r>
    </w:p>
    <w:p>
      <w:pPr>
        <w:pStyle w:val="22"/>
        <w:rPr>
          <w:rStyle w:val="18"/>
          <w:rFonts w:hint="eastAsia" w:ascii="Times New Roman" w:hAnsi="Times New Roman" w:cs="Times New Roman"/>
        </w:rPr>
      </w:pPr>
    </w:p>
    <w:p>
      <w:pPr>
        <w:pStyle w:val="22"/>
        <w:rPr>
          <w:rStyle w:val="18"/>
          <w:rFonts w:ascii="Times New Roman" w:hAnsi="Times New Roman" w:cs="Times New Roman"/>
        </w:rPr>
      </w:pPr>
      <w:r>
        <w:rPr>
          <w:rStyle w:val="18"/>
          <w:rFonts w:hint="eastAsia" w:ascii="Times New Roman" w:hAnsi="Times New Roman" w:cs="Times New Roman"/>
        </w:rPr>
        <w:t>6. 评标办法</w:t>
      </w:r>
    </w:p>
    <w:p>
      <w:pPr>
        <w:pStyle w:val="36"/>
        <w:topLinePunct/>
        <w:spacing w:line="400" w:lineRule="atLeast"/>
        <w:ind w:firstLine="360" w:firstLineChars="150"/>
        <w:rPr>
          <w:rStyle w:val="18"/>
          <w:rFonts w:ascii="Times New Roman" w:hAnsi="Times New Roman" w:eastAsia="黑体" w:cs="Times New Roman"/>
        </w:rPr>
      </w:pPr>
      <w:r>
        <w:rPr>
          <w:rStyle w:val="18"/>
          <w:rFonts w:hint="eastAsia" w:ascii="Times New Roman" w:hAnsi="Times New Roman" w:eastAsia="黑体" w:cs="Times New Roman"/>
        </w:rPr>
        <w:t>本项目评标办法采用</w:t>
      </w:r>
      <w:r>
        <w:rPr>
          <w:rStyle w:val="18"/>
          <w:rFonts w:hint="eastAsia" w:ascii="宋体" w:hAnsi="宋体" w:eastAsia="宋体" w:cs="宋体"/>
          <w:sz w:val="24"/>
          <w:szCs w:val="20"/>
          <w:highlight w:val="none"/>
          <w:u w:val="single"/>
        </w:rPr>
        <w:t xml:space="preserve"> </w:t>
      </w:r>
      <w:r>
        <w:rPr>
          <w:rStyle w:val="18"/>
          <w:rFonts w:hint="eastAsia" w:ascii="宋体" w:hAnsi="宋体" w:eastAsia="宋体" w:cs="宋体"/>
          <w:sz w:val="24"/>
          <w:szCs w:val="20"/>
          <w:highlight w:val="none"/>
          <w:u w:val="single"/>
          <w:lang w:val="en-US" w:eastAsia="zh-CN"/>
        </w:rPr>
        <w:t>分类资审随机分配合理低价法</w:t>
      </w:r>
      <w:r>
        <w:rPr>
          <w:rStyle w:val="18"/>
          <w:rFonts w:hint="eastAsia" w:ascii="宋体" w:hAnsi="宋体" w:eastAsia="宋体" w:cs="宋体"/>
          <w:sz w:val="24"/>
          <w:szCs w:val="20"/>
          <w:highlight w:val="none"/>
        </w:rPr>
        <w:t>。本项目</w:t>
      </w:r>
      <w:r>
        <w:rPr>
          <w:rStyle w:val="18"/>
          <w:rFonts w:hint="eastAsia" w:ascii="宋体" w:hAnsi="宋体" w:eastAsia="宋体" w:cs="宋体"/>
          <w:sz w:val="24"/>
          <w:szCs w:val="20"/>
          <w:highlight w:val="none"/>
          <w:lang w:val="en-US" w:eastAsia="zh-CN"/>
        </w:rPr>
        <w:t>招标仅一个标段，不进行</w:t>
      </w:r>
      <w:r>
        <w:rPr>
          <w:rStyle w:val="18"/>
          <w:rFonts w:hint="eastAsia" w:ascii="宋体" w:hAnsi="宋体" w:eastAsia="宋体" w:cs="宋体"/>
          <w:sz w:val="24"/>
          <w:szCs w:val="20"/>
          <w:highlight w:val="none"/>
        </w:rPr>
        <w:t>分类资审随机分配</w:t>
      </w:r>
      <w:r>
        <w:rPr>
          <w:rStyle w:val="18"/>
          <w:rFonts w:hint="eastAsia" w:ascii="宋体" w:hAnsi="宋体" w:eastAsia="宋体" w:cs="宋体"/>
          <w:sz w:val="24"/>
          <w:szCs w:val="20"/>
          <w:highlight w:val="none"/>
          <w:lang w:eastAsia="zh-CN"/>
        </w:rPr>
        <w:t>，</w:t>
      </w:r>
      <w:r>
        <w:rPr>
          <w:rStyle w:val="18"/>
          <w:rFonts w:hint="eastAsia" w:ascii="宋体" w:hAnsi="宋体" w:eastAsia="宋体" w:cs="宋体"/>
          <w:sz w:val="24"/>
          <w:szCs w:val="20"/>
          <w:highlight w:val="none"/>
          <w:lang w:val="en-US" w:eastAsia="zh-CN"/>
        </w:rPr>
        <w:t>招标文件中相关</w:t>
      </w:r>
      <w:r>
        <w:rPr>
          <w:rStyle w:val="18"/>
          <w:rFonts w:hint="eastAsia" w:ascii="宋体" w:hAnsi="宋体" w:eastAsia="宋体" w:cs="宋体"/>
          <w:sz w:val="24"/>
          <w:szCs w:val="20"/>
          <w:highlight w:val="none"/>
        </w:rPr>
        <w:t>分类资审随机分配</w:t>
      </w:r>
      <w:r>
        <w:rPr>
          <w:rStyle w:val="18"/>
          <w:rFonts w:hint="eastAsia" w:ascii="宋体" w:hAnsi="宋体" w:eastAsia="宋体" w:cs="宋体"/>
          <w:sz w:val="24"/>
          <w:szCs w:val="20"/>
          <w:highlight w:val="none"/>
          <w:lang w:val="en-US" w:eastAsia="zh-CN"/>
        </w:rPr>
        <w:t>内容不适用</w:t>
      </w:r>
      <w:r>
        <w:rPr>
          <w:rStyle w:val="18"/>
          <w:rFonts w:hint="eastAsia" w:ascii="Times New Roman" w:hAnsi="Times New Roman" w:eastAsia="黑体" w:cs="Times New Roman"/>
        </w:rPr>
        <w:t>。</w:t>
      </w:r>
    </w:p>
    <w:p>
      <w:pPr>
        <w:pStyle w:val="22"/>
        <w:rPr>
          <w:rStyle w:val="18"/>
          <w:rFonts w:ascii="Times New Roman" w:hAnsi="Times New Roman" w:cs="Times New Roman"/>
          <w:szCs w:val="28"/>
        </w:rPr>
      </w:pPr>
    </w:p>
    <w:p>
      <w:pPr>
        <w:pStyle w:val="22"/>
        <w:rPr>
          <w:rStyle w:val="18"/>
          <w:rFonts w:ascii="Times New Roman" w:hAnsi="Times New Roman" w:cs="Times New Roman"/>
          <w:szCs w:val="28"/>
          <w:lang w:val="en-US"/>
        </w:rPr>
      </w:pPr>
      <w:r>
        <w:rPr>
          <w:rStyle w:val="18"/>
          <w:rFonts w:hint="eastAsia" w:ascii="Times New Roman" w:hAnsi="Times New Roman" w:cs="Times New Roman"/>
          <w:szCs w:val="28"/>
          <w:lang w:val="en-US" w:eastAsia="zh-CN"/>
        </w:rPr>
        <w:t>7</w:t>
      </w:r>
      <w:r>
        <w:rPr>
          <w:rStyle w:val="18"/>
          <w:rFonts w:ascii="Times New Roman" w:hAnsi="Times New Roman" w:cs="Times New Roman"/>
          <w:szCs w:val="28"/>
          <w:lang w:val="en-US"/>
        </w:rPr>
        <w:t xml:space="preserve"> </w:t>
      </w:r>
      <w:r>
        <w:rPr>
          <w:rStyle w:val="18"/>
          <w:rFonts w:hint="eastAsia" w:ascii="Times New Roman" w:hAnsi="Times New Roman" w:cs="Times New Roman"/>
          <w:szCs w:val="28"/>
        </w:rPr>
        <w:t>发布公告的媒介</w:t>
      </w:r>
    </w:p>
    <w:p>
      <w:pPr>
        <w:pStyle w:val="24"/>
        <w:keepNext w:val="0"/>
        <w:keepLines w:val="0"/>
        <w:pageBreakBefore w:val="0"/>
        <w:widowControl w:val="0"/>
        <w:kinsoku w:val="0"/>
        <w:wordWrap/>
        <w:overflowPunct w:val="0"/>
        <w:topLinePunct/>
        <w:autoSpaceDE/>
        <w:autoSpaceDN/>
        <w:bidi w:val="0"/>
        <w:adjustRightInd w:val="0"/>
        <w:snapToGrid/>
        <w:spacing w:line="400" w:lineRule="exact"/>
        <w:ind w:firstLine="420" w:firstLineChars="0"/>
        <w:textAlignment w:val="auto"/>
        <w:rPr>
          <w:rStyle w:val="18"/>
          <w:rFonts w:hint="eastAsia" w:ascii="宋体" w:hAnsi="宋体" w:eastAsia="宋体" w:cs="宋体"/>
          <w:highlight w:val="none"/>
        </w:rPr>
      </w:pPr>
      <w:r>
        <w:rPr>
          <w:rStyle w:val="18"/>
          <w:rFonts w:hint="eastAsia" w:ascii="宋体" w:hAnsi="宋体" w:eastAsia="宋体" w:cs="宋体"/>
          <w:sz w:val="24"/>
          <w:szCs w:val="20"/>
          <w:highlight w:val="none"/>
        </w:rPr>
        <w:t>本次招标公告同时在湖南省招标投标监管网</w:t>
      </w:r>
      <w:r>
        <w:rPr>
          <w:rStyle w:val="18"/>
          <w:rFonts w:hint="eastAsia" w:ascii="宋体" w:hAnsi="宋体" w:eastAsia="宋体" w:cs="宋体"/>
          <w:sz w:val="24"/>
          <w:szCs w:val="20"/>
          <w:highlight w:val="none"/>
          <w:lang w:eastAsia="zh-CN"/>
        </w:rPr>
        <w:t>（</w:t>
      </w:r>
      <w:r>
        <w:rPr>
          <w:rStyle w:val="18"/>
          <w:rFonts w:hint="eastAsia" w:ascii="宋体" w:hAnsi="宋体" w:eastAsia="宋体" w:cs="宋体"/>
          <w:sz w:val="24"/>
          <w:szCs w:val="20"/>
          <w:highlight w:val="none"/>
        </w:rPr>
        <w:t>http://bidding.fgw.hunan.gov.cn/</w:t>
      </w:r>
      <w:r>
        <w:rPr>
          <w:rStyle w:val="18"/>
          <w:rFonts w:hint="eastAsia" w:ascii="宋体" w:hAnsi="宋体" w:eastAsia="宋体" w:cs="宋体"/>
          <w:sz w:val="24"/>
          <w:szCs w:val="20"/>
          <w:highlight w:val="none"/>
          <w:lang w:eastAsia="zh-CN"/>
        </w:rPr>
        <w:t>）</w:t>
      </w:r>
      <w:r>
        <w:rPr>
          <w:rStyle w:val="18"/>
          <w:rFonts w:hint="eastAsia" w:ascii="宋体" w:hAnsi="宋体" w:eastAsia="宋体" w:cs="宋体"/>
          <w:sz w:val="24"/>
          <w:szCs w:val="20"/>
          <w:highlight w:val="none"/>
        </w:rPr>
        <w:t>、湖南省交通运输厅</w:t>
      </w:r>
      <w:r>
        <w:rPr>
          <w:rStyle w:val="18"/>
          <w:rFonts w:hint="eastAsia" w:ascii="宋体" w:hAnsi="宋体" w:eastAsia="宋体" w:cs="宋体"/>
          <w:sz w:val="24"/>
          <w:szCs w:val="20"/>
          <w:highlight w:val="none"/>
          <w:lang w:val="en-US" w:eastAsia="zh-CN"/>
        </w:rPr>
        <w:t>网</w:t>
      </w:r>
      <w:r>
        <w:rPr>
          <w:rStyle w:val="18"/>
          <w:rFonts w:hint="eastAsia" w:ascii="宋体" w:hAnsi="宋体" w:eastAsia="宋体" w:cs="宋体"/>
          <w:sz w:val="24"/>
          <w:szCs w:val="20"/>
          <w:highlight w:val="none"/>
        </w:rPr>
        <w:t>（http://jtt.hunan.gov.cn/）上发</w:t>
      </w:r>
      <w:r>
        <w:rPr>
          <w:rStyle w:val="18"/>
          <w:rFonts w:hint="eastAsia" w:ascii="宋体" w:hAnsi="宋体" w:eastAsia="宋体" w:cs="宋体"/>
          <w:color w:val="000000"/>
          <w:kern w:val="0"/>
          <w:sz w:val="24"/>
          <w:szCs w:val="24"/>
          <w:highlight w:val="none"/>
          <w:lang w:bidi="ar"/>
        </w:rPr>
        <w:t xml:space="preserve">布。 </w:t>
      </w:r>
    </w:p>
    <w:p>
      <w:pPr>
        <w:pStyle w:val="22"/>
        <w:rPr>
          <w:rStyle w:val="18"/>
          <w:rFonts w:ascii="Times New Roman" w:hAnsi="Times New Roman" w:cs="Times New Roman"/>
        </w:rPr>
      </w:pPr>
    </w:p>
    <w:p>
      <w:pPr>
        <w:pStyle w:val="22"/>
        <w:rPr>
          <w:rStyle w:val="18"/>
          <w:rFonts w:ascii="Times New Roman" w:hAnsi="Times New Roman" w:cs="Times New Roman"/>
        </w:rPr>
      </w:pPr>
      <w:r>
        <w:rPr>
          <w:rStyle w:val="18"/>
          <w:rFonts w:hint="eastAsia" w:ascii="Times New Roman" w:hAnsi="Times New Roman" w:cs="Times New Roman"/>
          <w:lang w:val="en-US" w:eastAsia="zh-CN"/>
        </w:rPr>
        <w:t>8</w:t>
      </w:r>
      <w:r>
        <w:rPr>
          <w:rStyle w:val="18"/>
          <w:rFonts w:ascii="Times New Roman" w:hAnsi="Times New Roman" w:cs="Times New Roman"/>
        </w:rPr>
        <w:t xml:space="preserve">. </w:t>
      </w:r>
      <w:r>
        <w:rPr>
          <w:rStyle w:val="18"/>
          <w:rFonts w:hint="eastAsia" w:ascii="Times New Roman" w:hAnsi="Times New Roman" w:cs="Times New Roman"/>
        </w:rPr>
        <w:t>附件</w:t>
      </w:r>
    </w:p>
    <w:p>
      <w:pPr>
        <w:pStyle w:val="36"/>
        <w:topLinePunct/>
        <w:spacing w:line="400" w:lineRule="atLeast"/>
        <w:ind w:firstLine="480" w:firstLineChars="200"/>
        <w:rPr>
          <w:rStyle w:val="18"/>
          <w:rFonts w:ascii="Times New Roman" w:hAnsi="Times New Roman" w:eastAsia="黑体" w:cs="Times New Roman"/>
          <w:szCs w:val="24"/>
        </w:rPr>
      </w:pPr>
      <w:r>
        <w:rPr>
          <w:rStyle w:val="18"/>
          <w:rFonts w:hint="eastAsia" w:ascii="Times New Roman" w:hAnsi="Times New Roman" w:eastAsia="黑体" w:cs="Times New Roman"/>
          <w:szCs w:val="24"/>
        </w:rPr>
        <w:t>附件1：资格审查条件要求（附 投标人须知之附录）</w:t>
      </w:r>
    </w:p>
    <w:p>
      <w:pPr>
        <w:pStyle w:val="36"/>
        <w:topLinePunct/>
        <w:spacing w:line="400" w:lineRule="atLeast"/>
        <w:ind w:firstLine="480" w:firstLineChars="200"/>
        <w:rPr>
          <w:rStyle w:val="18"/>
          <w:rFonts w:ascii="Times New Roman" w:hAnsi="Times New Roman" w:eastAsia="黑体" w:cs="Times New Roman"/>
          <w:szCs w:val="24"/>
        </w:rPr>
      </w:pPr>
      <w:r>
        <w:rPr>
          <w:rStyle w:val="18"/>
          <w:rFonts w:hint="eastAsia" w:ascii="Times New Roman" w:hAnsi="Times New Roman" w:eastAsia="黑体" w:cs="Times New Roman"/>
          <w:szCs w:val="24"/>
        </w:rPr>
        <w:t>附件2：评标办法：(附 第三章</w:t>
      </w:r>
      <w:r>
        <w:rPr>
          <w:rStyle w:val="18"/>
          <w:rFonts w:ascii="Times New Roman" w:hAnsi="Times New Roman" w:eastAsia="黑体" w:cs="Times New Roman"/>
          <w:szCs w:val="24"/>
        </w:rPr>
        <w:t xml:space="preserve"> </w:t>
      </w:r>
      <w:r>
        <w:rPr>
          <w:rStyle w:val="18"/>
          <w:rFonts w:hint="eastAsia" w:ascii="Times New Roman" w:hAnsi="Times New Roman" w:eastAsia="黑体" w:cs="Times New Roman"/>
          <w:szCs w:val="24"/>
        </w:rPr>
        <w:t>评标办法全文)</w:t>
      </w:r>
    </w:p>
    <w:p>
      <w:pPr>
        <w:pStyle w:val="22"/>
        <w:rPr>
          <w:rStyle w:val="18"/>
          <w:rFonts w:ascii="Times New Roman" w:hAnsi="Times New Roman" w:cs="Times New Roman"/>
        </w:rPr>
      </w:pPr>
    </w:p>
    <w:p>
      <w:pPr>
        <w:pStyle w:val="22"/>
        <w:rPr>
          <w:rStyle w:val="18"/>
          <w:rFonts w:ascii="Times New Roman" w:hAnsi="Times New Roman" w:cs="Times New Roman"/>
        </w:rPr>
      </w:pPr>
      <w:r>
        <w:rPr>
          <w:rStyle w:val="18"/>
          <w:rFonts w:hint="eastAsia" w:ascii="Times New Roman" w:hAnsi="Times New Roman" w:cs="Times New Roman"/>
          <w:lang w:val="en-US" w:eastAsia="zh-CN"/>
        </w:rPr>
        <w:t>9</w:t>
      </w:r>
      <w:r>
        <w:rPr>
          <w:rStyle w:val="18"/>
          <w:rFonts w:ascii="Times New Roman" w:hAnsi="Times New Roman" w:cs="Times New Roman"/>
        </w:rPr>
        <w:t xml:space="preserve">. </w:t>
      </w:r>
      <w:r>
        <w:rPr>
          <w:rStyle w:val="18"/>
          <w:rFonts w:hint="eastAsia" w:ascii="Times New Roman" w:hAnsi="Times New Roman" w:cs="Times New Roman"/>
        </w:rPr>
        <w:t>联系方式</w:t>
      </w:r>
    </w:p>
    <w:p>
      <w:pPr>
        <w:pStyle w:val="37"/>
        <w:autoSpaceDE w:val="0"/>
        <w:autoSpaceDN w:val="0"/>
        <w:adjustRightInd w:val="0"/>
        <w:spacing w:line="400" w:lineRule="exact"/>
        <w:ind w:firstLine="480"/>
        <w:rPr>
          <w:rStyle w:val="18"/>
          <w:rFonts w:hint="eastAsia" w:ascii="宋体" w:hAnsi="宋体" w:eastAsia="宋体" w:cs="宋体"/>
          <w:sz w:val="24"/>
          <w:szCs w:val="20"/>
        </w:rPr>
      </w:pPr>
      <w:r>
        <w:rPr>
          <w:rStyle w:val="18"/>
          <w:rFonts w:hint="eastAsia" w:ascii="宋体" w:hAnsi="宋体" w:eastAsia="宋体" w:cs="宋体"/>
          <w:sz w:val="24"/>
          <w:szCs w:val="20"/>
        </w:rPr>
        <w:t>招 标 人：湖南高速广通实业发展有限公司</w:t>
      </w:r>
    </w:p>
    <w:p>
      <w:pPr>
        <w:pStyle w:val="37"/>
        <w:autoSpaceDE w:val="0"/>
        <w:autoSpaceDN w:val="0"/>
        <w:adjustRightInd w:val="0"/>
        <w:spacing w:line="400" w:lineRule="exact"/>
        <w:ind w:firstLine="480"/>
        <w:rPr>
          <w:rStyle w:val="18"/>
          <w:rFonts w:hint="eastAsia" w:ascii="宋体" w:hAnsi="宋体" w:eastAsia="宋体" w:cs="宋体"/>
          <w:sz w:val="24"/>
          <w:szCs w:val="20"/>
        </w:rPr>
      </w:pPr>
      <w:r>
        <w:rPr>
          <w:rStyle w:val="18"/>
          <w:rFonts w:hint="eastAsia" w:ascii="宋体" w:hAnsi="宋体" w:eastAsia="宋体" w:cs="宋体"/>
          <w:sz w:val="24"/>
          <w:szCs w:val="20"/>
        </w:rPr>
        <w:t>地 址：长沙市长沙县星沙经济开发区 107 国道 180 号</w:t>
      </w:r>
    </w:p>
    <w:p>
      <w:pPr>
        <w:pStyle w:val="37"/>
        <w:autoSpaceDE w:val="0"/>
        <w:autoSpaceDN w:val="0"/>
        <w:adjustRightInd w:val="0"/>
        <w:spacing w:line="400" w:lineRule="exact"/>
        <w:ind w:firstLine="480"/>
        <w:rPr>
          <w:rStyle w:val="18"/>
          <w:rFonts w:hint="eastAsia" w:ascii="宋体" w:hAnsi="宋体" w:eastAsia="宋体" w:cs="宋体"/>
          <w:sz w:val="24"/>
          <w:szCs w:val="20"/>
        </w:rPr>
      </w:pPr>
      <w:r>
        <w:rPr>
          <w:rStyle w:val="18"/>
          <w:rFonts w:hint="eastAsia" w:ascii="宋体" w:hAnsi="宋体" w:eastAsia="宋体" w:cs="宋体"/>
          <w:sz w:val="24"/>
          <w:szCs w:val="20"/>
        </w:rPr>
        <w:t>邮政编码：410003</w:t>
      </w:r>
    </w:p>
    <w:p>
      <w:pPr>
        <w:pStyle w:val="37"/>
        <w:autoSpaceDE w:val="0"/>
        <w:autoSpaceDN w:val="0"/>
        <w:adjustRightInd w:val="0"/>
        <w:spacing w:line="400" w:lineRule="exact"/>
        <w:ind w:firstLine="480"/>
        <w:rPr>
          <w:rStyle w:val="18"/>
          <w:rFonts w:hint="default" w:ascii="宋体" w:hAnsi="宋体" w:eastAsia="宋体" w:cs="宋体"/>
          <w:sz w:val="24"/>
          <w:szCs w:val="20"/>
          <w:highlight w:val="none"/>
          <w:lang w:val="en-US" w:eastAsia="zh-CN"/>
        </w:rPr>
      </w:pPr>
      <w:r>
        <w:rPr>
          <w:rStyle w:val="18"/>
          <w:rFonts w:hint="eastAsia" w:ascii="宋体" w:hAnsi="宋体" w:eastAsia="宋体" w:cs="宋体"/>
          <w:sz w:val="24"/>
          <w:szCs w:val="20"/>
          <w:highlight w:val="none"/>
        </w:rPr>
        <w:t>联 系 人：</w:t>
      </w:r>
      <w:r>
        <w:rPr>
          <w:rStyle w:val="18"/>
          <w:rFonts w:hint="eastAsia" w:ascii="宋体" w:hAnsi="宋体" w:cs="宋体"/>
          <w:sz w:val="24"/>
          <w:szCs w:val="20"/>
          <w:highlight w:val="none"/>
          <w:lang w:val="en-US" w:eastAsia="zh-CN"/>
        </w:rPr>
        <w:t>孙先生</w:t>
      </w:r>
    </w:p>
    <w:p>
      <w:pPr>
        <w:pStyle w:val="37"/>
        <w:autoSpaceDE w:val="0"/>
        <w:autoSpaceDN w:val="0"/>
        <w:adjustRightInd w:val="0"/>
        <w:spacing w:line="400" w:lineRule="exact"/>
        <w:ind w:firstLine="480"/>
        <w:rPr>
          <w:rStyle w:val="18"/>
          <w:rFonts w:hint="default" w:ascii="宋体" w:hAnsi="宋体" w:eastAsia="宋体" w:cs="宋体"/>
          <w:sz w:val="24"/>
          <w:szCs w:val="20"/>
          <w:highlight w:val="none"/>
          <w:lang w:val="en-US" w:eastAsia="zh-CN"/>
        </w:rPr>
      </w:pPr>
      <w:r>
        <w:rPr>
          <w:rStyle w:val="18"/>
          <w:rFonts w:hint="eastAsia" w:ascii="宋体" w:hAnsi="宋体" w:eastAsia="宋体" w:cs="宋体"/>
          <w:sz w:val="24"/>
          <w:szCs w:val="20"/>
          <w:highlight w:val="none"/>
        </w:rPr>
        <w:t>电 话：</w:t>
      </w:r>
      <w:r>
        <w:rPr>
          <w:rStyle w:val="18"/>
          <w:rFonts w:hint="eastAsia" w:ascii="宋体" w:hAnsi="宋体" w:cs="宋体"/>
          <w:sz w:val="24"/>
          <w:szCs w:val="20"/>
          <w:highlight w:val="none"/>
          <w:lang w:val="en-US" w:eastAsia="zh-CN"/>
        </w:rPr>
        <w:t>15367170051</w:t>
      </w:r>
    </w:p>
    <w:p>
      <w:pPr>
        <w:pStyle w:val="37"/>
        <w:autoSpaceDE w:val="0"/>
        <w:autoSpaceDN w:val="0"/>
        <w:adjustRightInd w:val="0"/>
        <w:spacing w:line="400" w:lineRule="exact"/>
        <w:ind w:firstLine="480"/>
        <w:rPr>
          <w:rStyle w:val="18"/>
          <w:rFonts w:hint="eastAsia" w:ascii="宋体" w:hAnsi="宋体" w:eastAsia="宋体" w:cs="宋体"/>
          <w:sz w:val="24"/>
          <w:szCs w:val="20"/>
        </w:rPr>
      </w:pPr>
    </w:p>
    <w:p>
      <w:pPr>
        <w:pStyle w:val="37"/>
        <w:autoSpaceDE w:val="0"/>
        <w:autoSpaceDN w:val="0"/>
        <w:adjustRightInd w:val="0"/>
        <w:spacing w:line="400" w:lineRule="exact"/>
        <w:ind w:firstLine="480"/>
        <w:rPr>
          <w:rStyle w:val="18"/>
          <w:rFonts w:hint="eastAsia" w:ascii="宋体" w:hAnsi="宋体" w:eastAsia="宋体" w:cs="宋体"/>
          <w:sz w:val="24"/>
          <w:szCs w:val="20"/>
        </w:rPr>
      </w:pPr>
      <w:r>
        <w:rPr>
          <w:rStyle w:val="18"/>
          <w:rFonts w:hint="eastAsia" w:ascii="宋体" w:hAnsi="宋体" w:eastAsia="宋体" w:cs="宋体"/>
          <w:sz w:val="24"/>
          <w:szCs w:val="20"/>
        </w:rPr>
        <w:t>招标代理机构：湖南高速工程咨询有限公司</w:t>
      </w:r>
    </w:p>
    <w:p>
      <w:pPr>
        <w:pStyle w:val="37"/>
        <w:autoSpaceDE w:val="0"/>
        <w:autoSpaceDN w:val="0"/>
        <w:adjustRightInd w:val="0"/>
        <w:spacing w:line="400" w:lineRule="exact"/>
        <w:ind w:firstLine="480"/>
        <w:rPr>
          <w:rStyle w:val="18"/>
          <w:rFonts w:hint="eastAsia" w:ascii="宋体" w:hAnsi="宋体" w:eastAsia="宋体" w:cs="宋体"/>
          <w:sz w:val="24"/>
          <w:szCs w:val="20"/>
        </w:rPr>
      </w:pPr>
      <w:r>
        <w:rPr>
          <w:rStyle w:val="18"/>
          <w:rFonts w:hint="eastAsia" w:ascii="宋体" w:hAnsi="宋体" w:eastAsia="宋体" w:cs="宋体"/>
          <w:sz w:val="24"/>
          <w:szCs w:val="20"/>
        </w:rPr>
        <w:t>地 址：长沙市开福区三一大道500号马兰山公寓综合楼</w:t>
      </w:r>
    </w:p>
    <w:p>
      <w:pPr>
        <w:pStyle w:val="38"/>
        <w:topLinePunct/>
        <w:spacing w:line="400" w:lineRule="atLeast"/>
        <w:ind w:firstLine="480" w:firstLineChars="200"/>
        <w:rPr>
          <w:rStyle w:val="18"/>
          <w:rFonts w:hint="eastAsia" w:ascii="宋体" w:hAnsi="宋体" w:eastAsia="宋体" w:cs="宋体"/>
          <w:color w:val="auto"/>
          <w:sz w:val="24"/>
          <w:szCs w:val="24"/>
          <w:highlight w:val="none"/>
          <w:u w:val="none"/>
          <w:lang w:eastAsia="zh-CN"/>
        </w:rPr>
      </w:pPr>
      <w:r>
        <w:rPr>
          <w:rStyle w:val="18"/>
          <w:rFonts w:hint="eastAsia" w:ascii="宋体" w:hAnsi="宋体" w:eastAsia="宋体" w:cs="宋体"/>
          <w:color w:val="auto"/>
          <w:sz w:val="24"/>
          <w:szCs w:val="24"/>
          <w:highlight w:val="none"/>
          <w:u w:val="none"/>
        </w:rPr>
        <w:t>项目负责人：</w:t>
      </w:r>
      <w:r>
        <w:rPr>
          <w:rStyle w:val="18"/>
          <w:rFonts w:hint="eastAsia" w:ascii="宋体" w:hAnsi="宋体" w:cs="宋体"/>
          <w:color w:val="auto"/>
          <w:sz w:val="24"/>
          <w:szCs w:val="24"/>
          <w:highlight w:val="none"/>
          <w:u w:val="none"/>
          <w:lang w:val="en-US" w:eastAsia="zh-CN"/>
        </w:rPr>
        <w:t>郭聪</w:t>
      </w:r>
    </w:p>
    <w:p>
      <w:pPr>
        <w:pStyle w:val="37"/>
        <w:autoSpaceDE w:val="0"/>
        <w:autoSpaceDN w:val="0"/>
        <w:adjustRightInd w:val="0"/>
        <w:spacing w:line="400" w:lineRule="exact"/>
        <w:ind w:firstLine="480"/>
        <w:rPr>
          <w:rStyle w:val="18"/>
          <w:rFonts w:hint="default" w:ascii="宋体" w:hAnsi="宋体" w:eastAsia="宋体" w:cs="宋体"/>
          <w:sz w:val="24"/>
          <w:szCs w:val="20"/>
          <w:lang w:val="en-US" w:eastAsia="zh-CN"/>
        </w:rPr>
      </w:pPr>
      <w:r>
        <w:rPr>
          <w:rStyle w:val="18"/>
          <w:rFonts w:hint="eastAsia" w:ascii="宋体" w:hAnsi="宋体" w:eastAsia="宋体" w:cs="宋体"/>
          <w:sz w:val="24"/>
          <w:szCs w:val="20"/>
        </w:rPr>
        <w:t>联 系 人：</w:t>
      </w:r>
      <w:r>
        <w:rPr>
          <w:rStyle w:val="18"/>
          <w:rFonts w:hint="eastAsia" w:ascii="宋体" w:hAnsi="宋体" w:eastAsia="宋体" w:cs="宋体"/>
          <w:sz w:val="24"/>
          <w:szCs w:val="20"/>
          <w:lang w:val="en-US" w:eastAsia="zh-CN"/>
        </w:rPr>
        <w:t>郭先生</w:t>
      </w:r>
      <w:r>
        <w:rPr>
          <w:rStyle w:val="18"/>
          <w:rFonts w:hint="eastAsia" w:ascii="宋体" w:hAnsi="宋体" w:cs="宋体"/>
          <w:sz w:val="24"/>
          <w:szCs w:val="20"/>
          <w:lang w:eastAsia="zh-CN"/>
        </w:rPr>
        <w:t>、</w:t>
      </w:r>
      <w:r>
        <w:rPr>
          <w:rStyle w:val="18"/>
          <w:rFonts w:hint="eastAsia" w:ascii="宋体" w:hAnsi="宋体" w:cs="宋体"/>
          <w:sz w:val="24"/>
          <w:szCs w:val="20"/>
          <w:lang w:val="en-US" w:eastAsia="zh-CN"/>
        </w:rPr>
        <w:t>吴先生</w:t>
      </w:r>
    </w:p>
    <w:p>
      <w:pPr>
        <w:pStyle w:val="37"/>
        <w:autoSpaceDE w:val="0"/>
        <w:autoSpaceDN w:val="0"/>
        <w:adjustRightInd w:val="0"/>
        <w:spacing w:line="400" w:lineRule="exact"/>
        <w:ind w:firstLine="480"/>
        <w:rPr>
          <w:rStyle w:val="18"/>
          <w:rFonts w:hint="eastAsia" w:ascii="宋体" w:hAnsi="宋体" w:eastAsia="宋体" w:cs="宋体"/>
          <w:sz w:val="24"/>
          <w:szCs w:val="20"/>
          <w:lang w:val="en-US" w:eastAsia="zh-CN"/>
        </w:rPr>
      </w:pPr>
      <w:r>
        <w:rPr>
          <w:rStyle w:val="18"/>
          <w:rFonts w:hint="eastAsia" w:ascii="宋体" w:hAnsi="宋体" w:eastAsia="宋体" w:cs="宋体"/>
          <w:sz w:val="24"/>
          <w:szCs w:val="20"/>
        </w:rPr>
        <w:t>电 话：0731-</w:t>
      </w:r>
      <w:r>
        <w:rPr>
          <w:rStyle w:val="18"/>
          <w:rFonts w:hint="eastAsia" w:ascii="宋体" w:hAnsi="宋体" w:cs="宋体"/>
          <w:sz w:val="24"/>
          <w:szCs w:val="20"/>
          <w:lang w:val="en-US" w:eastAsia="zh-CN"/>
        </w:rPr>
        <w:t>83285781/</w:t>
      </w:r>
      <w:r>
        <w:rPr>
          <w:rStyle w:val="18"/>
          <w:rFonts w:hint="eastAsia" w:ascii="宋体" w:hAnsi="宋体" w:eastAsia="宋体" w:cs="宋体"/>
          <w:sz w:val="24"/>
          <w:szCs w:val="20"/>
        </w:rPr>
        <w:t>85222202</w:t>
      </w:r>
    </w:p>
    <w:p>
      <w:pPr>
        <w:pStyle w:val="37"/>
        <w:autoSpaceDE w:val="0"/>
        <w:autoSpaceDN w:val="0"/>
        <w:adjustRightInd w:val="0"/>
        <w:spacing w:line="400" w:lineRule="exact"/>
        <w:ind w:firstLine="480"/>
        <w:rPr>
          <w:rStyle w:val="18"/>
          <w:rFonts w:hint="eastAsia" w:ascii="宋体" w:hAnsi="宋体" w:eastAsia="宋体" w:cs="宋体"/>
          <w:sz w:val="24"/>
          <w:szCs w:val="20"/>
        </w:rPr>
      </w:pPr>
    </w:p>
    <w:p>
      <w:pPr>
        <w:pStyle w:val="37"/>
        <w:autoSpaceDE w:val="0"/>
        <w:autoSpaceDN w:val="0"/>
        <w:adjustRightInd w:val="0"/>
        <w:spacing w:line="400" w:lineRule="exact"/>
        <w:ind w:firstLine="480"/>
        <w:rPr>
          <w:rStyle w:val="18"/>
          <w:rFonts w:hint="eastAsia" w:ascii="宋体" w:hAnsi="宋体" w:eastAsia="宋体" w:cs="宋体"/>
          <w:sz w:val="24"/>
          <w:szCs w:val="20"/>
        </w:rPr>
      </w:pPr>
      <w:r>
        <w:rPr>
          <w:rStyle w:val="18"/>
          <w:rFonts w:hint="eastAsia" w:ascii="宋体" w:hAnsi="宋体" w:eastAsia="宋体" w:cs="宋体"/>
          <w:sz w:val="24"/>
          <w:szCs w:val="20"/>
        </w:rPr>
        <w:t>监督部门：湖南省交通运输厅</w:t>
      </w:r>
    </w:p>
    <w:p>
      <w:pPr>
        <w:pStyle w:val="37"/>
        <w:autoSpaceDE w:val="0"/>
        <w:autoSpaceDN w:val="0"/>
        <w:adjustRightInd w:val="0"/>
        <w:spacing w:line="400" w:lineRule="exact"/>
        <w:ind w:firstLine="480"/>
        <w:rPr>
          <w:rStyle w:val="18"/>
          <w:rFonts w:hint="eastAsia" w:ascii="宋体" w:hAnsi="宋体" w:eastAsia="宋体" w:cs="宋体"/>
          <w:sz w:val="24"/>
          <w:szCs w:val="20"/>
        </w:rPr>
      </w:pPr>
      <w:r>
        <w:rPr>
          <w:rStyle w:val="18"/>
          <w:rFonts w:hint="eastAsia" w:ascii="宋体" w:hAnsi="宋体" w:eastAsia="宋体" w:cs="宋体"/>
          <w:sz w:val="24"/>
          <w:szCs w:val="20"/>
        </w:rPr>
        <w:t>地 址：长沙市湘府西路199号</w:t>
      </w:r>
    </w:p>
    <w:p>
      <w:pPr>
        <w:pStyle w:val="37"/>
        <w:autoSpaceDE w:val="0"/>
        <w:autoSpaceDN w:val="0"/>
        <w:adjustRightInd w:val="0"/>
        <w:spacing w:line="400" w:lineRule="exact"/>
        <w:ind w:firstLine="480"/>
        <w:rPr>
          <w:rStyle w:val="18"/>
          <w:rFonts w:hint="eastAsia" w:ascii="宋体" w:hAnsi="宋体" w:eastAsia="宋体" w:cs="宋体"/>
          <w:sz w:val="24"/>
          <w:szCs w:val="20"/>
        </w:rPr>
      </w:pPr>
      <w:r>
        <w:rPr>
          <w:rStyle w:val="18"/>
          <w:rFonts w:hint="eastAsia" w:ascii="宋体" w:hAnsi="宋体" w:eastAsia="宋体" w:cs="宋体"/>
          <w:sz w:val="24"/>
          <w:szCs w:val="20"/>
        </w:rPr>
        <w:t>电 话：0731-88770095</w:t>
      </w:r>
    </w:p>
    <w:p>
      <w:pPr>
        <w:pStyle w:val="37"/>
        <w:autoSpaceDE w:val="0"/>
        <w:autoSpaceDN w:val="0"/>
        <w:adjustRightInd w:val="0"/>
        <w:spacing w:line="400" w:lineRule="exact"/>
        <w:ind w:firstLine="480"/>
        <w:rPr>
          <w:rStyle w:val="18"/>
          <w:rFonts w:hint="eastAsia" w:ascii="宋体" w:hAnsi="宋体" w:eastAsia="宋体" w:cs="宋体"/>
          <w:sz w:val="24"/>
          <w:szCs w:val="20"/>
        </w:rPr>
      </w:pPr>
      <w:r>
        <w:rPr>
          <w:rStyle w:val="18"/>
          <w:rFonts w:hint="eastAsia" w:ascii="宋体" w:hAnsi="宋体" w:eastAsia="宋体" w:cs="宋体"/>
          <w:sz w:val="24"/>
          <w:szCs w:val="20"/>
        </w:rPr>
        <w:t>邮政编码：410004</w:t>
      </w:r>
    </w:p>
    <w:p>
      <w:pPr>
        <w:rPr>
          <w:rStyle w:val="18"/>
          <w:rFonts w:hint="eastAsia" w:ascii="宋体" w:hAnsi="宋体" w:eastAsia="宋体" w:cs="宋体"/>
          <w:sz w:val="24"/>
          <w:szCs w:val="20"/>
        </w:rPr>
      </w:pPr>
      <w:r>
        <w:rPr>
          <w:rStyle w:val="18"/>
          <w:rFonts w:hint="eastAsia" w:ascii="宋体" w:hAnsi="宋体" w:eastAsia="宋体" w:cs="宋体"/>
          <w:sz w:val="24"/>
          <w:szCs w:val="20"/>
        </w:rPr>
        <w:br w:type="page"/>
      </w:r>
    </w:p>
    <w:p>
      <w:pPr>
        <w:rPr>
          <w:rStyle w:val="18"/>
          <w:rFonts w:hint="eastAsia" w:ascii="Times New Roman" w:hAnsi="Times New Roman" w:eastAsia="黑体" w:cs="Times New Roman"/>
          <w:szCs w:val="24"/>
        </w:rPr>
      </w:pPr>
      <w:r>
        <w:rPr>
          <w:rStyle w:val="18"/>
          <w:rFonts w:hint="eastAsia" w:ascii="Times New Roman" w:hAnsi="Times New Roman" w:eastAsia="黑体" w:cs="Times New Roman"/>
          <w:szCs w:val="24"/>
        </w:rPr>
        <w:t>附件1：资格审查条件要求</w:t>
      </w:r>
    </w:p>
    <w:p>
      <w:pPr>
        <w:pStyle w:val="5"/>
      </w:pPr>
      <w:r>
        <w:rPr>
          <w:rFonts w:hint="eastAsia"/>
          <w:highlight w:val="white"/>
        </w:rPr>
        <w:t>附录1</w:t>
      </w:r>
      <w:r>
        <w:rPr>
          <w:highlight w:val="white"/>
        </w:rPr>
        <w:t xml:space="preserve">  </w:t>
      </w:r>
      <w:r>
        <w:rPr>
          <w:rFonts w:hint="eastAsia"/>
          <w:highlight w:val="white"/>
        </w:rPr>
        <w:t>资格审查条件（资质最低要求）</w:t>
      </w:r>
      <w:r>
        <w:rPr>
          <w:rStyle w:val="19"/>
          <w:szCs w:val="28"/>
        </w:rPr>
        <w:footnoteReference w:id="7"/>
      </w:r>
    </w:p>
    <w:tbl>
      <w:tblPr>
        <w:tblStyle w:val="17"/>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8819" w:type="dxa"/>
            <w:noWrap w:val="0"/>
            <w:vAlign w:val="center"/>
          </w:tcPr>
          <w:p>
            <w:pPr>
              <w:widowControl w:val="0"/>
              <w:adjustRightInd w:val="0"/>
              <w:snapToGrid w:val="0"/>
              <w:spacing w:line="400" w:lineRule="atLeast"/>
              <w:jc w:val="center"/>
              <w:rPr>
                <w:rFonts w:ascii="Calibri" w:hAnsi="Calibri"/>
                <w:kern w:val="2"/>
                <w:sz w:val="21"/>
                <w:szCs w:val="21"/>
                <w:lang w:val="en-US" w:eastAsia="zh-CN" w:bidi="ar-SA"/>
              </w:rPr>
            </w:pPr>
            <w:r>
              <w:rPr>
                <w:rFonts w:hint="eastAsia" w:ascii="Calibri" w:hAnsi="Calibri"/>
                <w:kern w:val="2"/>
                <w:sz w:val="21"/>
                <w:szCs w:val="21"/>
                <w:highlight w:val="white"/>
                <w:lang w:val="en-US" w:eastAsia="zh-CN" w:bidi="ar-SA"/>
              </w:rPr>
              <w:t>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3" w:hRule="atLeast"/>
          <w:jc w:val="center"/>
        </w:trPr>
        <w:tc>
          <w:tcPr>
            <w:tcW w:w="8819" w:type="dxa"/>
            <w:noWrap w:val="0"/>
            <w:vAlign w:val="center"/>
          </w:tcPr>
          <w:p>
            <w:pPr>
              <w:widowControl w:val="0"/>
              <w:adjustRightInd w:val="0"/>
              <w:snapToGrid w:val="0"/>
              <w:spacing w:line="400" w:lineRule="atLeast"/>
              <w:jc w:val="both"/>
              <w:rPr>
                <w:rFonts w:ascii="Calibri" w:hAnsi="Calibri"/>
                <w:kern w:val="2"/>
                <w:sz w:val="21"/>
                <w:szCs w:val="21"/>
                <w:highlight w:val="green"/>
                <w:lang w:val="en-US" w:eastAsia="zh-CN" w:bidi="ar-SA"/>
              </w:rPr>
            </w:pPr>
            <w:bookmarkStart w:id="3" w:name="EBdeeb6511da1a4464be54261ef23475f4"/>
            <w:r>
              <w:rPr>
                <w:rFonts w:hint="eastAsia" w:ascii="Calibri" w:hAnsi="Calibri"/>
                <w:color w:val="0000FF"/>
                <w:kern w:val="2"/>
                <w:sz w:val="21"/>
                <w:szCs w:val="21"/>
                <w:highlight w:val="white"/>
                <w:lang w:val="en-US" w:eastAsia="zh-CN" w:bidi="ar-SA"/>
              </w:rPr>
              <w:t xml:space="preserve">1、具备独立法人资格，持有有效的营业执照；              </w:t>
            </w:r>
          </w:p>
          <w:p>
            <w:pPr>
              <w:widowControl w:val="0"/>
              <w:adjustRightInd w:val="0"/>
              <w:snapToGrid w:val="0"/>
              <w:spacing w:line="400" w:lineRule="atLeast"/>
              <w:jc w:val="both"/>
              <w:rPr>
                <w:rFonts w:hint="eastAsia" w:ascii="Calibri" w:hAnsi="Calibri"/>
                <w:color w:val="0000FF"/>
                <w:kern w:val="2"/>
                <w:sz w:val="21"/>
                <w:szCs w:val="21"/>
                <w:highlight w:val="white"/>
                <w:lang w:val="en-US" w:eastAsia="zh-CN" w:bidi="ar-SA"/>
              </w:rPr>
            </w:pPr>
            <w:r>
              <w:rPr>
                <w:rFonts w:hint="eastAsia" w:ascii="Calibri" w:hAnsi="Calibri"/>
                <w:color w:val="0000FF"/>
                <w:kern w:val="2"/>
                <w:sz w:val="21"/>
                <w:szCs w:val="21"/>
                <w:highlight w:val="white"/>
                <w:lang w:val="en-US" w:eastAsia="zh-CN" w:bidi="ar-SA"/>
              </w:rPr>
              <w:t xml:space="preserve"> 2、具有有效的安全生产许可证；                                                                                 3、具有住房和城乡建设部颁发的建筑工程施工总承包叁级及以上资质和建筑装修装饰工程专业承包贰级及以上资质，资质证书处于有效期。                                      </w:t>
            </w:r>
          </w:p>
          <w:p>
            <w:pPr>
              <w:widowControl w:val="0"/>
              <w:adjustRightInd w:val="0"/>
              <w:snapToGrid w:val="0"/>
              <w:spacing w:line="400" w:lineRule="atLeast"/>
              <w:jc w:val="both"/>
              <w:rPr>
                <w:rFonts w:hint="eastAsia" w:ascii="Calibri" w:hAnsi="Calibri"/>
                <w:color w:val="0000FF"/>
                <w:kern w:val="2"/>
                <w:sz w:val="21"/>
                <w:szCs w:val="21"/>
                <w:highlight w:val="white"/>
                <w:lang w:val="en-US" w:eastAsia="zh-CN" w:bidi="ar-SA"/>
              </w:rPr>
            </w:pPr>
            <w:r>
              <w:rPr>
                <w:rFonts w:hint="eastAsia" w:ascii="Calibri" w:hAnsi="Calibri"/>
                <w:color w:val="0000FF"/>
                <w:kern w:val="2"/>
                <w:sz w:val="21"/>
                <w:szCs w:val="21"/>
                <w:highlight w:val="white"/>
                <w:lang w:val="en-US" w:eastAsia="zh-CN" w:bidi="ar-SA"/>
              </w:rPr>
              <w:t>注： 投标人应根据招标文件第二章“投标人须知”第3.5.1项的要求在“投标人基本情况表”后附相关证明材料。</w:t>
            </w:r>
            <w:bookmarkEnd w:id="3"/>
          </w:p>
        </w:tc>
      </w:tr>
    </w:tbl>
    <w:p>
      <w:pPr>
        <w:rPr>
          <w:rFonts w:hint="eastAsia"/>
          <w:highlight w:val="cyan"/>
        </w:rPr>
      </w:pPr>
      <w:r>
        <w:rPr>
          <w:rFonts w:hint="eastAsia" w:ascii="宋体" w:hAnsi="宋体"/>
          <w:szCs w:val="18"/>
          <w:highlight w:val="white"/>
        </w:rPr>
        <w:t>①</w:t>
      </w:r>
      <w:r>
        <w:rPr>
          <w:rFonts w:hint="eastAsia"/>
          <w:szCs w:val="18"/>
          <w:highlight w:val="white"/>
        </w:rPr>
        <w:t>具体资质要求由招标人在满足国家相关法律法规前提下，根据招标项目具体特点和实际情况确定。</w:t>
      </w:r>
      <w:r>
        <w:rPr>
          <w:rFonts w:hint="eastAsia" w:ascii="黑体" w:hAnsi="黑体" w:eastAsia="黑体"/>
          <w:szCs w:val="18"/>
          <w:highlight w:val="white"/>
        </w:rPr>
        <w:t>具体资质要求应当与项目工程规模、性质、特点等相适应，并且资质规定的工程承接范围与招标项目一致。</w:t>
      </w:r>
    </w:p>
    <w:p>
      <w:pPr>
        <w:rPr>
          <w:rFonts w:hint="eastAsia"/>
          <w:highlight w:val="cyan"/>
        </w:rPr>
      </w:pPr>
      <w:bookmarkStart w:id="4" w:name="EB1b0db546b4a54557a578894410ea45a7"/>
      <w:r>
        <w:rPr>
          <w:rFonts w:hint="eastAsia"/>
          <w:color w:val="000080"/>
          <w:sz w:val="20"/>
          <w:highlight w:val="white"/>
        </w:rPr>
        <w:t xml:space="preserve"> </w:t>
      </w:r>
      <w:bookmarkEnd w:id="4"/>
    </w:p>
    <w:p>
      <w:pPr>
        <w:rPr>
          <w:rFonts w:hint="eastAsia"/>
          <w:highlight w:val="yellow"/>
        </w:rPr>
      </w:pPr>
      <w:bookmarkStart w:id="5" w:name="EB8a8c8ac86b3c4281ad443271a2264696"/>
      <w:r>
        <w:rPr>
          <w:rFonts w:hint="eastAsia"/>
          <w:color w:val="000080"/>
          <w:sz w:val="20"/>
          <w:highlight w:val="white"/>
        </w:rPr>
        <w:t xml:space="preserve"> </w:t>
      </w:r>
      <w:bookmarkEnd w:id="5"/>
      <w:bookmarkStart w:id="6" w:name="EB1fd7393ee90747c3bfd4a29db6bcfcbf"/>
      <w:r>
        <w:rPr>
          <w:rFonts w:hint="eastAsia"/>
          <w:color w:val="000080"/>
          <w:sz w:val="20"/>
          <w:highlight w:val="white"/>
        </w:rPr>
        <w:t xml:space="preserve"> </w:t>
      </w:r>
      <w:bookmarkEnd w:id="6"/>
    </w:p>
    <w:p>
      <w:pPr>
        <w:pStyle w:val="5"/>
        <w:pageBreakBefore/>
      </w:pPr>
      <w:r>
        <w:rPr>
          <w:rFonts w:hint="eastAsia"/>
          <w:highlight w:val="white"/>
        </w:rPr>
        <w:t>附录2</w:t>
      </w:r>
      <w:r>
        <w:rPr>
          <w:highlight w:val="white"/>
        </w:rPr>
        <w:t xml:space="preserve">  </w:t>
      </w:r>
      <w:r>
        <w:rPr>
          <w:rFonts w:hint="eastAsia"/>
          <w:highlight w:val="white"/>
        </w:rPr>
        <w:t>资格审查条件（财务最低要求）</w:t>
      </w:r>
      <w:r>
        <w:rPr>
          <w:rStyle w:val="19"/>
          <w:szCs w:val="28"/>
        </w:rPr>
        <w:footnoteReference w:id="8"/>
      </w:r>
    </w:p>
    <w:tbl>
      <w:tblPr>
        <w:tblStyle w:val="17"/>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8819" w:type="dxa"/>
            <w:noWrap w:val="0"/>
            <w:vAlign w:val="center"/>
          </w:tcPr>
          <w:p>
            <w:pPr>
              <w:widowControl w:val="0"/>
              <w:adjustRightInd w:val="0"/>
              <w:snapToGrid w:val="0"/>
              <w:spacing w:line="400" w:lineRule="atLeast"/>
              <w:jc w:val="center"/>
              <w:rPr>
                <w:rFonts w:ascii="Calibri" w:hAnsi="Calibri"/>
                <w:kern w:val="2"/>
                <w:sz w:val="21"/>
                <w:szCs w:val="21"/>
                <w:lang w:val="en-US" w:eastAsia="zh-CN" w:bidi="ar-SA"/>
              </w:rPr>
            </w:pPr>
            <w:r>
              <w:rPr>
                <w:rFonts w:hint="eastAsia" w:ascii="Calibri" w:hAnsi="Calibri"/>
                <w:kern w:val="2"/>
                <w:sz w:val="21"/>
                <w:szCs w:val="21"/>
                <w:highlight w:val="white"/>
                <w:lang w:val="en-US" w:eastAsia="zh-CN" w:bidi="ar-SA"/>
              </w:rPr>
              <w:t>财</w:t>
            </w:r>
            <w:r>
              <w:rPr>
                <w:rFonts w:ascii="Calibri" w:hAnsi="Calibri"/>
                <w:kern w:val="2"/>
                <w:sz w:val="21"/>
                <w:szCs w:val="21"/>
                <w:highlight w:val="white"/>
                <w:lang w:val="en-US" w:eastAsia="zh-CN" w:bidi="ar-SA"/>
              </w:rPr>
              <w:t xml:space="preserve"> </w:t>
            </w:r>
            <w:r>
              <w:rPr>
                <w:rFonts w:hint="eastAsia" w:ascii="Calibri" w:hAnsi="Calibri"/>
                <w:kern w:val="2"/>
                <w:sz w:val="21"/>
                <w:szCs w:val="21"/>
                <w:highlight w:val="white"/>
                <w:lang w:val="en-US" w:eastAsia="zh-CN" w:bidi="ar-SA"/>
              </w:rPr>
              <w:t>务</w:t>
            </w:r>
            <w:r>
              <w:rPr>
                <w:rFonts w:ascii="Calibri" w:hAnsi="Calibri"/>
                <w:kern w:val="2"/>
                <w:sz w:val="21"/>
                <w:szCs w:val="21"/>
                <w:highlight w:val="white"/>
                <w:lang w:val="en-US" w:eastAsia="zh-CN" w:bidi="ar-SA"/>
              </w:rPr>
              <w:t xml:space="preserve"> </w:t>
            </w:r>
            <w:r>
              <w:rPr>
                <w:rFonts w:hint="eastAsia" w:ascii="Calibri" w:hAnsi="Calibri"/>
                <w:kern w:val="2"/>
                <w:sz w:val="21"/>
                <w:szCs w:val="21"/>
                <w:highlight w:val="white"/>
                <w:lang w:val="en-US" w:eastAsia="zh-CN" w:bidi="ar-SA"/>
              </w:rPr>
              <w:t>要</w:t>
            </w:r>
            <w:r>
              <w:rPr>
                <w:rFonts w:ascii="Calibri" w:hAnsi="Calibri"/>
                <w:kern w:val="2"/>
                <w:sz w:val="21"/>
                <w:szCs w:val="21"/>
                <w:highlight w:val="white"/>
                <w:lang w:val="en-US" w:eastAsia="zh-CN" w:bidi="ar-SA"/>
              </w:rPr>
              <w:t xml:space="preserve"> </w:t>
            </w:r>
            <w:r>
              <w:rPr>
                <w:rFonts w:hint="eastAsia" w:ascii="Calibri" w:hAnsi="Calibri"/>
                <w:kern w:val="2"/>
                <w:sz w:val="21"/>
                <w:szCs w:val="21"/>
                <w:highlight w:val="white"/>
                <w:lang w:val="en-US" w:eastAsia="zh-CN" w:bidi="ar-SA"/>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3" w:hRule="atLeast"/>
          <w:jc w:val="center"/>
        </w:trPr>
        <w:tc>
          <w:tcPr>
            <w:tcW w:w="8819" w:type="dxa"/>
            <w:noWrap w:val="0"/>
            <w:vAlign w:val="center"/>
          </w:tcPr>
          <w:p>
            <w:pPr>
              <w:widowControl w:val="0"/>
              <w:adjustRightInd w:val="0"/>
              <w:snapToGrid w:val="0"/>
              <w:spacing w:line="400" w:lineRule="atLeast"/>
              <w:jc w:val="both"/>
              <w:rPr>
                <w:rFonts w:ascii="Calibri" w:hAnsi="Calibri"/>
                <w:kern w:val="2"/>
                <w:sz w:val="21"/>
                <w:szCs w:val="21"/>
                <w:highlight w:val="green"/>
                <w:lang w:val="en-US" w:eastAsia="zh-CN" w:bidi="ar-SA"/>
              </w:rPr>
            </w:pPr>
            <w:bookmarkStart w:id="7" w:name="EB1cfbc200fb124648b63bb7b744f9e4cf"/>
            <w:r>
              <w:rPr>
                <w:rFonts w:hint="eastAsia" w:ascii="Calibri" w:hAnsi="Calibri"/>
                <w:color w:val="0000FF"/>
                <w:kern w:val="2"/>
                <w:sz w:val="21"/>
                <w:szCs w:val="21"/>
                <w:highlight w:val="white"/>
                <w:lang w:val="en-US" w:eastAsia="zh-CN" w:bidi="ar-SA"/>
              </w:rPr>
              <w:t xml:space="preserve">1、2023年资产负债率不高于75%（若超过 75%的，需提供投标人开立基本账户的银行出具的针对本标段的不少于标的额10%的银行信贷证明，且时限应满足整个施工期需要）。                        </w:t>
            </w:r>
          </w:p>
          <w:p>
            <w:pPr>
              <w:widowControl w:val="0"/>
              <w:adjustRightInd w:val="0"/>
              <w:snapToGrid w:val="0"/>
              <w:spacing w:line="400" w:lineRule="atLeast"/>
              <w:jc w:val="both"/>
              <w:rPr>
                <w:rFonts w:hint="eastAsia" w:ascii="Calibri" w:hAnsi="Calibri"/>
                <w:color w:val="0000FF"/>
                <w:kern w:val="2"/>
                <w:sz w:val="21"/>
                <w:szCs w:val="21"/>
                <w:highlight w:val="white"/>
                <w:lang w:val="en-US" w:eastAsia="zh-CN" w:bidi="ar-SA"/>
              </w:rPr>
            </w:pPr>
            <w:r>
              <w:rPr>
                <w:rFonts w:hint="eastAsia" w:ascii="Calibri" w:hAnsi="Calibri"/>
                <w:color w:val="0000FF"/>
                <w:kern w:val="2"/>
                <w:sz w:val="21"/>
                <w:szCs w:val="21"/>
                <w:highlight w:val="white"/>
                <w:lang w:val="en-US" w:eastAsia="zh-CN" w:bidi="ar-SA"/>
              </w:rPr>
              <w:t xml:space="preserve">注：1、投标人应根据招标文件第二章“投标人须知”第 3.5.2 项的要求在“财务状况表”后附相关证明材料。                       </w:t>
            </w:r>
          </w:p>
          <w:p>
            <w:pPr>
              <w:widowControl w:val="0"/>
              <w:adjustRightInd w:val="0"/>
              <w:snapToGrid w:val="0"/>
              <w:spacing w:line="400" w:lineRule="atLeast"/>
              <w:jc w:val="both"/>
              <w:rPr>
                <w:rFonts w:hint="eastAsia" w:ascii="Calibri" w:hAnsi="Calibri"/>
                <w:color w:val="0000FF"/>
                <w:kern w:val="2"/>
                <w:sz w:val="21"/>
                <w:szCs w:val="21"/>
                <w:highlight w:val="white"/>
                <w:lang w:val="en-US" w:eastAsia="zh-CN" w:bidi="ar-SA"/>
              </w:rPr>
            </w:pPr>
            <w:r>
              <w:rPr>
                <w:rFonts w:hint="eastAsia" w:ascii="Calibri" w:hAnsi="Calibri"/>
                <w:color w:val="0000FF"/>
                <w:kern w:val="2"/>
                <w:sz w:val="21"/>
                <w:szCs w:val="21"/>
                <w:highlight w:val="white"/>
                <w:lang w:val="en-US" w:eastAsia="zh-CN" w:bidi="ar-SA"/>
              </w:rPr>
              <w:t>2、联合体投标的，联合体成员资产负债率都须满足，否则应由牵头人开立基本账户的银行出具针对本标段的不少于标的额10%的银行信贷证明，且时限应满足整个施工期需要。</w:t>
            </w:r>
            <w:bookmarkEnd w:id="7"/>
          </w:p>
        </w:tc>
      </w:tr>
    </w:tbl>
    <w:p>
      <w:pPr>
        <w:rPr>
          <w:rFonts w:hint="eastAsia"/>
          <w:highlight w:val="yellow"/>
        </w:rPr>
      </w:pPr>
      <w:r>
        <w:rPr>
          <w:rFonts w:hint="eastAsia" w:ascii="宋体" w:hAnsi="宋体"/>
          <w:szCs w:val="18"/>
          <w:highlight w:val="white"/>
        </w:rPr>
        <w:t>①</w:t>
      </w:r>
      <w:r>
        <w:rPr>
          <w:rFonts w:hint="eastAsia"/>
          <w:szCs w:val="18"/>
          <w:highlight w:val="white"/>
        </w:rPr>
        <w:t>具体财务要求由招标人在满足国家相关法律法规前提下，根据招标项目具体特点和实际情况确定。</w:t>
      </w:r>
      <w:r>
        <w:rPr>
          <w:rFonts w:hint="eastAsia" w:ascii="黑体" w:hAnsi="黑体" w:eastAsia="黑体"/>
          <w:szCs w:val="18"/>
          <w:highlight w:val="white"/>
        </w:rPr>
        <w:t>例如招标人可要求投标人近3年财务状况良好，未出现连续年度亏损。招标人不得针对投标人资产负债率等特定财务指标提出与招标项目履约能力不相适应的要求。</w:t>
      </w:r>
    </w:p>
    <w:p>
      <w:pPr>
        <w:rPr>
          <w:rFonts w:hint="eastAsia"/>
          <w:highlight w:val="cyan"/>
        </w:rPr>
      </w:pPr>
      <w:bookmarkStart w:id="8" w:name="EB3509c3ef7020445f85dd5a27c6005518"/>
      <w:r>
        <w:rPr>
          <w:rFonts w:hint="eastAsia"/>
          <w:color w:val="000080"/>
          <w:sz w:val="20"/>
          <w:highlight w:val="white"/>
        </w:rPr>
        <w:t xml:space="preserve"> </w:t>
      </w:r>
      <w:bookmarkEnd w:id="8"/>
    </w:p>
    <w:p>
      <w:pPr>
        <w:rPr>
          <w:highlight w:val="yellow"/>
        </w:rPr>
      </w:pPr>
      <w:bookmarkStart w:id="9" w:name="EBe67ebc4f0dfa427eb4225b21ad4c1b78"/>
      <w:r>
        <w:rPr>
          <w:rFonts w:hint="eastAsia"/>
          <w:color w:val="000080"/>
          <w:sz w:val="20"/>
          <w:highlight w:val="white"/>
        </w:rPr>
        <w:t xml:space="preserve"> </w:t>
      </w:r>
      <w:bookmarkEnd w:id="9"/>
      <w:bookmarkStart w:id="10" w:name="EB8e33be538bc04b78afc08f39b0fa9915"/>
      <w:r>
        <w:rPr>
          <w:rFonts w:hint="eastAsia"/>
          <w:color w:val="000080"/>
          <w:sz w:val="20"/>
          <w:highlight w:val="white"/>
        </w:rPr>
        <w:t xml:space="preserve"> </w:t>
      </w:r>
      <w:bookmarkEnd w:id="10"/>
    </w:p>
    <w:p>
      <w:pPr>
        <w:pStyle w:val="5"/>
        <w:pageBreakBefore/>
      </w:pPr>
      <w:r>
        <w:rPr>
          <w:rFonts w:hint="eastAsia"/>
          <w:highlight w:val="white"/>
        </w:rPr>
        <w:t>附录3</w:t>
      </w:r>
      <w:r>
        <w:rPr>
          <w:highlight w:val="white"/>
        </w:rPr>
        <w:t xml:space="preserve"> </w:t>
      </w:r>
      <w:r>
        <w:rPr>
          <w:rFonts w:hint="eastAsia"/>
          <w:highlight w:val="white"/>
        </w:rPr>
        <w:t>资格审查条件（业绩最低要求）</w:t>
      </w:r>
    </w:p>
    <w:tbl>
      <w:tblPr>
        <w:tblStyle w:val="17"/>
        <w:tblW w:w="896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319"/>
        <w:gridCol w:w="1320"/>
        <w:gridCol w:w="63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64" w:hRule="atLeast"/>
          <w:tblHeader/>
        </w:trPr>
        <w:tc>
          <w:tcPr>
            <w:tcW w:w="1319" w:type="dxa"/>
            <w:noWrap w:val="0"/>
            <w:vAlign w:val="center"/>
          </w:tcPr>
          <w:p>
            <w:pPr>
              <w:widowControl w:val="0"/>
              <w:topLinePunct/>
              <w:spacing w:line="440" w:lineRule="exact"/>
              <w:jc w:val="center"/>
              <w:rPr>
                <w:rFonts w:ascii="Calibri" w:hAnsi="Calibri" w:eastAsia="黑体"/>
                <w:kern w:val="2"/>
                <w:sz w:val="21"/>
                <w:szCs w:val="21"/>
                <w:lang w:val="en-US" w:eastAsia="zh-CN" w:bidi="ar-SA"/>
              </w:rPr>
            </w:pPr>
            <w:r>
              <w:rPr>
                <w:rFonts w:ascii="Calibri" w:hAnsi="Calibri" w:eastAsia="黑体"/>
                <w:kern w:val="2"/>
                <w:sz w:val="21"/>
                <w:szCs w:val="21"/>
                <w:highlight w:val="white"/>
                <w:lang w:val="en-US" w:eastAsia="zh-CN" w:bidi="ar-SA"/>
              </w:rPr>
              <w:t>类别</w:t>
            </w:r>
          </w:p>
        </w:tc>
        <w:tc>
          <w:tcPr>
            <w:tcW w:w="1320" w:type="dxa"/>
            <w:tcBorders>
              <w:left w:val="single" w:color="auto" w:sz="4" w:space="0"/>
            </w:tcBorders>
            <w:noWrap w:val="0"/>
            <w:vAlign w:val="center"/>
          </w:tcPr>
          <w:p>
            <w:pPr>
              <w:widowControl w:val="0"/>
              <w:topLinePunct/>
              <w:spacing w:line="440" w:lineRule="exact"/>
              <w:jc w:val="center"/>
              <w:rPr>
                <w:rFonts w:ascii="Calibri" w:hAnsi="Calibri" w:eastAsia="黑体"/>
                <w:kern w:val="2"/>
                <w:sz w:val="21"/>
                <w:szCs w:val="21"/>
                <w:lang w:val="en-US" w:eastAsia="zh-CN" w:bidi="ar-SA"/>
              </w:rPr>
            </w:pPr>
            <w:r>
              <w:rPr>
                <w:rFonts w:hint="eastAsia" w:ascii="Calibri" w:hAnsi="Calibri" w:eastAsia="黑体"/>
                <w:kern w:val="2"/>
                <w:sz w:val="21"/>
                <w:szCs w:val="21"/>
                <w:highlight w:val="white"/>
                <w:lang w:val="en-US" w:eastAsia="zh-CN" w:bidi="ar-SA"/>
              </w:rPr>
              <w:t>工程内容</w:t>
            </w:r>
            <w:r>
              <w:rPr>
                <w:rStyle w:val="19"/>
                <w:rFonts w:hint="eastAsia" w:ascii="Calibri" w:hAnsi="Calibri" w:eastAsia="黑体"/>
                <w:kern w:val="2"/>
                <w:sz w:val="21"/>
                <w:szCs w:val="21"/>
                <w:highlight w:val="white"/>
                <w:vertAlign w:val="superscript"/>
                <w:lang w:val="en-US" w:eastAsia="zh-CN" w:bidi="ar-SA"/>
              </w:rPr>
              <w:t>①</w:t>
            </w:r>
          </w:p>
        </w:tc>
        <w:tc>
          <w:tcPr>
            <w:tcW w:w="6322" w:type="dxa"/>
            <w:tcBorders>
              <w:left w:val="single" w:color="auto" w:sz="4" w:space="0"/>
            </w:tcBorders>
            <w:noWrap w:val="0"/>
            <w:vAlign w:val="center"/>
          </w:tcPr>
          <w:p>
            <w:pPr>
              <w:widowControl w:val="0"/>
              <w:topLinePunct/>
              <w:spacing w:line="440" w:lineRule="exact"/>
              <w:jc w:val="center"/>
              <w:rPr>
                <w:rFonts w:ascii="Calibri" w:hAnsi="Calibri" w:eastAsia="黑体"/>
                <w:kern w:val="2"/>
                <w:sz w:val="21"/>
                <w:szCs w:val="21"/>
                <w:lang w:val="en-US" w:eastAsia="zh-CN" w:bidi="ar-SA"/>
              </w:rPr>
            </w:pPr>
            <w:r>
              <w:rPr>
                <w:rFonts w:ascii="Calibri" w:hAnsi="Calibri" w:eastAsia="黑体"/>
                <w:kern w:val="2"/>
                <w:sz w:val="21"/>
                <w:szCs w:val="21"/>
                <w:highlight w:val="white"/>
                <w:lang w:val="en-US" w:eastAsia="zh-CN" w:bidi="ar-SA"/>
              </w:rPr>
              <w:t>业绩要求</w:t>
            </w:r>
            <w:r>
              <w:rPr>
                <w:rStyle w:val="19"/>
                <w:rFonts w:hint="eastAsia" w:ascii="Calibri" w:hAnsi="Calibri" w:eastAsia="黑体"/>
                <w:kern w:val="2"/>
                <w:sz w:val="21"/>
                <w:szCs w:val="21"/>
                <w:highlight w:val="white"/>
                <w:vertAlign w:val="superscript"/>
                <w:lang w:val="en-US" w:eastAsia="zh-CN" w:bidi="ar-SA"/>
              </w:rPr>
              <w:t>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85" w:hRule="atLeast"/>
        </w:trPr>
        <w:tc>
          <w:tcPr>
            <w:tcW w:w="1319" w:type="dxa"/>
            <w:noWrap w:val="0"/>
            <w:vAlign w:val="center"/>
          </w:tcPr>
          <w:p>
            <w:pPr>
              <w:widowControl w:val="0"/>
              <w:topLinePunct/>
              <w:spacing w:line="440" w:lineRule="exact"/>
              <w:jc w:val="center"/>
              <w:rPr>
                <w:rFonts w:ascii="Calibri" w:hAnsi="Calibri" w:eastAsia="黑体"/>
                <w:kern w:val="2"/>
                <w:sz w:val="21"/>
                <w:szCs w:val="21"/>
                <w:highlight w:val="green"/>
                <w:lang w:val="en-US" w:eastAsia="zh-CN" w:bidi="ar-SA"/>
              </w:rPr>
            </w:pPr>
            <w:bookmarkStart w:id="11" w:name="EB60a6b17023ba4d96b2889335b371fa0b"/>
            <w:r>
              <w:rPr>
                <w:rFonts w:hint="eastAsia" w:ascii="Calibri" w:hAnsi="Calibri" w:eastAsia="黑体"/>
                <w:color w:val="0000FF"/>
                <w:kern w:val="2"/>
                <w:sz w:val="21"/>
                <w:szCs w:val="21"/>
                <w:highlight w:val="white"/>
                <w:lang w:val="en-US" w:eastAsia="zh-CN" w:bidi="ar-SA"/>
              </w:rPr>
              <w:t>房建工程施工</w:t>
            </w:r>
            <w:bookmarkEnd w:id="11"/>
          </w:p>
        </w:tc>
        <w:tc>
          <w:tcPr>
            <w:tcW w:w="1320" w:type="dxa"/>
            <w:tcBorders>
              <w:left w:val="single" w:color="auto" w:sz="4" w:space="0"/>
            </w:tcBorders>
            <w:noWrap w:val="0"/>
            <w:vAlign w:val="center"/>
          </w:tcPr>
          <w:p>
            <w:pPr>
              <w:widowControl w:val="0"/>
              <w:topLinePunct/>
              <w:spacing w:line="440" w:lineRule="exact"/>
              <w:jc w:val="center"/>
              <w:rPr>
                <w:rFonts w:ascii="Calibri" w:hAnsi="Calibri" w:eastAsia="黑体"/>
                <w:kern w:val="2"/>
                <w:sz w:val="21"/>
                <w:szCs w:val="21"/>
                <w:highlight w:val="green"/>
                <w:lang w:val="en-US" w:eastAsia="zh-CN" w:bidi="ar-SA"/>
              </w:rPr>
            </w:pPr>
            <w:bookmarkStart w:id="12" w:name="EB1d45a47ae48849e9a7de42b56cc87403"/>
            <w:r>
              <w:rPr>
                <w:rFonts w:hint="eastAsia" w:ascii="Calibri" w:hAnsi="Calibri" w:eastAsia="黑体"/>
                <w:color w:val="0000FF"/>
                <w:kern w:val="2"/>
                <w:sz w:val="21"/>
                <w:szCs w:val="21"/>
                <w:highlight w:val="white"/>
                <w:lang w:val="en-US" w:eastAsia="zh-CN" w:bidi="ar-SA"/>
              </w:rPr>
              <w:t>房建工程施工</w:t>
            </w:r>
            <w:bookmarkEnd w:id="12"/>
          </w:p>
        </w:tc>
        <w:tc>
          <w:tcPr>
            <w:tcW w:w="6322" w:type="dxa"/>
            <w:tcBorders>
              <w:left w:val="single" w:color="auto" w:sz="4" w:space="0"/>
            </w:tcBorders>
            <w:noWrap w:val="0"/>
            <w:vAlign w:val="center"/>
          </w:tcPr>
          <w:p>
            <w:pPr>
              <w:widowControl/>
              <w:spacing w:line="360" w:lineRule="auto"/>
              <w:jc w:val="both"/>
              <w:rPr>
                <w:rFonts w:ascii="Calibri" w:hAnsi="Calibri" w:eastAsia="黑体"/>
                <w:kern w:val="2"/>
                <w:sz w:val="21"/>
                <w:szCs w:val="21"/>
                <w:highlight w:val="green"/>
                <w:lang w:val="en-US" w:eastAsia="zh-CN" w:bidi="ar-SA"/>
              </w:rPr>
            </w:pPr>
            <w:bookmarkStart w:id="13" w:name="EBb925fd7702d04517a71905fc2aadc80e"/>
            <w:r>
              <w:rPr>
                <w:rFonts w:hint="eastAsia" w:ascii="Calibri" w:hAnsi="Calibri" w:eastAsia="黑体"/>
                <w:color w:val="0000FF"/>
                <w:kern w:val="2"/>
                <w:sz w:val="21"/>
                <w:szCs w:val="21"/>
                <w:highlight w:val="white"/>
                <w:lang w:val="en-US" w:eastAsia="zh-CN" w:bidi="ar-SA"/>
              </w:rPr>
              <w:t xml:space="preserve">近5年（指投标文件递交截止之日前一日往前回溯5年，以实际交（竣）工时间为准），投标人（如为联合体参与投标的，为联合体牵头人）至少独立完成过一个合同金额590万元及以上的公共建筑工程装修或公共建筑改造工程施工项目业绩。（专业分包业绩不属独立承担，不予认定；若为联合体业绩，联合体协议书分工中投标人独立承担的施工内容须满足以上业绩要求，否则不予认定。）                                    </w:t>
            </w:r>
          </w:p>
          <w:p>
            <w:pPr>
              <w:widowControl/>
              <w:spacing w:line="360" w:lineRule="auto"/>
              <w:jc w:val="both"/>
              <w:rPr>
                <w:rFonts w:hint="eastAsia" w:ascii="Calibri" w:hAnsi="Calibri" w:eastAsia="黑体"/>
                <w:color w:val="0000FF"/>
                <w:kern w:val="2"/>
                <w:sz w:val="21"/>
                <w:szCs w:val="21"/>
                <w:highlight w:val="white"/>
                <w:lang w:val="en-US" w:eastAsia="zh-CN" w:bidi="ar-SA"/>
              </w:rPr>
            </w:pPr>
            <w:r>
              <w:rPr>
                <w:rFonts w:hint="eastAsia" w:ascii="Calibri" w:hAnsi="Calibri" w:eastAsia="黑体"/>
                <w:color w:val="0000FF"/>
                <w:kern w:val="2"/>
                <w:sz w:val="21"/>
                <w:szCs w:val="21"/>
                <w:highlight w:val="white"/>
                <w:lang w:val="en-US" w:eastAsia="zh-CN" w:bidi="ar-SA"/>
              </w:rPr>
              <w:t xml:space="preserve">注：1.投标人应根据招标文件第二章“投标人须知”第3.5.3项的要求在“近年完成的类似项目情况表”后附相关证明材料。                                                                                             </w:t>
            </w:r>
          </w:p>
          <w:p>
            <w:pPr>
              <w:widowControl/>
              <w:spacing w:line="360" w:lineRule="auto"/>
              <w:jc w:val="both"/>
              <w:rPr>
                <w:rFonts w:hint="eastAsia" w:ascii="Calibri" w:hAnsi="Calibri" w:eastAsia="黑体"/>
                <w:color w:val="0000FF"/>
                <w:kern w:val="2"/>
                <w:sz w:val="21"/>
                <w:szCs w:val="21"/>
                <w:highlight w:val="white"/>
                <w:lang w:val="en-US" w:eastAsia="zh-CN" w:bidi="ar-SA"/>
              </w:rPr>
            </w:pPr>
            <w:r>
              <w:rPr>
                <w:rFonts w:hint="eastAsia" w:ascii="Calibri" w:hAnsi="Calibri" w:eastAsia="黑体"/>
                <w:color w:val="0000FF"/>
                <w:kern w:val="2"/>
                <w:sz w:val="21"/>
                <w:szCs w:val="21"/>
                <w:highlight w:val="white"/>
                <w:lang w:val="en-US" w:eastAsia="zh-CN" w:bidi="ar-SA"/>
              </w:rPr>
              <w:t xml:space="preserve">2.如近年来，投标人法人机构发生合法变更或重组或法人名称变更时，应提供相关部门的合法批件或其他相关证明材料来证明其所附业绩的继承性。                                                                                                                                            </w:t>
            </w:r>
          </w:p>
          <w:p>
            <w:pPr>
              <w:widowControl/>
              <w:spacing w:line="360" w:lineRule="auto"/>
              <w:jc w:val="both"/>
              <w:rPr>
                <w:rFonts w:hint="eastAsia" w:ascii="Calibri" w:hAnsi="Calibri" w:eastAsia="黑体"/>
                <w:color w:val="0000FF"/>
                <w:kern w:val="2"/>
                <w:sz w:val="21"/>
                <w:szCs w:val="21"/>
                <w:highlight w:val="white"/>
                <w:lang w:val="en-US" w:eastAsia="zh-CN" w:bidi="ar-SA"/>
              </w:rPr>
            </w:pPr>
            <w:r>
              <w:rPr>
                <w:rFonts w:hint="eastAsia" w:ascii="Calibri" w:hAnsi="Calibri" w:eastAsia="黑体"/>
                <w:color w:val="0000FF"/>
                <w:kern w:val="2"/>
                <w:sz w:val="21"/>
                <w:szCs w:val="21"/>
                <w:highlight w:val="white"/>
                <w:lang w:val="en-US" w:eastAsia="zh-CN" w:bidi="ar-SA"/>
              </w:rPr>
              <w:t xml:space="preserve">3.业绩金额以合同价或合同结算价为准。                                             </w:t>
            </w:r>
          </w:p>
          <w:p>
            <w:pPr>
              <w:widowControl/>
              <w:spacing w:line="360" w:lineRule="auto"/>
              <w:jc w:val="both"/>
              <w:rPr>
                <w:rFonts w:hint="eastAsia" w:ascii="Calibri" w:hAnsi="Calibri" w:eastAsia="黑体"/>
                <w:color w:val="0000FF"/>
                <w:kern w:val="2"/>
                <w:sz w:val="21"/>
                <w:szCs w:val="21"/>
                <w:highlight w:val="white"/>
                <w:lang w:val="en-US" w:eastAsia="zh-CN" w:bidi="ar-SA"/>
              </w:rPr>
            </w:pPr>
            <w:r>
              <w:rPr>
                <w:rFonts w:hint="eastAsia" w:ascii="Calibri" w:hAnsi="Calibri" w:eastAsia="黑体"/>
                <w:color w:val="0000FF"/>
                <w:kern w:val="2"/>
                <w:sz w:val="21"/>
                <w:szCs w:val="21"/>
                <w:highlight w:val="white"/>
                <w:lang w:val="en-US" w:eastAsia="zh-CN" w:bidi="ar-SA"/>
              </w:rPr>
              <w:t>4.业绩计算以项目交（竣）工验收之日为截止日。</w:t>
            </w:r>
            <w:bookmarkEnd w:id="13"/>
          </w:p>
        </w:tc>
      </w:tr>
    </w:tbl>
    <w:p>
      <w:pPr>
        <w:pStyle w:val="7"/>
        <w:spacing w:line="240" w:lineRule="auto"/>
        <w:ind w:firstLine="0"/>
        <w:jc w:val="both"/>
        <w:rPr>
          <w:rFonts w:eastAsia="黑体"/>
          <w:lang w:val="en-US"/>
        </w:rPr>
      </w:pPr>
      <w:r>
        <w:rPr>
          <w:rFonts w:hint="eastAsia" w:ascii="宋体" w:hAnsi="宋体"/>
          <w:highlight w:val="white"/>
        </w:rPr>
        <w:t>①</w:t>
      </w:r>
      <w:r>
        <w:rPr>
          <w:rFonts w:hint="eastAsia" w:ascii="黑体" w:hAnsi="黑体" w:eastAsia="黑体"/>
          <w:szCs w:val="18"/>
          <w:highlight w:val="white"/>
          <w:lang w:val="en-US"/>
        </w:rPr>
        <w:t>招标人在填写时也</w:t>
      </w:r>
      <w:r>
        <w:rPr>
          <w:rFonts w:hint="eastAsia" w:ascii="黑体" w:hAnsi="黑体" w:eastAsia="黑体"/>
          <w:highlight w:val="white"/>
          <w:lang w:val="en-US"/>
        </w:rPr>
        <w:t>可以</w:t>
      </w:r>
      <w:r>
        <w:rPr>
          <w:rFonts w:hint="eastAsia" w:ascii="黑体" w:hAnsi="黑体" w:eastAsia="黑体"/>
          <w:szCs w:val="18"/>
          <w:highlight w:val="white"/>
          <w:lang w:val="en-US"/>
        </w:rPr>
        <w:t>进一步明确养护内容并以此细化类别。</w:t>
      </w:r>
    </w:p>
    <w:p>
      <w:pPr>
        <w:pStyle w:val="7"/>
        <w:spacing w:line="240" w:lineRule="auto"/>
        <w:ind w:firstLine="0"/>
        <w:jc w:val="both"/>
        <w:rPr>
          <w:rFonts w:eastAsia="黑体"/>
          <w:lang w:val="en-US"/>
        </w:rPr>
      </w:pPr>
      <w:r>
        <w:rPr>
          <w:rFonts w:hint="eastAsia" w:ascii="宋体" w:hAnsi="宋体"/>
          <w:highlight w:val="white"/>
        </w:rPr>
        <w:t>②</w:t>
      </w:r>
      <w:r>
        <w:rPr>
          <w:rFonts w:hint="eastAsia" w:ascii="黑体" w:hAnsi="黑体" w:eastAsia="黑体"/>
          <w:szCs w:val="18"/>
          <w:highlight w:val="white"/>
          <w:lang w:val="en-US"/>
        </w:rPr>
        <w:t>招标人应根据招标项目的工作内容、工程规模、技术难度等设定类似业绩作为业绩要求，但不得设定明显超出招标项目具体特点和实际需要的过高的业绩要求。</w:t>
      </w:r>
    </w:p>
    <w:p>
      <w:pPr>
        <w:rPr>
          <w:rFonts w:hint="eastAsia"/>
          <w:highlight w:val="cyan"/>
        </w:rPr>
      </w:pPr>
      <w:bookmarkStart w:id="14" w:name="EBf02259305b0840feade68d1e3002627b"/>
      <w:r>
        <w:rPr>
          <w:rFonts w:hint="eastAsia"/>
          <w:color w:val="000080"/>
          <w:sz w:val="20"/>
          <w:highlight w:val="white"/>
        </w:rPr>
        <w:t xml:space="preserve"> </w:t>
      </w:r>
      <w:bookmarkEnd w:id="14"/>
    </w:p>
    <w:p>
      <w:pPr>
        <w:rPr>
          <w:highlight w:val="yellow"/>
        </w:rPr>
      </w:pPr>
      <w:bookmarkStart w:id="15" w:name="EB5bd6c9339d864564b1319c712dc0a957"/>
      <w:r>
        <w:rPr>
          <w:rFonts w:hint="eastAsia"/>
          <w:color w:val="000080"/>
          <w:sz w:val="20"/>
          <w:highlight w:val="white"/>
        </w:rPr>
        <w:t xml:space="preserve"> </w:t>
      </w:r>
      <w:bookmarkEnd w:id="15"/>
      <w:bookmarkStart w:id="16" w:name="EB091b54b42abd4c08a854360574519211"/>
      <w:r>
        <w:rPr>
          <w:rFonts w:hint="eastAsia"/>
          <w:color w:val="000080"/>
          <w:sz w:val="20"/>
          <w:highlight w:val="white"/>
        </w:rPr>
        <w:t xml:space="preserve"> </w:t>
      </w:r>
      <w:bookmarkEnd w:id="16"/>
    </w:p>
    <w:p>
      <w:pPr>
        <w:pStyle w:val="5"/>
        <w:pageBreakBefore/>
      </w:pPr>
      <w:r>
        <w:rPr>
          <w:rFonts w:hint="eastAsia"/>
          <w:highlight w:val="white"/>
        </w:rPr>
        <w:t>附录4</w:t>
      </w:r>
      <w:r>
        <w:rPr>
          <w:highlight w:val="white"/>
        </w:rPr>
        <w:t xml:space="preserve">  </w:t>
      </w:r>
      <w:r>
        <w:rPr>
          <w:rFonts w:hint="eastAsia"/>
          <w:highlight w:val="white"/>
        </w:rPr>
        <w:t>资格审查条件（信誉最低要求）</w:t>
      </w:r>
      <w:r>
        <w:rPr>
          <w:rStyle w:val="19"/>
          <w:szCs w:val="28"/>
        </w:rPr>
        <w:footnoteReference w:id="9"/>
      </w:r>
    </w:p>
    <w:tbl>
      <w:tblPr>
        <w:tblStyle w:val="17"/>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8819" w:type="dxa"/>
            <w:noWrap w:val="0"/>
            <w:vAlign w:val="center"/>
          </w:tcPr>
          <w:p>
            <w:pPr>
              <w:widowControl w:val="0"/>
              <w:adjustRightInd w:val="0"/>
              <w:snapToGrid w:val="0"/>
              <w:spacing w:line="400" w:lineRule="atLeast"/>
              <w:jc w:val="center"/>
              <w:rPr>
                <w:rFonts w:ascii="Calibri" w:hAnsi="Calibri"/>
                <w:kern w:val="2"/>
                <w:sz w:val="21"/>
                <w:szCs w:val="21"/>
                <w:lang w:val="en-US" w:eastAsia="zh-CN" w:bidi="ar-SA"/>
              </w:rPr>
            </w:pPr>
            <w:r>
              <w:rPr>
                <w:rFonts w:hint="eastAsia" w:ascii="Calibri" w:hAnsi="Calibri"/>
                <w:kern w:val="2"/>
                <w:sz w:val="21"/>
                <w:szCs w:val="21"/>
                <w:highlight w:val="white"/>
                <w:lang w:val="en-US" w:eastAsia="zh-CN" w:bidi="ar-SA"/>
              </w:rPr>
              <w:t>信</w:t>
            </w:r>
            <w:r>
              <w:rPr>
                <w:rFonts w:ascii="Calibri" w:hAnsi="Calibri"/>
                <w:kern w:val="2"/>
                <w:sz w:val="21"/>
                <w:szCs w:val="21"/>
                <w:highlight w:val="white"/>
                <w:lang w:val="en-US" w:eastAsia="zh-CN" w:bidi="ar-SA"/>
              </w:rPr>
              <w:t xml:space="preserve"> </w:t>
            </w:r>
            <w:r>
              <w:rPr>
                <w:rFonts w:hint="eastAsia" w:ascii="Calibri" w:hAnsi="Calibri"/>
                <w:kern w:val="2"/>
                <w:sz w:val="21"/>
                <w:szCs w:val="21"/>
                <w:highlight w:val="white"/>
                <w:lang w:val="en-US" w:eastAsia="zh-CN" w:bidi="ar-SA"/>
              </w:rPr>
              <w:t>誉</w:t>
            </w:r>
            <w:r>
              <w:rPr>
                <w:rFonts w:ascii="Calibri" w:hAnsi="Calibri"/>
                <w:kern w:val="2"/>
                <w:sz w:val="21"/>
                <w:szCs w:val="21"/>
                <w:highlight w:val="white"/>
                <w:lang w:val="en-US" w:eastAsia="zh-CN" w:bidi="ar-SA"/>
              </w:rPr>
              <w:t xml:space="preserve"> </w:t>
            </w:r>
            <w:r>
              <w:rPr>
                <w:rFonts w:hint="eastAsia" w:ascii="Calibri" w:hAnsi="Calibri"/>
                <w:kern w:val="2"/>
                <w:sz w:val="21"/>
                <w:szCs w:val="21"/>
                <w:highlight w:val="white"/>
                <w:lang w:val="en-US" w:eastAsia="zh-CN" w:bidi="ar-SA"/>
              </w:rPr>
              <w:t>要</w:t>
            </w:r>
            <w:r>
              <w:rPr>
                <w:rFonts w:ascii="Calibri" w:hAnsi="Calibri"/>
                <w:kern w:val="2"/>
                <w:sz w:val="21"/>
                <w:szCs w:val="21"/>
                <w:highlight w:val="white"/>
                <w:lang w:val="en-US" w:eastAsia="zh-CN" w:bidi="ar-SA"/>
              </w:rPr>
              <w:t xml:space="preserve"> </w:t>
            </w:r>
            <w:r>
              <w:rPr>
                <w:rFonts w:hint="eastAsia" w:ascii="Calibri" w:hAnsi="Calibri"/>
                <w:kern w:val="2"/>
                <w:sz w:val="21"/>
                <w:szCs w:val="21"/>
                <w:highlight w:val="white"/>
                <w:lang w:val="en-US" w:eastAsia="zh-CN" w:bidi="ar-SA"/>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3" w:hRule="atLeast"/>
          <w:jc w:val="center"/>
        </w:trPr>
        <w:tc>
          <w:tcPr>
            <w:tcW w:w="8819" w:type="dxa"/>
            <w:noWrap w:val="0"/>
            <w:vAlign w:val="center"/>
          </w:tcPr>
          <w:p>
            <w:pPr>
              <w:widowControl w:val="0"/>
              <w:adjustRightInd w:val="0"/>
              <w:snapToGrid w:val="0"/>
              <w:spacing w:line="400" w:lineRule="atLeast"/>
              <w:jc w:val="both"/>
              <w:rPr>
                <w:rFonts w:ascii="Calibri" w:hAnsi="Calibri"/>
                <w:kern w:val="2"/>
                <w:sz w:val="21"/>
                <w:szCs w:val="21"/>
                <w:highlight w:val="green"/>
                <w:lang w:val="en-US" w:eastAsia="zh-CN" w:bidi="ar-SA"/>
              </w:rPr>
            </w:pPr>
            <w:bookmarkStart w:id="17" w:name="EBd2798dfe5ac94cd9acd60f2e78e849ee"/>
            <w:r>
              <w:rPr>
                <w:rFonts w:hint="eastAsia" w:ascii="Calibri" w:hAnsi="Calibri"/>
                <w:color w:val="0000FF"/>
                <w:kern w:val="2"/>
                <w:sz w:val="21"/>
                <w:szCs w:val="21"/>
                <w:highlight w:val="white"/>
                <w:lang w:val="en-US" w:eastAsia="zh-CN" w:bidi="ar-SA"/>
              </w:rPr>
              <w:t xml:space="preserve">投标人不得存在投标人须知 1.4.3 款和 1.4.4 款的情形，且不得被湖南省交通运输厅在湖南省公路养护从业单位信用评价【施工类】中评为最近第一年度D级、连续三年（最近第三年、最近第二年和最近第一年）评为 C 级及以下信用等级。（评价结果发布截止时间：以投标截止时间前一日为准）。                                       </w:t>
            </w:r>
          </w:p>
          <w:p>
            <w:pPr>
              <w:widowControl w:val="0"/>
              <w:adjustRightInd w:val="0"/>
              <w:snapToGrid w:val="0"/>
              <w:spacing w:line="400" w:lineRule="atLeast"/>
              <w:jc w:val="both"/>
              <w:rPr>
                <w:rFonts w:hint="eastAsia" w:ascii="Calibri" w:hAnsi="Calibri"/>
                <w:color w:val="0000FF"/>
                <w:kern w:val="2"/>
                <w:sz w:val="21"/>
                <w:szCs w:val="21"/>
                <w:highlight w:val="white"/>
                <w:lang w:val="en-US" w:eastAsia="zh-CN" w:bidi="ar-SA"/>
              </w:rPr>
            </w:pPr>
            <w:r>
              <w:rPr>
                <w:rFonts w:hint="eastAsia" w:ascii="Calibri" w:hAnsi="Calibri"/>
                <w:color w:val="0000FF"/>
                <w:kern w:val="2"/>
                <w:sz w:val="21"/>
                <w:szCs w:val="21"/>
                <w:highlight w:val="white"/>
                <w:lang w:val="en-US" w:eastAsia="zh-CN" w:bidi="ar-SA"/>
              </w:rPr>
              <w:t xml:space="preserve">注：1.投标人应根据招标文件第二章“投标人须知”前附表附录 4 和“投标人须知”正文第 1.4.4 项规定，逐条说明其信誉情况”。                                                                                                    </w:t>
            </w:r>
          </w:p>
          <w:p>
            <w:pPr>
              <w:widowControl w:val="0"/>
              <w:adjustRightInd w:val="0"/>
              <w:snapToGrid w:val="0"/>
              <w:spacing w:line="400" w:lineRule="atLeast"/>
              <w:jc w:val="both"/>
              <w:rPr>
                <w:rFonts w:hint="eastAsia" w:ascii="Calibri" w:hAnsi="Calibri"/>
                <w:color w:val="0000FF"/>
                <w:kern w:val="2"/>
                <w:sz w:val="21"/>
                <w:szCs w:val="21"/>
                <w:highlight w:val="white"/>
                <w:lang w:val="en-US" w:eastAsia="zh-CN" w:bidi="ar-SA"/>
              </w:rPr>
            </w:pPr>
            <w:r>
              <w:rPr>
                <w:rFonts w:hint="eastAsia" w:ascii="Calibri" w:hAnsi="Calibri"/>
                <w:color w:val="0000FF"/>
                <w:kern w:val="2"/>
                <w:sz w:val="21"/>
                <w:szCs w:val="21"/>
                <w:highlight w:val="white"/>
                <w:lang w:val="en-US" w:eastAsia="zh-CN" w:bidi="ar-SA"/>
              </w:rPr>
              <w:t>2.投标人应根据招标文件第二章“投标人须知”第 3.5.4 项的要求在“投标人的信誉情况表” 后附相关证明材料。</w:t>
            </w:r>
            <w:bookmarkEnd w:id="17"/>
          </w:p>
        </w:tc>
      </w:tr>
    </w:tbl>
    <w:p>
      <w:pPr>
        <w:rPr>
          <w:rFonts w:hint="eastAsia"/>
        </w:rPr>
      </w:pPr>
      <w:r>
        <w:rPr>
          <w:rFonts w:hint="eastAsia" w:ascii="宋体" w:hAnsi="宋体"/>
          <w:szCs w:val="18"/>
          <w:highlight w:val="white"/>
        </w:rPr>
        <w:t>①</w:t>
      </w:r>
      <w:r>
        <w:rPr>
          <w:rFonts w:hint="eastAsia"/>
          <w:szCs w:val="18"/>
          <w:highlight w:val="white"/>
        </w:rPr>
        <w:t>具体信誉要求由招标人在满足国家相关法律法规前提下，根据招标项目具体特点和实际情况确定，但</w:t>
      </w:r>
      <w:r>
        <w:rPr>
          <w:szCs w:val="18"/>
          <w:highlight w:val="white"/>
        </w:rPr>
        <w:t>不得与“</w:t>
      </w:r>
      <w:r>
        <w:rPr>
          <w:rFonts w:hint="eastAsia"/>
          <w:szCs w:val="18"/>
          <w:highlight w:val="white"/>
        </w:rPr>
        <w:t>投标人</w:t>
      </w:r>
      <w:r>
        <w:rPr>
          <w:szCs w:val="18"/>
          <w:highlight w:val="white"/>
        </w:rPr>
        <w:t>须知”第</w:t>
      </w:r>
      <w:r>
        <w:rPr>
          <w:rFonts w:hint="eastAsia"/>
          <w:szCs w:val="18"/>
          <w:highlight w:val="white"/>
        </w:rPr>
        <w:t>1</w:t>
      </w:r>
      <w:r>
        <w:rPr>
          <w:szCs w:val="18"/>
          <w:highlight w:val="white"/>
        </w:rPr>
        <w:t>.4.4</w:t>
      </w:r>
      <w:r>
        <w:rPr>
          <w:rFonts w:hint="eastAsia"/>
          <w:szCs w:val="18"/>
          <w:highlight w:val="white"/>
        </w:rPr>
        <w:t>项</w:t>
      </w:r>
      <w:r>
        <w:rPr>
          <w:szCs w:val="18"/>
          <w:highlight w:val="white"/>
        </w:rPr>
        <w:t>规定的</w:t>
      </w:r>
      <w:r>
        <w:rPr>
          <w:rFonts w:hint="eastAsia"/>
          <w:szCs w:val="18"/>
          <w:highlight w:val="white"/>
        </w:rPr>
        <w:t>内容</w:t>
      </w:r>
      <w:r>
        <w:rPr>
          <w:szCs w:val="18"/>
          <w:highlight w:val="white"/>
        </w:rPr>
        <w:t>重复。</w:t>
      </w:r>
    </w:p>
    <w:p>
      <w:pPr>
        <w:rPr>
          <w:rFonts w:hint="eastAsia"/>
          <w:highlight w:val="cyan"/>
        </w:rPr>
      </w:pPr>
      <w:bookmarkStart w:id="18" w:name="EBbad383cf1bc841859b9387fd7ecfd565"/>
      <w:r>
        <w:rPr>
          <w:rFonts w:hint="eastAsia"/>
          <w:color w:val="000080"/>
          <w:sz w:val="20"/>
          <w:highlight w:val="white"/>
        </w:rPr>
        <w:t xml:space="preserve"> </w:t>
      </w:r>
      <w:bookmarkEnd w:id="18"/>
    </w:p>
    <w:p>
      <w:pPr>
        <w:rPr>
          <w:highlight w:val="yellow"/>
        </w:rPr>
      </w:pPr>
      <w:bookmarkStart w:id="19" w:name="EBb1b917a4664549209ac80e5e8b6602c2"/>
      <w:r>
        <w:rPr>
          <w:rFonts w:hint="eastAsia"/>
          <w:color w:val="000080"/>
          <w:sz w:val="20"/>
          <w:highlight w:val="white"/>
        </w:rPr>
        <w:t xml:space="preserve"> </w:t>
      </w:r>
      <w:bookmarkEnd w:id="19"/>
      <w:bookmarkStart w:id="20" w:name="EBd12aec5510b046859e3a15dc8d8c3e41"/>
      <w:r>
        <w:rPr>
          <w:rFonts w:hint="eastAsia"/>
          <w:color w:val="000080"/>
          <w:sz w:val="20"/>
          <w:highlight w:val="white"/>
        </w:rPr>
        <w:t xml:space="preserve"> </w:t>
      </w:r>
      <w:bookmarkEnd w:id="20"/>
    </w:p>
    <w:p>
      <w:pPr>
        <w:pStyle w:val="5"/>
        <w:pageBreakBefore/>
      </w:pPr>
      <w:r>
        <w:rPr>
          <w:rFonts w:hint="eastAsia"/>
          <w:highlight w:val="white"/>
        </w:rPr>
        <w:t>附录5</w:t>
      </w:r>
      <w:r>
        <w:rPr>
          <w:highlight w:val="white"/>
        </w:rPr>
        <w:t xml:space="preserve">  </w:t>
      </w:r>
      <w:r>
        <w:rPr>
          <w:rFonts w:hint="eastAsia"/>
          <w:highlight w:val="white"/>
        </w:rPr>
        <w:t>资格审查条件（项目经理和项目总工最低要求）</w:t>
      </w:r>
      <w:r>
        <w:rPr>
          <w:rStyle w:val="19"/>
          <w:rFonts w:hint="eastAsia"/>
          <w:szCs w:val="28"/>
          <w:highlight w:val="white"/>
        </w:rPr>
        <w:t>①</w:t>
      </w:r>
    </w:p>
    <w:tbl>
      <w:tblPr>
        <w:tblStyle w:val="17"/>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559"/>
        <w:gridCol w:w="2888"/>
        <w:gridCol w:w="2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0" w:type="dxa"/>
            <w:noWrap w:val="0"/>
            <w:vAlign w:val="center"/>
          </w:tcPr>
          <w:p>
            <w:pPr>
              <w:widowControl w:val="0"/>
              <w:adjustRightInd w:val="0"/>
              <w:snapToGrid w:val="0"/>
              <w:spacing w:line="300" w:lineRule="auto"/>
              <w:jc w:val="center"/>
              <w:rPr>
                <w:rFonts w:ascii="Calibri" w:hAnsi="Calibri"/>
                <w:kern w:val="2"/>
                <w:sz w:val="21"/>
                <w:szCs w:val="21"/>
                <w:lang w:val="en-US" w:eastAsia="zh-CN" w:bidi="ar-SA"/>
              </w:rPr>
            </w:pPr>
            <w:r>
              <w:rPr>
                <w:rFonts w:hint="eastAsia" w:ascii="Calibri" w:hAnsi="Calibri"/>
                <w:kern w:val="2"/>
                <w:sz w:val="21"/>
                <w:szCs w:val="21"/>
                <w:highlight w:val="white"/>
                <w:lang w:val="en-US" w:eastAsia="zh-CN" w:bidi="ar-SA"/>
              </w:rPr>
              <w:t>人</w:t>
            </w:r>
            <w:r>
              <w:rPr>
                <w:rFonts w:ascii="Calibri" w:hAnsi="Calibri"/>
                <w:kern w:val="2"/>
                <w:sz w:val="21"/>
                <w:szCs w:val="21"/>
                <w:highlight w:val="white"/>
                <w:lang w:val="en-US" w:eastAsia="zh-CN" w:bidi="ar-SA"/>
              </w:rPr>
              <w:t xml:space="preserve">  </w:t>
            </w:r>
            <w:r>
              <w:rPr>
                <w:rFonts w:hint="eastAsia" w:ascii="Calibri" w:hAnsi="Calibri"/>
                <w:kern w:val="2"/>
                <w:sz w:val="21"/>
                <w:szCs w:val="21"/>
                <w:highlight w:val="white"/>
                <w:lang w:val="en-US" w:eastAsia="zh-CN" w:bidi="ar-SA"/>
              </w:rPr>
              <w:t>员</w:t>
            </w:r>
          </w:p>
        </w:tc>
        <w:tc>
          <w:tcPr>
            <w:tcW w:w="1559" w:type="dxa"/>
            <w:noWrap w:val="0"/>
            <w:vAlign w:val="center"/>
          </w:tcPr>
          <w:p>
            <w:pPr>
              <w:widowControl w:val="0"/>
              <w:adjustRightInd w:val="0"/>
              <w:snapToGrid w:val="0"/>
              <w:spacing w:line="300" w:lineRule="auto"/>
              <w:jc w:val="center"/>
              <w:rPr>
                <w:rFonts w:ascii="Calibri" w:hAnsi="Calibri"/>
                <w:kern w:val="2"/>
                <w:sz w:val="21"/>
                <w:szCs w:val="21"/>
                <w:lang w:val="en-US" w:eastAsia="zh-CN" w:bidi="ar-SA"/>
              </w:rPr>
            </w:pPr>
            <w:r>
              <w:rPr>
                <w:rFonts w:hint="eastAsia" w:ascii="Calibri" w:hAnsi="Calibri"/>
                <w:kern w:val="2"/>
                <w:sz w:val="21"/>
                <w:szCs w:val="21"/>
                <w:highlight w:val="white"/>
                <w:lang w:val="en-US" w:eastAsia="zh-CN" w:bidi="ar-SA"/>
              </w:rPr>
              <w:t>数</w:t>
            </w:r>
            <w:r>
              <w:rPr>
                <w:rFonts w:ascii="Calibri" w:hAnsi="Calibri"/>
                <w:kern w:val="2"/>
                <w:sz w:val="21"/>
                <w:szCs w:val="21"/>
                <w:highlight w:val="white"/>
                <w:lang w:val="en-US" w:eastAsia="zh-CN" w:bidi="ar-SA"/>
              </w:rPr>
              <w:t xml:space="preserve">  </w:t>
            </w:r>
            <w:r>
              <w:rPr>
                <w:rFonts w:hint="eastAsia" w:ascii="Calibri" w:hAnsi="Calibri"/>
                <w:kern w:val="2"/>
                <w:sz w:val="21"/>
                <w:szCs w:val="21"/>
                <w:highlight w:val="white"/>
                <w:lang w:val="en-US" w:eastAsia="zh-CN" w:bidi="ar-SA"/>
              </w:rPr>
              <w:t>量</w:t>
            </w:r>
          </w:p>
        </w:tc>
        <w:tc>
          <w:tcPr>
            <w:tcW w:w="2888" w:type="dxa"/>
            <w:noWrap w:val="0"/>
            <w:vAlign w:val="center"/>
          </w:tcPr>
          <w:p>
            <w:pPr>
              <w:widowControl w:val="0"/>
              <w:adjustRightInd w:val="0"/>
              <w:snapToGrid w:val="0"/>
              <w:spacing w:line="300" w:lineRule="auto"/>
              <w:jc w:val="center"/>
              <w:rPr>
                <w:rFonts w:ascii="Calibri" w:hAnsi="Calibri"/>
                <w:kern w:val="2"/>
                <w:sz w:val="21"/>
                <w:szCs w:val="21"/>
                <w:lang w:val="en-US" w:eastAsia="zh-CN" w:bidi="ar-SA"/>
              </w:rPr>
            </w:pPr>
            <w:r>
              <w:rPr>
                <w:rFonts w:hint="eastAsia" w:ascii="Calibri" w:hAnsi="Calibri"/>
                <w:kern w:val="2"/>
                <w:sz w:val="21"/>
                <w:szCs w:val="21"/>
                <w:highlight w:val="white"/>
                <w:lang w:val="en-US" w:eastAsia="zh-CN" w:bidi="ar-SA"/>
              </w:rPr>
              <w:t>资</w:t>
            </w:r>
            <w:r>
              <w:rPr>
                <w:rFonts w:ascii="Calibri" w:hAnsi="Calibri"/>
                <w:kern w:val="2"/>
                <w:sz w:val="21"/>
                <w:szCs w:val="21"/>
                <w:highlight w:val="white"/>
                <w:lang w:val="en-US" w:eastAsia="zh-CN" w:bidi="ar-SA"/>
              </w:rPr>
              <w:t xml:space="preserve"> </w:t>
            </w:r>
            <w:r>
              <w:rPr>
                <w:rFonts w:hint="eastAsia" w:ascii="Calibri" w:hAnsi="Calibri"/>
                <w:kern w:val="2"/>
                <w:sz w:val="21"/>
                <w:szCs w:val="21"/>
                <w:highlight w:val="white"/>
                <w:lang w:val="en-US" w:eastAsia="zh-CN" w:bidi="ar-SA"/>
              </w:rPr>
              <w:t>格</w:t>
            </w:r>
            <w:r>
              <w:rPr>
                <w:rFonts w:ascii="Calibri" w:hAnsi="Calibri"/>
                <w:kern w:val="2"/>
                <w:sz w:val="21"/>
                <w:szCs w:val="21"/>
                <w:highlight w:val="white"/>
                <w:lang w:val="en-US" w:eastAsia="zh-CN" w:bidi="ar-SA"/>
              </w:rPr>
              <w:t xml:space="preserve"> </w:t>
            </w:r>
            <w:r>
              <w:rPr>
                <w:rFonts w:hint="eastAsia" w:ascii="Calibri" w:hAnsi="Calibri"/>
                <w:kern w:val="2"/>
                <w:sz w:val="21"/>
                <w:szCs w:val="21"/>
                <w:highlight w:val="white"/>
                <w:lang w:val="en-US" w:eastAsia="zh-CN" w:bidi="ar-SA"/>
              </w:rPr>
              <w:t>要</w:t>
            </w:r>
            <w:r>
              <w:rPr>
                <w:rFonts w:ascii="Calibri" w:hAnsi="Calibri"/>
                <w:kern w:val="2"/>
                <w:sz w:val="21"/>
                <w:szCs w:val="21"/>
                <w:highlight w:val="white"/>
                <w:lang w:val="en-US" w:eastAsia="zh-CN" w:bidi="ar-SA"/>
              </w:rPr>
              <w:t xml:space="preserve"> </w:t>
            </w:r>
            <w:r>
              <w:rPr>
                <w:rFonts w:hint="eastAsia" w:ascii="Calibri" w:hAnsi="Calibri"/>
                <w:kern w:val="2"/>
                <w:sz w:val="21"/>
                <w:szCs w:val="21"/>
                <w:highlight w:val="white"/>
                <w:lang w:val="en-US" w:eastAsia="zh-CN" w:bidi="ar-SA"/>
              </w:rPr>
              <w:t>求</w:t>
            </w:r>
            <w:r>
              <w:rPr>
                <w:rStyle w:val="19"/>
                <w:rFonts w:hint="eastAsia" w:ascii="Calibri" w:hAnsi="Calibri"/>
                <w:kern w:val="2"/>
                <w:sz w:val="21"/>
                <w:szCs w:val="21"/>
                <w:highlight w:val="white"/>
                <w:vertAlign w:val="superscript"/>
                <w:lang w:val="en-US" w:eastAsia="zh-CN" w:bidi="ar-SA"/>
              </w:rPr>
              <w:t>②</w:t>
            </w:r>
          </w:p>
        </w:tc>
        <w:tc>
          <w:tcPr>
            <w:tcW w:w="2887" w:type="dxa"/>
            <w:noWrap w:val="0"/>
            <w:vAlign w:val="center"/>
          </w:tcPr>
          <w:p>
            <w:pPr>
              <w:widowControl w:val="0"/>
              <w:adjustRightInd w:val="0"/>
              <w:snapToGrid w:val="0"/>
              <w:spacing w:line="300" w:lineRule="auto"/>
              <w:jc w:val="center"/>
              <w:rPr>
                <w:rFonts w:ascii="Calibri" w:hAnsi="Calibri"/>
                <w:kern w:val="2"/>
                <w:sz w:val="21"/>
                <w:szCs w:val="21"/>
                <w:lang w:val="en-US" w:eastAsia="zh-CN" w:bidi="ar-SA"/>
              </w:rPr>
            </w:pPr>
            <w:r>
              <w:rPr>
                <w:rFonts w:hint="eastAsia" w:ascii="Calibri" w:hAnsi="Calibri"/>
                <w:kern w:val="2"/>
                <w:sz w:val="21"/>
                <w:szCs w:val="21"/>
                <w:highlight w:val="white"/>
                <w:lang w:val="en-US" w:eastAsia="zh-CN" w:bidi="ar-SA"/>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1670" w:type="dxa"/>
            <w:noWrap w:val="0"/>
            <w:vAlign w:val="center"/>
          </w:tcPr>
          <w:p>
            <w:pPr>
              <w:widowControl w:val="0"/>
              <w:spacing w:line="300" w:lineRule="auto"/>
              <w:jc w:val="center"/>
              <w:rPr>
                <w:rFonts w:ascii="Calibri" w:hAnsi="Calibri"/>
                <w:kern w:val="2"/>
                <w:sz w:val="21"/>
                <w:szCs w:val="21"/>
                <w:lang w:val="en-US" w:eastAsia="zh-CN" w:bidi="ar-SA"/>
              </w:rPr>
            </w:pPr>
            <w:r>
              <w:rPr>
                <w:rFonts w:hint="eastAsia" w:ascii="Calibri" w:hAnsi="Calibri"/>
                <w:kern w:val="2"/>
                <w:sz w:val="21"/>
                <w:szCs w:val="21"/>
                <w:highlight w:val="white"/>
                <w:lang w:val="en-US" w:eastAsia="zh-CN" w:bidi="ar-SA"/>
              </w:rPr>
              <w:t>项目经理</w:t>
            </w:r>
          </w:p>
        </w:tc>
        <w:tc>
          <w:tcPr>
            <w:tcW w:w="1559" w:type="dxa"/>
            <w:noWrap w:val="0"/>
            <w:vAlign w:val="center"/>
          </w:tcPr>
          <w:p>
            <w:pPr>
              <w:widowControl w:val="0"/>
              <w:adjustRightInd w:val="0"/>
              <w:snapToGrid w:val="0"/>
              <w:spacing w:line="300" w:lineRule="auto"/>
              <w:jc w:val="center"/>
              <w:rPr>
                <w:rFonts w:ascii="Calibri" w:hAnsi="Calibri"/>
                <w:kern w:val="2"/>
                <w:sz w:val="21"/>
                <w:szCs w:val="21"/>
                <w:highlight w:val="green"/>
                <w:lang w:val="en-US" w:eastAsia="zh-CN" w:bidi="ar-SA"/>
              </w:rPr>
            </w:pPr>
            <w:bookmarkStart w:id="21" w:name="EB923d969771414f339ae5f21ce07440a8"/>
            <w:r>
              <w:rPr>
                <w:rFonts w:hint="eastAsia" w:ascii="Calibri" w:hAnsi="Calibri"/>
                <w:color w:val="0000FF"/>
                <w:kern w:val="2"/>
                <w:sz w:val="21"/>
                <w:szCs w:val="21"/>
                <w:highlight w:val="white"/>
                <w:lang w:val="en-US" w:eastAsia="zh-CN" w:bidi="ar-SA"/>
              </w:rPr>
              <w:t>1</w:t>
            </w:r>
            <w:bookmarkEnd w:id="21"/>
          </w:p>
        </w:tc>
        <w:tc>
          <w:tcPr>
            <w:tcW w:w="2888" w:type="dxa"/>
            <w:noWrap w:val="0"/>
            <w:vAlign w:val="center"/>
          </w:tcPr>
          <w:p>
            <w:pPr>
              <w:widowControl w:val="0"/>
              <w:adjustRightInd w:val="0"/>
              <w:snapToGrid w:val="0"/>
              <w:spacing w:line="300" w:lineRule="auto"/>
              <w:jc w:val="both"/>
              <w:rPr>
                <w:rFonts w:ascii="Calibri" w:hAnsi="Calibri"/>
                <w:kern w:val="2"/>
                <w:sz w:val="21"/>
                <w:szCs w:val="21"/>
                <w:lang w:val="en-US" w:eastAsia="zh-CN" w:bidi="ar-SA"/>
              </w:rPr>
            </w:pPr>
            <w:r>
              <w:rPr>
                <w:rFonts w:hint="eastAsia" w:ascii="Calibri" w:hAnsi="Calibri"/>
                <w:kern w:val="2"/>
                <w:sz w:val="21"/>
                <w:szCs w:val="21"/>
                <w:highlight w:val="white"/>
                <w:lang w:val="en-US" w:eastAsia="zh-CN" w:bidi="ar-SA"/>
              </w:rPr>
              <w:t>（1）工程师及以上技术职称（或中级及以上技术职称）；</w:t>
            </w:r>
          </w:p>
          <w:p>
            <w:pPr>
              <w:widowControl w:val="0"/>
              <w:adjustRightInd w:val="0"/>
              <w:snapToGrid w:val="0"/>
              <w:spacing w:line="300" w:lineRule="auto"/>
              <w:jc w:val="both"/>
              <w:rPr>
                <w:rFonts w:ascii="Calibri" w:hAnsi="Calibri"/>
                <w:kern w:val="2"/>
                <w:sz w:val="21"/>
                <w:szCs w:val="21"/>
                <w:lang w:val="en-US" w:eastAsia="zh-CN" w:bidi="ar-SA"/>
              </w:rPr>
            </w:pPr>
            <w:r>
              <w:rPr>
                <w:rFonts w:hint="eastAsia" w:ascii="Calibri" w:hAnsi="Calibri"/>
                <w:kern w:val="2"/>
                <w:sz w:val="21"/>
                <w:szCs w:val="21"/>
                <w:highlight w:val="white"/>
                <w:lang w:val="en-US" w:eastAsia="zh-CN" w:bidi="ar-SA"/>
              </w:rPr>
              <w:t>（2）具有</w:t>
            </w:r>
            <w:bookmarkStart w:id="22" w:name="EBef93896b0eaa4856b4c06d967ffd23e2"/>
            <w:r>
              <w:rPr>
                <w:rFonts w:hint="eastAsia" w:ascii="Calibri" w:hAnsi="Calibri"/>
                <w:color w:val="0000FF"/>
                <w:kern w:val="2"/>
                <w:sz w:val="21"/>
                <w:szCs w:val="21"/>
                <w:highlight w:val="white"/>
                <w:lang w:val="en-US" w:eastAsia="zh-CN" w:bidi="ar-SA"/>
              </w:rPr>
              <w:t>建筑工程</w:t>
            </w:r>
            <w:bookmarkEnd w:id="22"/>
            <w:r>
              <w:rPr>
                <w:rFonts w:hint="eastAsia" w:ascii="Calibri" w:hAnsi="Calibri"/>
                <w:kern w:val="2"/>
                <w:sz w:val="21"/>
                <w:szCs w:val="21"/>
                <w:highlight w:val="white"/>
                <w:lang w:val="en-US" w:eastAsia="zh-CN" w:bidi="ar-SA"/>
              </w:rPr>
              <w:t>专业</w:t>
            </w:r>
            <w:bookmarkStart w:id="23" w:name="EB6fb10a2c5ea84871a1de1509eb6b7ac3"/>
            <w:r>
              <w:rPr>
                <w:rFonts w:hint="eastAsia" w:ascii="Calibri" w:hAnsi="Calibri"/>
                <w:color w:val="0000FF"/>
                <w:kern w:val="2"/>
                <w:sz w:val="21"/>
                <w:szCs w:val="21"/>
                <w:highlight w:val="white"/>
                <w:lang w:val="en-US" w:eastAsia="zh-CN" w:bidi="ar-SA"/>
              </w:rPr>
              <w:t>二</w:t>
            </w:r>
            <w:bookmarkEnd w:id="23"/>
            <w:r>
              <w:rPr>
                <w:rFonts w:hint="eastAsia" w:ascii="Calibri" w:hAnsi="Calibri"/>
                <w:kern w:val="2"/>
                <w:sz w:val="21"/>
                <w:szCs w:val="21"/>
                <w:highlight w:val="white"/>
                <w:lang w:val="en-US" w:eastAsia="zh-CN" w:bidi="ar-SA"/>
              </w:rPr>
              <w:t>级注册建造师执业资格，注册单位必须与投标人名称一致；</w:t>
            </w:r>
          </w:p>
          <w:p>
            <w:pPr>
              <w:widowControl w:val="0"/>
              <w:adjustRightInd w:val="0"/>
              <w:snapToGrid w:val="0"/>
              <w:spacing w:line="300" w:lineRule="auto"/>
              <w:jc w:val="both"/>
              <w:rPr>
                <w:rFonts w:ascii="Calibri" w:hAnsi="Calibri"/>
                <w:kern w:val="2"/>
                <w:sz w:val="21"/>
                <w:szCs w:val="21"/>
                <w:lang w:val="en-US" w:eastAsia="zh-CN" w:bidi="ar-SA"/>
              </w:rPr>
            </w:pPr>
            <w:r>
              <w:rPr>
                <w:rFonts w:hint="eastAsia" w:ascii="Calibri" w:hAnsi="Calibri"/>
                <w:kern w:val="2"/>
                <w:sz w:val="21"/>
                <w:szCs w:val="21"/>
                <w:highlight w:val="white"/>
                <w:lang w:val="en-US" w:eastAsia="zh-CN" w:bidi="ar-SA"/>
              </w:rPr>
              <w:t>（3）具有交通运输部（或省级交通运输主管部门）颁发的安全生产“三类人员”B类证书</w:t>
            </w:r>
            <w:r>
              <w:rPr>
                <w:rFonts w:ascii="Calibri" w:hAnsi="Calibri"/>
                <w:kern w:val="2"/>
                <w:sz w:val="21"/>
                <w:szCs w:val="21"/>
                <w:highlight w:val="white"/>
                <w:lang w:val="en-US" w:eastAsia="zh-CN" w:bidi="ar-SA"/>
              </w:rPr>
              <w:t xml:space="preserve"> </w:t>
            </w:r>
            <w:r>
              <w:rPr>
                <w:rFonts w:hint="eastAsia" w:ascii="Calibri" w:hAnsi="Calibri"/>
                <w:kern w:val="2"/>
                <w:sz w:val="21"/>
                <w:szCs w:val="21"/>
                <w:highlight w:val="white"/>
                <w:lang w:val="en-US" w:eastAsia="zh-CN" w:bidi="ar-SA"/>
              </w:rPr>
              <w:t>；</w:t>
            </w:r>
          </w:p>
          <w:p>
            <w:pPr>
              <w:widowControl w:val="0"/>
              <w:adjustRightInd w:val="0"/>
              <w:snapToGrid w:val="0"/>
              <w:spacing w:line="300" w:lineRule="auto"/>
              <w:jc w:val="both"/>
              <w:rPr>
                <w:rFonts w:ascii="Calibri" w:hAnsi="Calibri"/>
                <w:kern w:val="2"/>
                <w:sz w:val="21"/>
                <w:szCs w:val="21"/>
                <w:lang w:val="en-US" w:eastAsia="zh-CN" w:bidi="ar-SA"/>
              </w:rPr>
            </w:pPr>
            <w:r>
              <w:rPr>
                <w:rFonts w:hint="eastAsia" w:ascii="Calibri" w:hAnsi="Calibri"/>
                <w:kern w:val="2"/>
                <w:sz w:val="21"/>
                <w:szCs w:val="21"/>
                <w:highlight w:val="white"/>
                <w:lang w:val="en-US" w:eastAsia="zh-CN" w:bidi="ar-SA"/>
              </w:rPr>
              <w:t>（4）近</w:t>
            </w:r>
            <w:bookmarkStart w:id="24" w:name="EBc87a91e9534f407c80a3612598822ec7"/>
            <w:r>
              <w:rPr>
                <w:rFonts w:hint="eastAsia" w:ascii="Calibri" w:hAnsi="Calibri"/>
                <w:color w:val="0000FF"/>
                <w:kern w:val="2"/>
                <w:sz w:val="21"/>
                <w:szCs w:val="21"/>
                <w:highlight w:val="white"/>
                <w:lang w:val="en-US" w:eastAsia="zh-CN" w:bidi="ar-SA"/>
              </w:rPr>
              <w:t>5 （指投标文件递交截止之日前一日往前回溯 5 年）</w:t>
            </w:r>
            <w:bookmarkEnd w:id="24"/>
            <w:r>
              <w:rPr>
                <w:rFonts w:hint="eastAsia" w:ascii="Calibri" w:hAnsi="Calibri"/>
                <w:kern w:val="2"/>
                <w:sz w:val="21"/>
                <w:szCs w:val="21"/>
                <w:highlight w:val="white"/>
                <w:lang w:val="en-US" w:eastAsia="zh-CN" w:bidi="ar-SA"/>
              </w:rPr>
              <w:t>年内曾担任过</w:t>
            </w:r>
            <w:bookmarkStart w:id="25" w:name="EB65d47a9172b94c769e61d37927366856"/>
            <w:r>
              <w:rPr>
                <w:rFonts w:hint="eastAsia" w:ascii="Calibri" w:hAnsi="Calibri"/>
                <w:color w:val="0000FF"/>
                <w:kern w:val="2"/>
                <w:sz w:val="21"/>
                <w:szCs w:val="21"/>
                <w:highlight w:val="white"/>
                <w:lang w:val="en-US" w:eastAsia="zh-CN" w:bidi="ar-SA"/>
              </w:rPr>
              <w:t>1个单个合同金额590万元及以上的公共建筑装修装饰施工项目或公共建筑改造施工</w:t>
            </w:r>
            <w:bookmarkEnd w:id="25"/>
            <w:r>
              <w:rPr>
                <w:rFonts w:hint="eastAsia" w:ascii="Calibri" w:hAnsi="Calibri"/>
                <w:kern w:val="2"/>
                <w:sz w:val="21"/>
                <w:szCs w:val="21"/>
                <w:highlight w:val="white"/>
                <w:lang w:val="en-US" w:eastAsia="zh-CN" w:bidi="ar-SA"/>
              </w:rPr>
              <w:t>工程的项目经理或项目副经理或项目总工职务。</w:t>
            </w:r>
          </w:p>
        </w:tc>
        <w:tc>
          <w:tcPr>
            <w:tcW w:w="2887" w:type="dxa"/>
            <w:vMerge w:val="restart"/>
            <w:noWrap w:val="0"/>
            <w:vAlign w:val="center"/>
          </w:tcPr>
          <w:p>
            <w:pPr>
              <w:widowControl w:val="0"/>
              <w:adjustRightInd w:val="0"/>
              <w:snapToGrid w:val="0"/>
              <w:spacing w:line="300" w:lineRule="auto"/>
              <w:jc w:val="both"/>
              <w:rPr>
                <w:rFonts w:ascii="Calibri" w:hAnsi="Calibri"/>
                <w:kern w:val="2"/>
                <w:sz w:val="21"/>
                <w:szCs w:val="21"/>
                <w:lang w:val="en-US" w:eastAsia="zh-CN" w:bidi="ar-SA"/>
              </w:rPr>
            </w:pPr>
            <w:r>
              <w:rPr>
                <w:rFonts w:hint="eastAsia" w:ascii="黑体" w:hAnsi="黑体" w:eastAsia="黑体" w:cs="黑体"/>
                <w:kern w:val="2"/>
                <w:sz w:val="21"/>
                <w:szCs w:val="22"/>
                <w:highlight w:val="white"/>
                <w:lang w:val="en-US" w:eastAsia="zh-CN" w:bidi="ar-SA"/>
              </w:rPr>
              <w:t>无在岗项目（指目前未在其他项目上任职，或虽在其他项目</w:t>
            </w:r>
            <w:r>
              <w:rPr>
                <w:rFonts w:hint="eastAsia" w:ascii="黑体" w:hAnsi="黑体" w:eastAsia="黑体" w:cs="黑体"/>
                <w:kern w:val="2"/>
                <w:sz w:val="21"/>
                <w:szCs w:val="21"/>
                <w:highlight w:val="white"/>
                <w:lang w:val="en-US" w:eastAsia="zh-CN" w:bidi="ar-SA"/>
              </w:rPr>
              <w:t>上</w:t>
            </w:r>
            <w:r>
              <w:rPr>
                <w:rFonts w:hint="eastAsia" w:ascii="黑体" w:hAnsi="黑体" w:eastAsia="黑体" w:cs="黑体"/>
                <w:kern w:val="2"/>
                <w:sz w:val="21"/>
                <w:szCs w:val="22"/>
                <w:highlight w:val="white"/>
                <w:lang w:val="en-US" w:eastAsia="zh-CN" w:bidi="ar-SA"/>
              </w:rPr>
              <w:t>任职但本项目中标后能够从该项目撤离</w:t>
            </w:r>
            <w:r>
              <w:rPr>
                <w:rStyle w:val="19"/>
                <w:rFonts w:hint="eastAsia" w:ascii="黑体" w:hAnsi="黑体" w:eastAsia="黑体" w:cs="黑体"/>
                <w:kern w:val="2"/>
                <w:sz w:val="21"/>
                <w:szCs w:val="22"/>
                <w:highlight w:val="white"/>
                <w:vertAlign w:val="superscript"/>
                <w:lang w:val="en-US" w:eastAsia="zh-CN" w:bidi="ar-SA"/>
              </w:rPr>
              <w:t>③</w:t>
            </w:r>
            <w:r>
              <w:rPr>
                <w:rFonts w:hint="eastAsia" w:ascii="黑体" w:hAnsi="黑体" w:eastAsia="黑体" w:cs="黑体"/>
                <w:kern w:val="2"/>
                <w:sz w:val="21"/>
                <w:szCs w:val="22"/>
                <w:highlight w:val="white"/>
                <w:lang w:val="en-US" w:eastAsia="zh-CN" w:bidi="ar-SA"/>
              </w:rPr>
              <w:t>），并满足《关于进一步加强我省公路水运建设项目履约人员管理有关事项的通知》（湘交基建规〔2019〕17号）的要求。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1670" w:type="dxa"/>
            <w:noWrap w:val="0"/>
            <w:vAlign w:val="center"/>
          </w:tcPr>
          <w:p>
            <w:pPr>
              <w:widowControl w:val="0"/>
              <w:spacing w:line="300" w:lineRule="auto"/>
              <w:jc w:val="center"/>
              <w:rPr>
                <w:rFonts w:ascii="Calibri" w:hAnsi="Calibri"/>
                <w:kern w:val="2"/>
                <w:sz w:val="21"/>
                <w:szCs w:val="21"/>
                <w:lang w:val="en-US" w:eastAsia="zh-CN" w:bidi="ar-SA"/>
              </w:rPr>
            </w:pPr>
            <w:r>
              <w:rPr>
                <w:rFonts w:hint="eastAsia" w:ascii="Calibri" w:hAnsi="Calibri"/>
                <w:kern w:val="2"/>
                <w:sz w:val="21"/>
                <w:szCs w:val="21"/>
                <w:highlight w:val="white"/>
                <w:lang w:val="en-US" w:eastAsia="zh-CN" w:bidi="ar-SA"/>
              </w:rPr>
              <w:t>项目总工</w:t>
            </w:r>
          </w:p>
        </w:tc>
        <w:tc>
          <w:tcPr>
            <w:tcW w:w="1559" w:type="dxa"/>
            <w:noWrap w:val="0"/>
            <w:vAlign w:val="center"/>
          </w:tcPr>
          <w:p>
            <w:pPr>
              <w:widowControl w:val="0"/>
              <w:adjustRightInd w:val="0"/>
              <w:snapToGrid w:val="0"/>
              <w:spacing w:line="300" w:lineRule="auto"/>
              <w:jc w:val="center"/>
              <w:rPr>
                <w:rFonts w:ascii="Calibri" w:hAnsi="Calibri"/>
                <w:kern w:val="2"/>
                <w:sz w:val="21"/>
                <w:szCs w:val="21"/>
                <w:highlight w:val="green"/>
                <w:lang w:val="en-US" w:eastAsia="zh-CN" w:bidi="ar-SA"/>
              </w:rPr>
            </w:pPr>
            <w:bookmarkStart w:id="26" w:name="EBe6d426fad63e474899b716d2877983b8"/>
            <w:r>
              <w:rPr>
                <w:rFonts w:hint="eastAsia" w:ascii="Calibri" w:hAnsi="Calibri"/>
                <w:color w:val="0000FF"/>
                <w:kern w:val="2"/>
                <w:sz w:val="21"/>
                <w:szCs w:val="21"/>
                <w:highlight w:val="white"/>
                <w:lang w:val="en-US" w:eastAsia="zh-CN" w:bidi="ar-SA"/>
              </w:rPr>
              <w:t>1</w:t>
            </w:r>
            <w:bookmarkEnd w:id="26"/>
          </w:p>
        </w:tc>
        <w:tc>
          <w:tcPr>
            <w:tcW w:w="2888" w:type="dxa"/>
            <w:noWrap w:val="0"/>
            <w:vAlign w:val="center"/>
          </w:tcPr>
          <w:p>
            <w:pPr>
              <w:widowControl w:val="0"/>
              <w:adjustRightInd w:val="0"/>
              <w:snapToGrid w:val="0"/>
              <w:spacing w:line="300" w:lineRule="auto"/>
              <w:jc w:val="both"/>
              <w:rPr>
                <w:rFonts w:ascii="Calibri" w:hAnsi="Calibri"/>
                <w:kern w:val="2"/>
                <w:sz w:val="21"/>
                <w:szCs w:val="21"/>
                <w:lang w:val="en-US" w:eastAsia="zh-CN" w:bidi="ar-SA"/>
              </w:rPr>
            </w:pPr>
            <w:r>
              <w:rPr>
                <w:rFonts w:hint="eastAsia" w:ascii="Calibri" w:hAnsi="Calibri"/>
                <w:kern w:val="2"/>
                <w:sz w:val="21"/>
                <w:szCs w:val="21"/>
                <w:highlight w:val="white"/>
                <w:lang w:val="en-US" w:eastAsia="zh-CN" w:bidi="ar-SA"/>
              </w:rPr>
              <w:t>（1）</w:t>
            </w:r>
            <w:bookmarkStart w:id="27" w:name="EB50a1895e8f394879b2ee0a88a1587e71"/>
            <w:r>
              <w:rPr>
                <w:rFonts w:hint="eastAsia" w:ascii="Calibri" w:hAnsi="Calibri"/>
                <w:color w:val="0000FF"/>
                <w:kern w:val="2"/>
                <w:sz w:val="21"/>
                <w:szCs w:val="21"/>
                <w:highlight w:val="white"/>
                <w:lang w:val="en-US" w:eastAsia="zh-CN" w:bidi="ar-SA"/>
              </w:rPr>
              <w:t>建筑工程相关专业[建筑工程相关专业职称包括：结构、给排水、暖通、电气等专业（本招标文件中所列“建筑工程相关专业”均作本条所释）。]或结构专业[结构专业包括：土木工程、工民建、结构、建筑施工、建筑工程等专业（本招标文件中所列“结构专业”均作本条所释）。]</w:t>
            </w:r>
            <w:bookmarkEnd w:id="27"/>
            <w:r>
              <w:rPr>
                <w:rFonts w:hint="eastAsia" w:ascii="Calibri" w:hAnsi="Calibri"/>
                <w:kern w:val="2"/>
                <w:sz w:val="21"/>
                <w:szCs w:val="21"/>
                <w:highlight w:val="white"/>
                <w:lang w:val="en-US" w:eastAsia="zh-CN" w:bidi="ar-SA"/>
              </w:rPr>
              <w:t>专业</w:t>
            </w:r>
            <w:bookmarkStart w:id="28" w:name="EB96b453e01c0a40f483dc9081dea2b041"/>
            <w:r>
              <w:rPr>
                <w:rFonts w:hint="eastAsia" w:ascii="Calibri" w:hAnsi="Calibri"/>
                <w:color w:val="0000FF"/>
                <w:kern w:val="2"/>
                <w:sz w:val="21"/>
                <w:szCs w:val="21"/>
                <w:highlight w:val="white"/>
                <w:lang w:val="en-US" w:eastAsia="zh-CN" w:bidi="ar-SA"/>
              </w:rPr>
              <w:t>高级工程师及以上</w:t>
            </w:r>
            <w:bookmarkEnd w:id="28"/>
            <w:r>
              <w:rPr>
                <w:rFonts w:hint="eastAsia" w:ascii="Calibri" w:hAnsi="Calibri"/>
                <w:kern w:val="2"/>
                <w:sz w:val="21"/>
                <w:szCs w:val="21"/>
                <w:highlight w:val="white"/>
                <w:lang w:val="en-US" w:eastAsia="zh-CN" w:bidi="ar-SA"/>
              </w:rPr>
              <w:t>技术职称；</w:t>
            </w:r>
          </w:p>
          <w:p>
            <w:pPr>
              <w:widowControl w:val="0"/>
              <w:adjustRightInd w:val="0"/>
              <w:snapToGrid w:val="0"/>
              <w:spacing w:line="300" w:lineRule="auto"/>
              <w:jc w:val="both"/>
              <w:rPr>
                <w:rFonts w:ascii="Calibri" w:hAnsi="Calibri"/>
                <w:kern w:val="2"/>
                <w:sz w:val="21"/>
                <w:szCs w:val="21"/>
                <w:lang w:val="en-US" w:eastAsia="zh-CN" w:bidi="ar-SA"/>
              </w:rPr>
            </w:pPr>
            <w:r>
              <w:rPr>
                <w:rFonts w:hint="eastAsia" w:ascii="Calibri" w:hAnsi="Calibri"/>
                <w:kern w:val="2"/>
                <w:sz w:val="21"/>
                <w:szCs w:val="21"/>
                <w:highlight w:val="white"/>
                <w:lang w:val="en-US" w:eastAsia="zh-CN" w:bidi="ar-SA"/>
              </w:rPr>
              <w:t>（2）具有交通运输部（或省级及以上交通运输主管部门）颁发的安全生产“三类人员”B类证书。</w:t>
            </w:r>
          </w:p>
          <w:p>
            <w:pPr>
              <w:widowControl w:val="0"/>
              <w:adjustRightInd w:val="0"/>
              <w:snapToGrid w:val="0"/>
              <w:spacing w:line="300" w:lineRule="auto"/>
              <w:jc w:val="both"/>
              <w:rPr>
                <w:rFonts w:ascii="Calibri" w:hAnsi="Calibri"/>
                <w:kern w:val="2"/>
                <w:sz w:val="21"/>
                <w:szCs w:val="21"/>
                <w:lang w:val="en-US" w:eastAsia="zh-CN" w:bidi="ar-SA"/>
              </w:rPr>
            </w:pPr>
            <w:r>
              <w:rPr>
                <w:rFonts w:hint="eastAsia" w:ascii="Calibri" w:hAnsi="Calibri"/>
                <w:kern w:val="2"/>
                <w:sz w:val="21"/>
                <w:szCs w:val="21"/>
                <w:highlight w:val="white"/>
                <w:lang w:val="en-US" w:eastAsia="zh-CN" w:bidi="ar-SA"/>
              </w:rPr>
              <w:t>（3）近</w:t>
            </w:r>
            <w:bookmarkStart w:id="29" w:name="EB39931869ec614e508ccb826765e8c26a"/>
            <w:r>
              <w:rPr>
                <w:rFonts w:hint="eastAsia" w:ascii="Calibri" w:hAnsi="Calibri"/>
                <w:color w:val="0000FF"/>
                <w:kern w:val="2"/>
                <w:sz w:val="21"/>
                <w:szCs w:val="21"/>
                <w:highlight w:val="white"/>
                <w:lang w:val="en-US" w:eastAsia="zh-CN" w:bidi="ar-SA"/>
              </w:rPr>
              <w:t>5（指投标文件递交截止之日前一日往前回溯 5 年）</w:t>
            </w:r>
            <w:bookmarkEnd w:id="29"/>
            <w:r>
              <w:rPr>
                <w:rFonts w:hint="eastAsia" w:ascii="Calibri" w:hAnsi="Calibri"/>
                <w:kern w:val="2"/>
                <w:sz w:val="21"/>
                <w:szCs w:val="21"/>
                <w:highlight w:val="white"/>
                <w:lang w:val="en-US" w:eastAsia="zh-CN" w:bidi="ar-SA"/>
              </w:rPr>
              <w:t>年内曾担任过</w:t>
            </w:r>
            <w:bookmarkStart w:id="30" w:name="EB9ce6f632b0374240b3e15511e3e087be"/>
            <w:r>
              <w:rPr>
                <w:rFonts w:hint="eastAsia" w:ascii="Calibri" w:hAnsi="Calibri"/>
                <w:color w:val="0000FF"/>
                <w:kern w:val="2"/>
                <w:sz w:val="21"/>
                <w:szCs w:val="21"/>
                <w:highlight w:val="white"/>
                <w:lang w:val="en-US" w:eastAsia="zh-CN" w:bidi="ar-SA"/>
              </w:rPr>
              <w:t>1个单个合同金额590万元及以上的公共建筑装修装饰施工项目或公共建筑改造施工</w:t>
            </w:r>
            <w:bookmarkEnd w:id="30"/>
            <w:r>
              <w:rPr>
                <w:rFonts w:hint="eastAsia" w:ascii="Calibri" w:hAnsi="Calibri"/>
                <w:kern w:val="2"/>
                <w:sz w:val="21"/>
                <w:szCs w:val="21"/>
                <w:highlight w:val="white"/>
                <w:lang w:val="en-US" w:eastAsia="zh-CN" w:bidi="ar-SA"/>
              </w:rPr>
              <w:t>工程的项目总工（技术负责人）或项目副总工或项目经理或项目副经理职务。</w:t>
            </w:r>
          </w:p>
        </w:tc>
        <w:tc>
          <w:tcPr>
            <w:tcW w:w="2887" w:type="dxa"/>
            <w:vMerge w:val="continue"/>
            <w:noWrap w:val="0"/>
            <w:vAlign w:val="center"/>
          </w:tcPr>
          <w:p>
            <w:pPr>
              <w:widowControl w:val="0"/>
              <w:adjustRightInd w:val="0"/>
              <w:snapToGrid w:val="0"/>
              <w:spacing w:line="300" w:lineRule="auto"/>
              <w:jc w:val="both"/>
              <w:rPr>
                <w:rFonts w:ascii="Calibri" w:hAnsi="Calibri"/>
                <w:kern w:val="2"/>
                <w:sz w:val="21"/>
                <w:szCs w:val="21"/>
                <w:lang w:val="en-US" w:eastAsia="zh-CN" w:bidi="ar-SA"/>
              </w:rPr>
            </w:pPr>
          </w:p>
        </w:tc>
      </w:tr>
    </w:tbl>
    <w:p>
      <w:pPr>
        <w:pStyle w:val="7"/>
        <w:spacing w:line="240" w:lineRule="auto"/>
        <w:ind w:firstLine="0"/>
        <w:jc w:val="both"/>
        <w:rPr>
          <w:szCs w:val="18"/>
          <w:highlight w:val="yellow"/>
        </w:rPr>
      </w:pPr>
      <w:r>
        <w:rPr>
          <w:rFonts w:hint="eastAsia" w:ascii="宋体" w:hAnsi="宋体"/>
          <w:szCs w:val="18"/>
          <w:highlight w:val="white"/>
        </w:rPr>
        <w:t>①</w:t>
      </w:r>
      <w:r>
        <w:rPr>
          <w:rFonts w:hint="eastAsia"/>
          <w:szCs w:val="18"/>
          <w:highlight w:val="white"/>
        </w:rPr>
        <w:t>对项目经理和项目总工的具体资格要求由招标人在满足国家相关法律法规前提下，根据招标项目具体特点和实际情况确定，但不得设置过高的资格条件。</w:t>
      </w:r>
    </w:p>
    <w:p>
      <w:pPr>
        <w:pStyle w:val="7"/>
        <w:snapToGrid/>
        <w:spacing w:line="240" w:lineRule="auto"/>
        <w:ind w:firstLine="0"/>
        <w:jc w:val="both"/>
        <w:rPr>
          <w:lang w:val="en-US"/>
        </w:rPr>
      </w:pPr>
      <w:r>
        <w:rPr>
          <w:rFonts w:hint="eastAsia" w:ascii="宋体" w:hAnsi="宋体"/>
          <w:highlight w:val="white"/>
        </w:rPr>
        <w:t>②</w:t>
      </w:r>
      <w:r>
        <w:rPr>
          <w:rFonts w:hint="eastAsia" w:ascii="黑体" w:hAnsi="黑体" w:eastAsia="黑体"/>
          <w:szCs w:val="18"/>
          <w:highlight w:val="white"/>
          <w:lang w:val="en-US"/>
        </w:rPr>
        <w:t>对项目经理和项目总工的个人经历（业绩）应要求具备有至少1个公路养护工程项目相关经历。</w:t>
      </w:r>
    </w:p>
    <w:p>
      <w:pPr>
        <w:rPr>
          <w:rFonts w:hint="eastAsia"/>
          <w:highlight w:val="yellow"/>
        </w:rPr>
      </w:pPr>
      <w:r>
        <w:rPr>
          <w:rFonts w:hint="eastAsia" w:ascii="宋体" w:hAnsi="宋体"/>
          <w:highlight w:val="white"/>
        </w:rPr>
        <w:t>③</w:t>
      </w:r>
      <w:r>
        <w:rPr>
          <w:rFonts w:hint="eastAsia" w:ascii="黑体" w:hAnsi="黑体" w:eastAsia="黑体"/>
          <w:szCs w:val="18"/>
          <w:highlight w:val="white"/>
        </w:rPr>
        <w:t>中标人拟任的项目经理和项目总工在其他项目上任职的，在与招标人签订合同前撤离该项目，否则招标人有权取消其中标资格。</w:t>
      </w:r>
    </w:p>
    <w:p>
      <w:pPr>
        <w:rPr>
          <w:rFonts w:hint="eastAsia"/>
          <w:highlight w:val="cyan"/>
        </w:rPr>
      </w:pPr>
      <w:bookmarkStart w:id="31" w:name="EB928ee457f7a34f028757e7c3a6662802"/>
      <w:r>
        <w:rPr>
          <w:rFonts w:hint="eastAsia"/>
          <w:color w:val="000080"/>
          <w:sz w:val="20"/>
          <w:highlight w:val="white"/>
        </w:rPr>
        <w:t xml:space="preserve"> </w:t>
      </w:r>
      <w:bookmarkEnd w:id="31"/>
    </w:p>
    <w:p>
      <w:pPr>
        <w:rPr>
          <w:highlight w:val="yellow"/>
        </w:rPr>
      </w:pPr>
      <w:bookmarkStart w:id="32" w:name="EBe5fa94e9412d4286bc27c37b1aaa5126"/>
      <w:r>
        <w:rPr>
          <w:rFonts w:hint="eastAsia"/>
          <w:color w:val="000080"/>
          <w:sz w:val="20"/>
          <w:highlight w:val="white"/>
        </w:rPr>
        <w:t xml:space="preserve"> </w:t>
      </w:r>
      <w:bookmarkEnd w:id="32"/>
      <w:bookmarkStart w:id="33" w:name="EB1faa12a905d54c58b487d2be62cdbfb2"/>
      <w:r>
        <w:rPr>
          <w:rFonts w:hint="eastAsia"/>
          <w:color w:val="000080"/>
          <w:sz w:val="20"/>
          <w:highlight w:val="white"/>
        </w:rPr>
        <w:t xml:space="preserve"> </w:t>
      </w:r>
      <w:bookmarkEnd w:id="33"/>
    </w:p>
    <w:p>
      <w:pPr>
        <w:pStyle w:val="5"/>
        <w:pageBreakBefore/>
        <w:rPr>
          <w:szCs w:val="28"/>
        </w:rPr>
      </w:pPr>
      <w:r>
        <w:rPr>
          <w:rStyle w:val="49"/>
          <w:rFonts w:hint="eastAsia"/>
          <w:b/>
          <w:highlight w:val="white"/>
        </w:rPr>
        <w:t>附录6</w:t>
      </w:r>
      <w:r>
        <w:rPr>
          <w:rStyle w:val="49"/>
          <w:b/>
          <w:highlight w:val="white"/>
        </w:rPr>
        <w:t xml:space="preserve">  </w:t>
      </w:r>
      <w:r>
        <w:rPr>
          <w:rStyle w:val="49"/>
          <w:rFonts w:hint="eastAsia"/>
          <w:b/>
          <w:highlight w:val="white"/>
        </w:rPr>
        <w:t>资格审查条件（其他管理和技术人员最低要求）①</w:t>
      </w:r>
    </w:p>
    <w:tbl>
      <w:tblPr>
        <w:tblStyle w:val="17"/>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331"/>
        <w:gridCol w:w="5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26" w:type="dxa"/>
            <w:noWrap w:val="0"/>
            <w:vAlign w:val="center"/>
          </w:tcPr>
          <w:p>
            <w:pPr>
              <w:widowControl w:val="0"/>
              <w:adjustRightInd w:val="0"/>
              <w:snapToGrid w:val="0"/>
              <w:spacing w:line="400" w:lineRule="atLeast"/>
              <w:jc w:val="center"/>
              <w:rPr>
                <w:rFonts w:ascii="Calibri" w:hAnsi="Calibri"/>
                <w:kern w:val="2"/>
                <w:sz w:val="24"/>
                <w:szCs w:val="22"/>
                <w:lang w:val="en-US" w:eastAsia="zh-CN" w:bidi="ar-SA"/>
              </w:rPr>
            </w:pPr>
            <w:r>
              <w:rPr>
                <w:rFonts w:hint="eastAsia" w:ascii="Calibri" w:hAnsi="Calibri"/>
                <w:kern w:val="2"/>
                <w:sz w:val="24"/>
                <w:szCs w:val="22"/>
                <w:highlight w:val="white"/>
                <w:lang w:val="en-US" w:eastAsia="zh-CN" w:bidi="ar-SA"/>
              </w:rPr>
              <w:t>人</w:t>
            </w:r>
            <w:r>
              <w:rPr>
                <w:rFonts w:ascii="Calibri" w:hAnsi="Calibri"/>
                <w:kern w:val="2"/>
                <w:sz w:val="24"/>
                <w:szCs w:val="22"/>
                <w:highlight w:val="white"/>
                <w:lang w:val="en-US" w:eastAsia="zh-CN" w:bidi="ar-SA"/>
              </w:rPr>
              <w:t xml:space="preserve">  </w:t>
            </w:r>
            <w:r>
              <w:rPr>
                <w:rFonts w:hint="eastAsia" w:ascii="Calibri" w:hAnsi="Calibri"/>
                <w:kern w:val="2"/>
                <w:sz w:val="24"/>
                <w:szCs w:val="22"/>
                <w:highlight w:val="white"/>
                <w:lang w:val="en-US" w:eastAsia="zh-CN" w:bidi="ar-SA"/>
              </w:rPr>
              <w:t>员</w:t>
            </w:r>
          </w:p>
        </w:tc>
        <w:tc>
          <w:tcPr>
            <w:tcW w:w="1331" w:type="dxa"/>
            <w:noWrap w:val="0"/>
            <w:vAlign w:val="center"/>
          </w:tcPr>
          <w:p>
            <w:pPr>
              <w:widowControl w:val="0"/>
              <w:adjustRightInd w:val="0"/>
              <w:snapToGrid w:val="0"/>
              <w:spacing w:line="400" w:lineRule="atLeast"/>
              <w:jc w:val="center"/>
              <w:rPr>
                <w:rFonts w:ascii="Calibri" w:hAnsi="Calibri"/>
                <w:kern w:val="2"/>
                <w:sz w:val="24"/>
                <w:szCs w:val="22"/>
                <w:lang w:val="en-US" w:eastAsia="zh-CN" w:bidi="ar-SA"/>
              </w:rPr>
            </w:pPr>
            <w:r>
              <w:rPr>
                <w:rFonts w:hint="eastAsia" w:ascii="Calibri" w:hAnsi="Calibri"/>
                <w:kern w:val="2"/>
                <w:sz w:val="24"/>
                <w:szCs w:val="22"/>
                <w:highlight w:val="white"/>
                <w:lang w:val="en-US" w:eastAsia="zh-CN" w:bidi="ar-SA"/>
              </w:rPr>
              <w:t>数</w:t>
            </w:r>
            <w:r>
              <w:rPr>
                <w:rFonts w:ascii="Calibri" w:hAnsi="Calibri"/>
                <w:kern w:val="2"/>
                <w:sz w:val="24"/>
                <w:szCs w:val="22"/>
                <w:highlight w:val="white"/>
                <w:lang w:val="en-US" w:eastAsia="zh-CN" w:bidi="ar-SA"/>
              </w:rPr>
              <w:t xml:space="preserve">  </w:t>
            </w:r>
            <w:r>
              <w:rPr>
                <w:rFonts w:hint="eastAsia" w:ascii="Calibri" w:hAnsi="Calibri"/>
                <w:kern w:val="2"/>
                <w:sz w:val="24"/>
                <w:szCs w:val="22"/>
                <w:highlight w:val="white"/>
                <w:lang w:val="en-US" w:eastAsia="zh-CN" w:bidi="ar-SA"/>
              </w:rPr>
              <w:t>量</w:t>
            </w:r>
          </w:p>
        </w:tc>
        <w:tc>
          <w:tcPr>
            <w:tcW w:w="5847" w:type="dxa"/>
            <w:noWrap w:val="0"/>
            <w:vAlign w:val="center"/>
          </w:tcPr>
          <w:p>
            <w:pPr>
              <w:widowControl w:val="0"/>
              <w:adjustRightInd w:val="0"/>
              <w:snapToGrid w:val="0"/>
              <w:spacing w:line="400" w:lineRule="atLeast"/>
              <w:jc w:val="center"/>
              <w:rPr>
                <w:rFonts w:ascii="Calibri" w:hAnsi="Calibri"/>
                <w:kern w:val="2"/>
                <w:sz w:val="24"/>
                <w:szCs w:val="22"/>
                <w:lang w:val="en-US" w:eastAsia="zh-CN" w:bidi="ar-SA"/>
              </w:rPr>
            </w:pPr>
            <w:r>
              <w:rPr>
                <w:rFonts w:hint="eastAsia" w:ascii="Calibri" w:hAnsi="Calibri"/>
                <w:kern w:val="2"/>
                <w:sz w:val="24"/>
                <w:szCs w:val="22"/>
                <w:highlight w:val="white"/>
                <w:lang w:val="en-US" w:eastAsia="zh-CN" w:bidi="ar-SA"/>
              </w:rPr>
              <w:t>资</w:t>
            </w:r>
            <w:r>
              <w:rPr>
                <w:rFonts w:ascii="Calibri" w:hAnsi="Calibri"/>
                <w:kern w:val="2"/>
                <w:sz w:val="24"/>
                <w:szCs w:val="22"/>
                <w:highlight w:val="white"/>
                <w:lang w:val="en-US" w:eastAsia="zh-CN" w:bidi="ar-SA"/>
              </w:rPr>
              <w:t xml:space="preserve"> </w:t>
            </w:r>
            <w:r>
              <w:rPr>
                <w:rFonts w:hint="eastAsia" w:ascii="Calibri" w:hAnsi="Calibri"/>
                <w:kern w:val="2"/>
                <w:sz w:val="24"/>
                <w:szCs w:val="22"/>
                <w:highlight w:val="white"/>
                <w:lang w:val="en-US" w:eastAsia="zh-CN" w:bidi="ar-SA"/>
              </w:rPr>
              <w:t>格</w:t>
            </w:r>
            <w:r>
              <w:rPr>
                <w:rFonts w:ascii="Calibri" w:hAnsi="Calibri"/>
                <w:kern w:val="2"/>
                <w:sz w:val="24"/>
                <w:szCs w:val="22"/>
                <w:highlight w:val="white"/>
                <w:lang w:val="en-US" w:eastAsia="zh-CN" w:bidi="ar-SA"/>
              </w:rPr>
              <w:t xml:space="preserve"> </w:t>
            </w:r>
            <w:r>
              <w:rPr>
                <w:rFonts w:hint="eastAsia" w:ascii="Calibri" w:hAnsi="Calibri"/>
                <w:kern w:val="2"/>
                <w:sz w:val="24"/>
                <w:szCs w:val="22"/>
                <w:highlight w:val="white"/>
                <w:lang w:val="en-US" w:eastAsia="zh-CN" w:bidi="ar-SA"/>
              </w:rPr>
              <w:t>要</w:t>
            </w:r>
            <w:r>
              <w:rPr>
                <w:rFonts w:ascii="Calibri" w:hAnsi="Calibri"/>
                <w:kern w:val="2"/>
                <w:sz w:val="24"/>
                <w:szCs w:val="22"/>
                <w:highlight w:val="white"/>
                <w:lang w:val="en-US" w:eastAsia="zh-CN" w:bidi="ar-SA"/>
              </w:rPr>
              <w:t xml:space="preserve"> </w:t>
            </w:r>
            <w:r>
              <w:rPr>
                <w:rFonts w:hint="eastAsia" w:ascii="Calibri" w:hAnsi="Calibri"/>
                <w:kern w:val="2"/>
                <w:sz w:val="24"/>
                <w:szCs w:val="22"/>
                <w:highlight w:val="white"/>
                <w:lang w:val="en-US" w:eastAsia="zh-CN" w:bidi="ar-SA"/>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26" w:type="dxa"/>
            <w:noWrap w:val="0"/>
            <w:vAlign w:val="center"/>
          </w:tcPr>
          <w:p>
            <w:pPr>
              <w:widowControl w:val="0"/>
              <w:spacing w:line="400" w:lineRule="atLeast"/>
              <w:jc w:val="center"/>
              <w:rPr>
                <w:rFonts w:ascii="Calibri" w:hAnsi="Calibri"/>
                <w:kern w:val="2"/>
                <w:sz w:val="24"/>
                <w:szCs w:val="22"/>
                <w:highlight w:val="green"/>
                <w:lang w:val="en-US" w:eastAsia="zh-CN" w:bidi="ar-SA"/>
              </w:rPr>
            </w:pPr>
            <w:bookmarkStart w:id="34" w:name="EB61e51215ac31479988a85227336d8b1a"/>
            <w:r>
              <w:rPr>
                <w:rFonts w:hint="eastAsia" w:ascii="Calibri" w:hAnsi="Calibri"/>
                <w:color w:val="0000FF"/>
                <w:kern w:val="2"/>
                <w:sz w:val="24"/>
                <w:szCs w:val="22"/>
                <w:highlight w:val="white"/>
                <w:lang w:val="en-US" w:eastAsia="zh-CN" w:bidi="ar-SA"/>
              </w:rPr>
              <w:t>/</w:t>
            </w:r>
            <w:bookmarkEnd w:id="34"/>
          </w:p>
        </w:tc>
        <w:tc>
          <w:tcPr>
            <w:tcW w:w="1331" w:type="dxa"/>
            <w:noWrap w:val="0"/>
            <w:vAlign w:val="center"/>
          </w:tcPr>
          <w:p>
            <w:pPr>
              <w:widowControl w:val="0"/>
              <w:jc w:val="center"/>
              <w:rPr>
                <w:rFonts w:ascii="Calibri" w:hAnsi="Calibri"/>
                <w:kern w:val="2"/>
                <w:sz w:val="21"/>
                <w:szCs w:val="22"/>
                <w:highlight w:val="green"/>
                <w:lang w:val="en-US" w:eastAsia="zh-CN" w:bidi="ar-SA"/>
              </w:rPr>
            </w:pPr>
            <w:bookmarkStart w:id="35" w:name="EBb497a8398c5541ecb14ad446fd91aadf"/>
            <w:r>
              <w:rPr>
                <w:rFonts w:hint="eastAsia" w:ascii="Calibri" w:hAnsi="Calibri"/>
                <w:color w:val="0000FF"/>
                <w:kern w:val="2"/>
                <w:sz w:val="21"/>
                <w:szCs w:val="22"/>
                <w:highlight w:val="white"/>
                <w:lang w:val="en-US" w:eastAsia="zh-CN" w:bidi="ar-SA"/>
              </w:rPr>
              <w:t>/</w:t>
            </w:r>
            <w:bookmarkEnd w:id="35"/>
          </w:p>
        </w:tc>
        <w:tc>
          <w:tcPr>
            <w:tcW w:w="5847" w:type="dxa"/>
            <w:noWrap w:val="0"/>
            <w:vAlign w:val="center"/>
          </w:tcPr>
          <w:p>
            <w:pPr>
              <w:widowControl w:val="0"/>
              <w:spacing w:line="400" w:lineRule="atLeast"/>
              <w:jc w:val="both"/>
              <w:rPr>
                <w:rFonts w:ascii="Calibri" w:hAnsi="Calibri"/>
                <w:kern w:val="2"/>
                <w:sz w:val="24"/>
                <w:szCs w:val="22"/>
                <w:highlight w:val="green"/>
                <w:lang w:val="en-US" w:eastAsia="zh-CN" w:bidi="ar-SA"/>
              </w:rPr>
            </w:pPr>
            <w:bookmarkStart w:id="36" w:name="EB8da59988045b42dea4322a1f1a1b75c2"/>
            <w:r>
              <w:rPr>
                <w:rFonts w:hint="eastAsia" w:ascii="Calibri" w:hAnsi="Calibri"/>
                <w:color w:val="0000FF"/>
                <w:kern w:val="2"/>
                <w:sz w:val="24"/>
                <w:szCs w:val="22"/>
                <w:highlight w:val="white"/>
                <w:lang w:val="en-US" w:eastAsia="zh-CN" w:bidi="ar-SA"/>
              </w:rPr>
              <w:t>/</w:t>
            </w:r>
            <w:bookmarkEnd w:id="36"/>
          </w:p>
        </w:tc>
      </w:tr>
    </w:tbl>
    <w:p>
      <w:pPr>
        <w:rPr>
          <w:rFonts w:hint="eastAsia"/>
          <w:highlight w:val="yellow"/>
        </w:rPr>
      </w:pPr>
      <w:bookmarkStart w:id="37" w:name="EB74e89bc4e0fa48b4947a04e22c9914a3"/>
      <w:bookmarkEnd w:id="37"/>
      <w:r>
        <w:rPr>
          <w:rFonts w:hint="eastAsia" w:ascii="宋体" w:hAnsi="宋体"/>
          <w:szCs w:val="18"/>
          <w:highlight w:val="white"/>
        </w:rPr>
        <w:t>①本表</w:t>
      </w:r>
      <w:r>
        <w:rPr>
          <w:rFonts w:hint="eastAsia"/>
          <w:szCs w:val="18"/>
          <w:highlight w:val="white"/>
        </w:rPr>
        <w:t>仅适用于特别复杂的特大桥梁和特长隧道项目主体工程的结构性养护工程。对其他管理和技术人员</w:t>
      </w:r>
      <w:r>
        <w:rPr>
          <w:rFonts w:hint="eastAsia"/>
          <w:highlight w:val="white"/>
        </w:rPr>
        <w:t>（例如</w:t>
      </w:r>
      <w:r>
        <w:rPr>
          <w:highlight w:val="white"/>
        </w:rPr>
        <w:t>项目副经理、专业工程师等</w:t>
      </w:r>
      <w:r>
        <w:rPr>
          <w:rFonts w:hint="eastAsia"/>
          <w:highlight w:val="white"/>
        </w:rPr>
        <w:t>）</w:t>
      </w:r>
      <w:r>
        <w:rPr>
          <w:rFonts w:hint="eastAsia"/>
          <w:szCs w:val="18"/>
          <w:highlight w:val="white"/>
        </w:rPr>
        <w:t>的最低要求，由招标人在满足国家相关法律法规前提下，根据招标项目具体特点和实际情况确定，但不得设置过高的资格条件。</w:t>
      </w:r>
    </w:p>
    <w:p>
      <w:pPr>
        <w:rPr>
          <w:rFonts w:hint="eastAsia"/>
          <w:color w:val="000080"/>
          <w:sz w:val="20"/>
          <w:highlight w:val="white"/>
        </w:rPr>
      </w:pPr>
      <w:bookmarkStart w:id="38" w:name="EB96c5f699b38349d4a0616bd0e9e1c668"/>
      <w:r>
        <w:rPr>
          <w:rFonts w:hint="eastAsia"/>
          <w:color w:val="000080"/>
          <w:sz w:val="20"/>
          <w:highlight w:val="white"/>
        </w:rPr>
        <w:t xml:space="preserve"> </w:t>
      </w:r>
      <w:bookmarkEnd w:id="38"/>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szCs w:val="28"/>
        </w:rPr>
      </w:pPr>
      <w:r>
        <w:rPr>
          <w:rStyle w:val="49"/>
          <w:rFonts w:hint="eastAsia"/>
          <w:b/>
          <w:szCs w:val="18"/>
          <w:highlight w:val="white"/>
        </w:rPr>
        <w:t>附录7</w:t>
      </w:r>
      <w:r>
        <w:rPr>
          <w:rStyle w:val="49"/>
          <w:b/>
          <w:szCs w:val="18"/>
          <w:highlight w:val="white"/>
        </w:rPr>
        <w:t xml:space="preserve">  </w:t>
      </w:r>
      <w:r>
        <w:rPr>
          <w:rStyle w:val="49"/>
          <w:rFonts w:hint="eastAsia"/>
          <w:b/>
          <w:szCs w:val="18"/>
          <w:highlight w:val="white"/>
        </w:rPr>
        <w:t>资格审查条件（主要机械设备和试验检测设备最低要求）①</w:t>
      </w:r>
    </w:p>
    <w:tbl>
      <w:tblPr>
        <w:tblStyle w:val="17"/>
        <w:tblW w:w="8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3224"/>
        <w:gridCol w:w="1197"/>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04" w:type="dxa"/>
            <w:noWrap w:val="0"/>
            <w:vAlign w:val="center"/>
          </w:tcPr>
          <w:p>
            <w:pPr>
              <w:widowControl w:val="0"/>
              <w:adjustRightInd w:val="0"/>
              <w:snapToGrid w:val="0"/>
              <w:spacing w:line="400" w:lineRule="atLeast"/>
              <w:jc w:val="center"/>
              <w:rPr>
                <w:rFonts w:ascii="Calibri" w:hAnsi="Calibri"/>
                <w:kern w:val="2"/>
                <w:sz w:val="24"/>
                <w:szCs w:val="22"/>
                <w:lang w:val="en-US" w:eastAsia="zh-CN" w:bidi="ar-SA"/>
              </w:rPr>
            </w:pPr>
            <w:r>
              <w:rPr>
                <w:rFonts w:hint="eastAsia" w:ascii="Calibri" w:hAnsi="Calibri"/>
                <w:kern w:val="2"/>
                <w:sz w:val="24"/>
                <w:szCs w:val="22"/>
                <w:highlight w:val="white"/>
                <w:lang w:val="en-US" w:eastAsia="zh-CN" w:bidi="ar-SA"/>
              </w:rPr>
              <w:t>设备名称</w:t>
            </w:r>
          </w:p>
        </w:tc>
        <w:tc>
          <w:tcPr>
            <w:tcW w:w="3224" w:type="dxa"/>
            <w:noWrap w:val="0"/>
            <w:vAlign w:val="center"/>
          </w:tcPr>
          <w:p>
            <w:pPr>
              <w:widowControl w:val="0"/>
              <w:adjustRightInd w:val="0"/>
              <w:snapToGrid w:val="0"/>
              <w:spacing w:line="400" w:lineRule="atLeast"/>
              <w:jc w:val="center"/>
              <w:rPr>
                <w:rFonts w:ascii="Calibri" w:hAnsi="Calibri"/>
                <w:kern w:val="2"/>
                <w:sz w:val="24"/>
                <w:szCs w:val="22"/>
                <w:lang w:val="en-US" w:eastAsia="zh-CN" w:bidi="ar-SA"/>
              </w:rPr>
            </w:pPr>
            <w:r>
              <w:rPr>
                <w:rFonts w:hint="eastAsia" w:ascii="Calibri" w:hAnsi="Calibri"/>
                <w:kern w:val="2"/>
                <w:sz w:val="24"/>
                <w:szCs w:val="22"/>
                <w:highlight w:val="white"/>
                <w:lang w:val="en-US" w:eastAsia="zh-CN" w:bidi="ar-SA"/>
              </w:rPr>
              <w:t>规格、功率及容量</w:t>
            </w:r>
          </w:p>
        </w:tc>
        <w:tc>
          <w:tcPr>
            <w:tcW w:w="1197" w:type="dxa"/>
            <w:noWrap w:val="0"/>
            <w:vAlign w:val="center"/>
          </w:tcPr>
          <w:p>
            <w:pPr>
              <w:widowControl w:val="0"/>
              <w:adjustRightInd w:val="0"/>
              <w:snapToGrid w:val="0"/>
              <w:spacing w:line="400" w:lineRule="atLeast"/>
              <w:jc w:val="center"/>
              <w:rPr>
                <w:rFonts w:ascii="Calibri" w:hAnsi="Calibri"/>
                <w:kern w:val="2"/>
                <w:sz w:val="24"/>
                <w:szCs w:val="22"/>
                <w:lang w:val="en-US" w:eastAsia="zh-CN" w:bidi="ar-SA"/>
              </w:rPr>
            </w:pPr>
            <w:r>
              <w:rPr>
                <w:rFonts w:hint="eastAsia" w:ascii="Calibri" w:hAnsi="Calibri"/>
                <w:kern w:val="2"/>
                <w:sz w:val="24"/>
                <w:szCs w:val="22"/>
                <w:highlight w:val="white"/>
                <w:lang w:val="en-US" w:eastAsia="zh-CN" w:bidi="ar-SA"/>
              </w:rPr>
              <w:t>单位</w:t>
            </w:r>
          </w:p>
        </w:tc>
        <w:tc>
          <w:tcPr>
            <w:tcW w:w="2371" w:type="dxa"/>
            <w:noWrap w:val="0"/>
            <w:vAlign w:val="center"/>
          </w:tcPr>
          <w:p>
            <w:pPr>
              <w:widowControl w:val="0"/>
              <w:adjustRightInd w:val="0"/>
              <w:snapToGrid w:val="0"/>
              <w:spacing w:line="400" w:lineRule="atLeast"/>
              <w:jc w:val="center"/>
              <w:rPr>
                <w:rFonts w:ascii="Calibri" w:hAnsi="Calibri"/>
                <w:kern w:val="2"/>
                <w:sz w:val="24"/>
                <w:szCs w:val="22"/>
                <w:lang w:val="en-US" w:eastAsia="zh-CN" w:bidi="ar-SA"/>
              </w:rPr>
            </w:pPr>
            <w:r>
              <w:rPr>
                <w:rFonts w:hint="eastAsia" w:ascii="Calibri" w:hAnsi="Calibri"/>
                <w:kern w:val="2"/>
                <w:sz w:val="24"/>
                <w:szCs w:val="22"/>
                <w:highlight w:val="white"/>
                <w:lang w:val="en-US" w:eastAsia="zh-CN" w:bidi="ar-SA"/>
              </w:rPr>
              <w:t>最低数量要求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04" w:type="dxa"/>
            <w:noWrap w:val="0"/>
            <w:vAlign w:val="center"/>
          </w:tcPr>
          <w:p>
            <w:pPr>
              <w:widowControl w:val="0"/>
              <w:adjustRightInd w:val="0"/>
              <w:snapToGrid w:val="0"/>
              <w:spacing w:line="400" w:lineRule="atLeast"/>
              <w:jc w:val="center"/>
              <w:rPr>
                <w:rFonts w:ascii="Calibri" w:hAnsi="Calibri"/>
                <w:kern w:val="2"/>
                <w:sz w:val="24"/>
                <w:szCs w:val="22"/>
                <w:highlight w:val="green"/>
                <w:lang w:val="en-US" w:eastAsia="zh-CN" w:bidi="ar-SA"/>
              </w:rPr>
            </w:pPr>
            <w:bookmarkStart w:id="39" w:name="EB06020aaff7854976acf72705813416d8"/>
            <w:r>
              <w:rPr>
                <w:rFonts w:hint="eastAsia" w:ascii="Calibri" w:hAnsi="Calibri"/>
                <w:color w:val="0000FF"/>
                <w:kern w:val="2"/>
                <w:sz w:val="24"/>
                <w:szCs w:val="22"/>
                <w:highlight w:val="white"/>
                <w:lang w:val="en-US" w:eastAsia="zh-CN" w:bidi="ar-SA"/>
              </w:rPr>
              <w:t>/</w:t>
            </w:r>
            <w:bookmarkEnd w:id="39"/>
          </w:p>
        </w:tc>
        <w:tc>
          <w:tcPr>
            <w:tcW w:w="3224" w:type="dxa"/>
            <w:noWrap w:val="0"/>
            <w:vAlign w:val="center"/>
          </w:tcPr>
          <w:p>
            <w:pPr>
              <w:widowControl w:val="0"/>
              <w:spacing w:line="400" w:lineRule="atLeast"/>
              <w:jc w:val="both"/>
              <w:rPr>
                <w:rFonts w:ascii="Calibri" w:hAnsi="Calibri"/>
                <w:kern w:val="2"/>
                <w:sz w:val="24"/>
                <w:szCs w:val="22"/>
                <w:highlight w:val="green"/>
                <w:lang w:val="en-US" w:eastAsia="zh-CN" w:bidi="ar-SA"/>
              </w:rPr>
            </w:pPr>
            <w:bookmarkStart w:id="40" w:name="EBeba88c1ef6d94890b3b4f68e251592e4"/>
            <w:r>
              <w:rPr>
                <w:rFonts w:hint="eastAsia" w:ascii="Calibri" w:hAnsi="Calibri"/>
                <w:color w:val="0000FF"/>
                <w:kern w:val="2"/>
                <w:sz w:val="24"/>
                <w:szCs w:val="22"/>
                <w:highlight w:val="white"/>
                <w:lang w:val="en-US" w:eastAsia="zh-CN" w:bidi="ar-SA"/>
              </w:rPr>
              <w:t>/</w:t>
            </w:r>
            <w:bookmarkEnd w:id="40"/>
          </w:p>
        </w:tc>
        <w:tc>
          <w:tcPr>
            <w:tcW w:w="1197" w:type="dxa"/>
            <w:noWrap w:val="0"/>
            <w:vAlign w:val="center"/>
          </w:tcPr>
          <w:p>
            <w:pPr>
              <w:widowControl w:val="0"/>
              <w:jc w:val="center"/>
              <w:rPr>
                <w:rFonts w:ascii="Calibri" w:hAnsi="Calibri"/>
                <w:kern w:val="2"/>
                <w:sz w:val="21"/>
                <w:szCs w:val="22"/>
                <w:highlight w:val="green"/>
                <w:lang w:val="en-US" w:eastAsia="zh-CN" w:bidi="ar-SA"/>
              </w:rPr>
            </w:pPr>
            <w:bookmarkStart w:id="41" w:name="EBdc7ddd943b1444fdb27f73a84ea03d74"/>
            <w:r>
              <w:rPr>
                <w:rFonts w:hint="eastAsia" w:ascii="Calibri" w:hAnsi="Calibri"/>
                <w:color w:val="0000FF"/>
                <w:kern w:val="2"/>
                <w:sz w:val="21"/>
                <w:szCs w:val="22"/>
                <w:highlight w:val="white"/>
                <w:lang w:val="en-US" w:eastAsia="zh-CN" w:bidi="ar-SA"/>
              </w:rPr>
              <w:t>/</w:t>
            </w:r>
            <w:bookmarkEnd w:id="41"/>
          </w:p>
        </w:tc>
        <w:tc>
          <w:tcPr>
            <w:tcW w:w="2371" w:type="dxa"/>
            <w:noWrap w:val="0"/>
            <w:vAlign w:val="center"/>
          </w:tcPr>
          <w:p>
            <w:pPr>
              <w:widowControl w:val="0"/>
              <w:spacing w:line="400" w:lineRule="atLeast"/>
              <w:jc w:val="both"/>
              <w:rPr>
                <w:rFonts w:ascii="Calibri" w:hAnsi="Calibri"/>
                <w:kern w:val="2"/>
                <w:sz w:val="24"/>
                <w:szCs w:val="22"/>
                <w:highlight w:val="green"/>
                <w:lang w:val="en-US" w:eastAsia="zh-CN" w:bidi="ar-SA"/>
              </w:rPr>
            </w:pPr>
            <w:bookmarkStart w:id="42" w:name="EB369b253ea2e24d17ae5f946ae214cdc9"/>
            <w:r>
              <w:rPr>
                <w:rFonts w:hint="eastAsia" w:ascii="Calibri" w:hAnsi="Calibri"/>
                <w:color w:val="0000FF"/>
                <w:kern w:val="2"/>
                <w:sz w:val="24"/>
                <w:szCs w:val="22"/>
                <w:highlight w:val="white"/>
                <w:lang w:val="en-US" w:eastAsia="zh-CN" w:bidi="ar-SA"/>
              </w:rPr>
              <w:t>/</w:t>
            </w:r>
            <w:bookmarkEnd w:id="42"/>
          </w:p>
        </w:tc>
      </w:tr>
    </w:tbl>
    <w:p>
      <w:pPr>
        <w:rPr>
          <w:highlight w:val="cyan"/>
        </w:rPr>
      </w:pPr>
      <w:bookmarkStart w:id="43" w:name="EB3971d6ddeeb243598c291357672d4b7e"/>
      <w:bookmarkEnd w:id="43"/>
      <w:r>
        <w:rPr>
          <w:rFonts w:hint="eastAsia" w:ascii="宋体" w:hAnsi="宋体"/>
          <w:szCs w:val="18"/>
          <w:highlight w:val="white"/>
        </w:rPr>
        <w:t>①本表</w:t>
      </w:r>
      <w:r>
        <w:rPr>
          <w:rFonts w:hint="eastAsia"/>
          <w:szCs w:val="18"/>
          <w:highlight w:val="white"/>
        </w:rPr>
        <w:t>仅适用于特别复杂的特大桥梁和特长隧道项目主体工程的结构性养护工程。对主要机械设备和试验检测设备的最低要求，由招标人在满足国家相关法律法规前提下，根据招标项目具体特点和实际情况确定。</w:t>
      </w:r>
    </w:p>
    <w:p>
      <w:pPr>
        <w:rPr>
          <w:rStyle w:val="18"/>
          <w:rFonts w:hint="eastAsia" w:ascii="Times New Roman" w:hAnsi="Times New Roman" w:eastAsia="黑体" w:cs="Times New Roman"/>
          <w:szCs w:val="24"/>
        </w:rPr>
      </w:pPr>
      <w:r>
        <w:rPr>
          <w:rStyle w:val="18"/>
          <w:rFonts w:hint="eastAsia" w:ascii="Times New Roman" w:hAnsi="Times New Roman" w:eastAsia="黑体" w:cs="Times New Roman"/>
          <w:szCs w:val="24"/>
        </w:rPr>
        <w:br w:type="page"/>
      </w:r>
    </w:p>
    <w:p>
      <w:pPr>
        <w:rPr>
          <w:rStyle w:val="18"/>
          <w:rFonts w:hint="eastAsia" w:ascii="Times New Roman" w:hAnsi="Times New Roman" w:eastAsia="黑体" w:cs="Times New Roman"/>
          <w:szCs w:val="24"/>
        </w:rPr>
      </w:pPr>
      <w:r>
        <w:rPr>
          <w:rStyle w:val="18"/>
          <w:rFonts w:hint="eastAsia" w:ascii="Times New Roman" w:hAnsi="Times New Roman" w:eastAsia="黑体" w:cs="Times New Roman"/>
          <w:szCs w:val="24"/>
        </w:rPr>
        <w:t>附件2：评标办法</w:t>
      </w:r>
    </w:p>
    <w:p>
      <w:pPr>
        <w:pStyle w:val="3"/>
        <w:rPr>
          <w:sz w:val="36"/>
          <w:szCs w:val="13"/>
        </w:rPr>
      </w:pPr>
      <w:r>
        <w:rPr>
          <w:rFonts w:hint="eastAsia"/>
          <w:sz w:val="36"/>
          <w:szCs w:val="13"/>
          <w:highlight w:val="white"/>
        </w:rPr>
        <w:t>第三章</w:t>
      </w:r>
      <w:r>
        <w:rPr>
          <w:sz w:val="36"/>
          <w:szCs w:val="13"/>
          <w:highlight w:val="white"/>
        </w:rPr>
        <w:t xml:space="preserve">  </w:t>
      </w:r>
      <w:r>
        <w:rPr>
          <w:rFonts w:hint="eastAsia"/>
          <w:sz w:val="36"/>
          <w:szCs w:val="13"/>
          <w:highlight w:val="white"/>
        </w:rPr>
        <w:t>评标办法</w:t>
      </w:r>
      <w:r>
        <w:rPr>
          <w:rStyle w:val="19"/>
          <w:sz w:val="36"/>
          <w:szCs w:val="28"/>
        </w:rPr>
        <w:footnoteReference w:id="10"/>
      </w:r>
      <w:r>
        <w:rPr>
          <w:rFonts w:hint="eastAsia"/>
          <w:sz w:val="36"/>
          <w:szCs w:val="13"/>
          <w:highlight w:val="white"/>
        </w:rPr>
        <w:t>（分类资审随机分配合理低价法）</w:t>
      </w:r>
      <w:r>
        <w:rPr>
          <w:rStyle w:val="19"/>
          <w:rFonts w:eastAsia="华文新魏"/>
          <w:sz w:val="36"/>
          <w:szCs w:val="22"/>
        </w:rPr>
        <w:footnoteReference w:id="11"/>
      </w:r>
    </w:p>
    <w:p>
      <w:pPr>
        <w:pStyle w:val="5"/>
        <w:jc w:val="center"/>
        <w:rPr>
          <w:bCs/>
          <w:szCs w:val="28"/>
        </w:rPr>
      </w:pPr>
      <w:r>
        <w:rPr>
          <w:rFonts w:hint="eastAsia"/>
          <w:bCs/>
          <w:szCs w:val="28"/>
          <w:highlight w:val="white"/>
        </w:rPr>
        <w:t>评标办法前附表</w:t>
      </w:r>
      <w:r>
        <w:rPr>
          <w:bCs/>
          <w:szCs w:val="28"/>
          <w:highlight w:val="white"/>
        </w:rPr>
        <w:t xml:space="preserve"> </w:t>
      </w:r>
      <w:r>
        <w:rPr>
          <w:rStyle w:val="19"/>
          <w:bCs/>
          <w:szCs w:val="28"/>
        </w:rPr>
        <w:footnoteReference w:id="12"/>
      </w:r>
    </w:p>
    <w:p>
      <w:pPr>
        <w:rPr>
          <w:highlight w:val="yellow"/>
        </w:rPr>
      </w:pPr>
      <w:bookmarkStart w:id="44" w:name="EB6549f0022003489ba819e21768d67188"/>
      <w:r>
        <w:rPr>
          <w:rFonts w:hint="eastAsia"/>
          <w:color w:val="000080"/>
          <w:sz w:val="20"/>
          <w:highlight w:val="white"/>
        </w:rPr>
        <w:t xml:space="preserve"> </w:t>
      </w:r>
      <w:bookmarkEnd w:id="44"/>
      <w:bookmarkStart w:id="45" w:name="EB71166c62bd144ee89396d906fc7b66a5"/>
      <w:r>
        <w:rPr>
          <w:rFonts w:hint="eastAsia"/>
          <w:color w:val="000080"/>
          <w:sz w:val="20"/>
          <w:highlight w:val="white"/>
        </w:rPr>
        <w:t xml:space="preserve"> </w:t>
      </w:r>
      <w:bookmarkEnd w:id="45"/>
    </w:p>
    <w:tbl>
      <w:tblPr>
        <w:tblStyle w:val="17"/>
        <w:tblW w:w="886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6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center"/>
              <w:rPr>
                <w:rFonts w:ascii="Calibri" w:hAnsi="Calibri"/>
                <w:b/>
                <w:kern w:val="2"/>
                <w:sz w:val="21"/>
                <w:szCs w:val="21"/>
                <w:lang w:val="en-US" w:eastAsia="zh-CN" w:bidi="ar-SA"/>
              </w:rPr>
            </w:pPr>
            <w:r>
              <w:rPr>
                <w:rFonts w:hint="eastAsia" w:ascii="Calibri" w:hAnsi="Calibri"/>
                <w:b/>
                <w:kern w:val="2"/>
                <w:sz w:val="21"/>
                <w:szCs w:val="21"/>
                <w:highlight w:val="white"/>
                <w:lang w:val="en-US" w:eastAsia="zh-CN" w:bidi="ar-SA"/>
              </w:rPr>
              <w:t>条款号</w:t>
            </w:r>
          </w:p>
        </w:tc>
        <w:tc>
          <w:tcPr>
            <w:tcW w:w="6836"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center"/>
              <w:rPr>
                <w:rFonts w:ascii="Calibri" w:hAnsi="Calibri"/>
                <w:b/>
                <w:kern w:val="2"/>
                <w:sz w:val="21"/>
                <w:szCs w:val="21"/>
                <w:lang w:val="en-US" w:eastAsia="zh-CN" w:bidi="ar-SA"/>
              </w:rPr>
            </w:pPr>
            <w:r>
              <w:rPr>
                <w:rFonts w:hint="eastAsia" w:ascii="Calibri" w:hAnsi="Calibri"/>
                <w:b/>
                <w:kern w:val="2"/>
                <w:sz w:val="21"/>
                <w:szCs w:val="21"/>
                <w:highlight w:val="white"/>
                <w:lang w:val="en-US" w:eastAsia="zh-CN" w:bidi="ar-SA"/>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center"/>
              <w:rPr>
                <w:rFonts w:ascii="Calibri" w:hAnsi="Calibri"/>
                <w:kern w:val="2"/>
                <w:sz w:val="21"/>
                <w:szCs w:val="21"/>
                <w:lang w:val="en-US" w:eastAsia="zh-CN" w:bidi="ar-SA"/>
              </w:rPr>
            </w:pPr>
            <w:r>
              <w:rPr>
                <w:rFonts w:ascii="Calibri" w:hAnsi="Calibri"/>
                <w:kern w:val="2"/>
                <w:sz w:val="21"/>
                <w:szCs w:val="21"/>
                <w:highlight w:val="white"/>
                <w:lang w:val="en-US" w:eastAsia="zh-CN" w:bidi="ar-SA"/>
              </w:rPr>
              <w:t>1</w:t>
            </w:r>
          </w:p>
        </w:tc>
        <w:tc>
          <w:tcPr>
            <w:tcW w:w="1124" w:type="dxa"/>
            <w:tcBorders>
              <w:top w:val="single" w:color="auto" w:sz="4" w:space="0"/>
              <w:left w:val="nil"/>
              <w:bottom w:val="single" w:color="auto" w:sz="4" w:space="0"/>
              <w:right w:val="single" w:color="auto" w:sz="4" w:space="0"/>
            </w:tcBorders>
            <w:noWrap w:val="0"/>
            <w:vAlign w:val="center"/>
          </w:tcPr>
          <w:p>
            <w:pPr>
              <w:widowControl w:val="0"/>
              <w:spacing w:line="400" w:lineRule="atLeast"/>
              <w:jc w:val="center"/>
              <w:rPr>
                <w:rFonts w:ascii="Calibri" w:hAnsi="Calibri"/>
                <w:kern w:val="2"/>
                <w:sz w:val="21"/>
                <w:szCs w:val="21"/>
                <w:lang w:val="en-US" w:eastAsia="zh-CN" w:bidi="ar-SA"/>
              </w:rPr>
            </w:pPr>
            <w:r>
              <w:rPr>
                <w:rFonts w:hint="eastAsia" w:ascii="Calibri" w:hAnsi="Calibri"/>
                <w:kern w:val="2"/>
                <w:sz w:val="21"/>
                <w:szCs w:val="21"/>
                <w:highlight w:val="white"/>
                <w:lang w:val="en-US" w:eastAsia="zh-CN" w:bidi="ar-SA"/>
              </w:rPr>
              <w:t>评标方法</w:t>
            </w:r>
          </w:p>
        </w:tc>
        <w:tc>
          <w:tcPr>
            <w:tcW w:w="6836" w:type="dxa"/>
            <w:tcBorders>
              <w:top w:val="single" w:color="auto" w:sz="4" w:space="0"/>
              <w:left w:val="single" w:color="auto" w:sz="4" w:space="0"/>
              <w:bottom w:val="single" w:color="auto" w:sz="4" w:space="0"/>
              <w:right w:val="single" w:color="auto" w:sz="4" w:space="0"/>
            </w:tcBorders>
            <w:noWrap w:val="0"/>
            <w:vAlign w:val="center"/>
          </w:tcPr>
          <w:p>
            <w:pPr>
              <w:widowControl w:val="0"/>
              <w:ind w:firstLine="420" w:firstLineChars="200"/>
              <w:jc w:val="both"/>
              <w:rPr>
                <w:rFonts w:ascii="Calibri" w:hAnsi="Calibri"/>
                <w:kern w:val="2"/>
                <w:sz w:val="21"/>
                <w:szCs w:val="21"/>
                <w:lang w:val="en-US" w:eastAsia="zh-CN" w:bidi="ar-SA"/>
              </w:rPr>
            </w:pPr>
            <w:r>
              <w:rPr>
                <w:rFonts w:hint="eastAsia" w:ascii="Calibri" w:hAnsi="Calibri"/>
                <w:kern w:val="2"/>
                <w:sz w:val="21"/>
                <w:szCs w:val="21"/>
                <w:highlight w:val="white"/>
                <w:lang w:val="en-US" w:eastAsia="zh-CN" w:bidi="ar-SA"/>
              </w:rPr>
              <w:t>综合评分相等时，评标委员会依次按照以下优先顺序推荐中标候选人或确定中标人：</w:t>
            </w:r>
          </w:p>
          <w:p>
            <w:pPr>
              <w:widowControl w:val="0"/>
              <w:ind w:firstLine="420" w:firstLineChars="200"/>
              <w:jc w:val="both"/>
              <w:rPr>
                <w:rFonts w:ascii="Calibri" w:hAnsi="Calibri"/>
                <w:kern w:val="2"/>
                <w:sz w:val="21"/>
                <w:szCs w:val="21"/>
                <w:lang w:val="en-US" w:eastAsia="zh-CN" w:bidi="ar-SA"/>
              </w:rPr>
            </w:pPr>
            <w:r>
              <w:rPr>
                <w:rFonts w:hint="eastAsia" w:ascii="Calibri" w:hAnsi="Calibri"/>
                <w:kern w:val="2"/>
                <w:sz w:val="21"/>
                <w:szCs w:val="21"/>
                <w:highlight w:val="white"/>
                <w:lang w:val="en-US" w:eastAsia="zh-CN" w:bidi="ar-SA"/>
              </w:rPr>
              <w:t>（</w:t>
            </w:r>
            <w:r>
              <w:rPr>
                <w:rFonts w:ascii="Calibri" w:hAnsi="Calibri"/>
                <w:kern w:val="2"/>
                <w:sz w:val="21"/>
                <w:szCs w:val="21"/>
                <w:highlight w:val="white"/>
                <w:lang w:val="en-US" w:eastAsia="zh-CN" w:bidi="ar-SA"/>
              </w:rPr>
              <w:t>1</w:t>
            </w:r>
            <w:r>
              <w:rPr>
                <w:rFonts w:hint="eastAsia" w:ascii="Calibri" w:hAnsi="Calibri"/>
                <w:kern w:val="2"/>
                <w:sz w:val="21"/>
                <w:szCs w:val="21"/>
                <w:highlight w:val="white"/>
                <w:lang w:val="en-US" w:eastAsia="zh-CN" w:bidi="ar-SA"/>
              </w:rPr>
              <w:t>）评标价低的投标人优先；</w:t>
            </w:r>
          </w:p>
          <w:p>
            <w:pPr>
              <w:widowControl w:val="0"/>
              <w:ind w:firstLine="420" w:firstLineChars="200"/>
              <w:jc w:val="both"/>
              <w:rPr>
                <w:rFonts w:ascii="Calibri" w:hAnsi="Calibri" w:eastAsia="黑体"/>
                <w:kern w:val="2"/>
                <w:sz w:val="21"/>
                <w:szCs w:val="21"/>
                <w:lang w:val="en-US" w:eastAsia="zh-CN" w:bidi="ar-SA"/>
              </w:rPr>
            </w:pPr>
            <w:r>
              <w:rPr>
                <w:rFonts w:hint="eastAsia" w:ascii="Calibri" w:hAnsi="Calibri" w:eastAsia="黑体"/>
                <w:kern w:val="2"/>
                <w:sz w:val="21"/>
                <w:szCs w:val="21"/>
                <w:highlight w:val="white"/>
                <w:lang w:val="en-US" w:eastAsia="zh-CN" w:bidi="ar-SA"/>
              </w:rPr>
              <w:t>（</w:t>
            </w:r>
            <w:r>
              <w:rPr>
                <w:rFonts w:ascii="Calibri" w:hAnsi="Calibri" w:eastAsia="黑体"/>
                <w:kern w:val="2"/>
                <w:sz w:val="21"/>
                <w:szCs w:val="21"/>
                <w:highlight w:val="white"/>
                <w:lang w:val="en-US" w:eastAsia="zh-CN" w:bidi="ar-SA"/>
              </w:rPr>
              <w:t>2</w:t>
            </w:r>
            <w:r>
              <w:rPr>
                <w:rFonts w:hint="eastAsia" w:ascii="Calibri" w:hAnsi="Calibri" w:eastAsia="黑体"/>
                <w:kern w:val="2"/>
                <w:sz w:val="21"/>
                <w:szCs w:val="21"/>
                <w:highlight w:val="white"/>
                <w:lang w:val="en-US" w:eastAsia="zh-CN" w:bidi="ar-SA"/>
              </w:rPr>
              <w:t>）被湖南省交通运输厅评为最近</w:t>
            </w:r>
            <w:r>
              <w:rPr>
                <w:rFonts w:ascii="Calibri" w:hAnsi="Calibri" w:eastAsia="黑体"/>
                <w:kern w:val="2"/>
                <w:sz w:val="21"/>
                <w:szCs w:val="21"/>
                <w:highlight w:val="white"/>
                <w:lang w:val="en-US" w:eastAsia="zh-CN" w:bidi="ar-SA"/>
              </w:rPr>
              <w:t>1</w:t>
            </w:r>
            <w:r>
              <w:rPr>
                <w:rFonts w:hint="eastAsia" w:ascii="Calibri" w:hAnsi="Calibri" w:eastAsia="黑体"/>
                <w:kern w:val="2"/>
                <w:sz w:val="21"/>
                <w:szCs w:val="21"/>
                <w:highlight w:val="white"/>
                <w:lang w:val="en-US" w:eastAsia="zh-CN" w:bidi="ar-SA"/>
              </w:rPr>
              <w:t>年较高信用等级的投标人优先；</w:t>
            </w:r>
          </w:p>
          <w:p>
            <w:pPr>
              <w:widowControl w:val="0"/>
              <w:ind w:firstLine="420" w:firstLineChars="200"/>
              <w:jc w:val="both"/>
              <w:rPr>
                <w:rFonts w:ascii="Calibri" w:hAnsi="Calibri"/>
                <w:kern w:val="2"/>
                <w:sz w:val="21"/>
                <w:szCs w:val="21"/>
                <w:lang w:val="en-US" w:eastAsia="zh-CN" w:bidi="ar-SA"/>
              </w:rPr>
            </w:pPr>
            <w:r>
              <w:rPr>
                <w:rFonts w:hint="eastAsia" w:ascii="Calibri" w:hAnsi="Calibri" w:eastAsia="黑体"/>
                <w:kern w:val="2"/>
                <w:sz w:val="21"/>
                <w:szCs w:val="21"/>
                <w:highlight w:val="white"/>
                <w:lang w:val="en-US" w:eastAsia="zh-CN" w:bidi="ar-SA"/>
              </w:rPr>
              <w:t>（</w:t>
            </w:r>
            <w:r>
              <w:rPr>
                <w:rFonts w:ascii="Calibri" w:hAnsi="Calibri" w:eastAsia="黑体"/>
                <w:kern w:val="2"/>
                <w:sz w:val="21"/>
                <w:szCs w:val="21"/>
                <w:highlight w:val="white"/>
                <w:lang w:val="en-US" w:eastAsia="zh-CN" w:bidi="ar-SA"/>
              </w:rPr>
              <w:t>3</w:t>
            </w:r>
            <w:r>
              <w:rPr>
                <w:rFonts w:hint="eastAsia" w:ascii="Calibri" w:hAnsi="Calibri" w:eastAsia="黑体"/>
                <w:kern w:val="2"/>
                <w:sz w:val="21"/>
                <w:szCs w:val="21"/>
                <w:highlight w:val="white"/>
                <w:lang w:val="en-US" w:eastAsia="zh-CN" w:bidi="ar-SA"/>
              </w:rPr>
              <w:t>）随机摇号确定排序。</w:t>
            </w:r>
          </w:p>
        </w:tc>
      </w:tr>
    </w:tbl>
    <w:p>
      <w:pPr>
        <w:rPr>
          <w:color w:val="000080"/>
          <w:sz w:val="20"/>
          <w:highlight w:val="red"/>
        </w:rPr>
      </w:pPr>
      <w:bookmarkStart w:id="46" w:name="EBf37b384358304666b38658b033a31164"/>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262"/>
        <w:gridCol w:w="6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50"/>
              <w:jc w:val="center"/>
              <w:rPr>
                <w:rStyle w:val="18"/>
                <w:rFonts w:ascii="宋体" w:hAnsi="宋体" w:eastAsia="宋体" w:cs="宋体"/>
                <w:b w:val="0"/>
                <w:sz w:val="21"/>
                <w:szCs w:val="24"/>
              </w:rPr>
            </w:pPr>
            <w:r>
              <w:rPr>
                <w:rStyle w:val="18"/>
                <w:rFonts w:ascii="宋体" w:hAnsi="宋体" w:eastAsia="宋体" w:cs="宋体"/>
                <w:b w:val="0"/>
                <w:sz w:val="21"/>
                <w:szCs w:val="24"/>
              </w:rPr>
              <w:t>2.1.1</w:t>
            </w:r>
          </w:p>
          <w:p>
            <w:pPr>
              <w:pStyle w:val="50"/>
              <w:jc w:val="center"/>
              <w:rPr>
                <w:rStyle w:val="18"/>
                <w:rFonts w:ascii="宋体" w:hAnsi="宋体" w:eastAsia="宋体" w:cs="宋体"/>
                <w:b w:val="0"/>
                <w:sz w:val="21"/>
                <w:szCs w:val="24"/>
              </w:rPr>
            </w:pPr>
            <w:r>
              <w:rPr>
                <w:rStyle w:val="18"/>
                <w:rFonts w:ascii="宋体" w:hAnsi="宋体" w:eastAsia="宋体" w:cs="宋体"/>
                <w:b w:val="0"/>
                <w:sz w:val="21"/>
                <w:szCs w:val="24"/>
              </w:rPr>
              <w:t>2.1.3</w:t>
            </w:r>
          </w:p>
        </w:tc>
        <w:tc>
          <w:tcPr>
            <w:tcW w:w="1262"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50"/>
              <w:jc w:val="center"/>
              <w:rPr>
                <w:rStyle w:val="18"/>
                <w:rFonts w:ascii="宋体" w:hAnsi="宋体" w:eastAsia="宋体" w:cs="宋体"/>
                <w:b w:val="0"/>
                <w:sz w:val="21"/>
                <w:szCs w:val="24"/>
              </w:rPr>
            </w:pPr>
            <w:r>
              <w:rPr>
                <w:rStyle w:val="18"/>
                <w:rFonts w:ascii="宋体" w:hAnsi="宋体" w:eastAsia="宋体" w:cs="宋体"/>
                <w:b w:val="0"/>
                <w:sz w:val="21"/>
                <w:szCs w:val="24"/>
              </w:rPr>
              <w:t>形式评审与响应性评审标准</w:t>
            </w:r>
          </w:p>
        </w:tc>
        <w:tc>
          <w:tcPr>
            <w:tcW w:w="6538"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50"/>
              <w:jc w:val="left"/>
              <w:rPr>
                <w:rStyle w:val="18"/>
                <w:rFonts w:ascii="宋体" w:hAnsi="宋体" w:eastAsia="宋体" w:cs="宋体"/>
                <w:b w:val="0"/>
                <w:sz w:val="21"/>
                <w:szCs w:val="24"/>
              </w:rPr>
            </w:pPr>
            <w:r>
              <w:rPr>
                <w:rStyle w:val="18"/>
                <w:rFonts w:ascii="宋体" w:hAnsi="宋体" w:eastAsia="宋体" w:cs="宋体"/>
                <w:b w:val="0"/>
                <w:sz w:val="21"/>
                <w:szCs w:val="24"/>
              </w:rPr>
              <w:t>第一个信封（商务及技术文件）评审标准：</w:t>
            </w:r>
          </w:p>
          <w:p>
            <w:pPr>
              <w:pStyle w:val="50"/>
              <w:jc w:val="left"/>
              <w:rPr>
                <w:rStyle w:val="18"/>
                <w:rFonts w:ascii="宋体" w:hAnsi="宋体" w:eastAsia="宋体" w:cs="宋体"/>
                <w:b w:val="0"/>
                <w:sz w:val="21"/>
                <w:szCs w:val="24"/>
              </w:rPr>
            </w:pPr>
            <w:r>
              <w:rPr>
                <w:rStyle w:val="18"/>
                <w:rFonts w:ascii="宋体" w:hAnsi="宋体" w:eastAsia="宋体" w:cs="宋体"/>
                <w:b w:val="0"/>
                <w:sz w:val="21"/>
                <w:szCs w:val="24"/>
              </w:rPr>
              <w:t>(1)开标形式评审</w:t>
            </w:r>
          </w:p>
          <w:p>
            <w:pPr>
              <w:pStyle w:val="50"/>
              <w:jc w:val="left"/>
              <w:rPr>
                <w:rStyle w:val="18"/>
                <w:rFonts w:ascii="宋体" w:hAnsi="宋体" w:eastAsia="宋体" w:cs="宋体"/>
                <w:b w:val="0"/>
                <w:sz w:val="21"/>
                <w:szCs w:val="24"/>
              </w:rPr>
            </w:pPr>
            <w:r>
              <w:rPr>
                <w:rStyle w:val="18"/>
                <w:rFonts w:ascii="宋体" w:hAnsi="宋体" w:eastAsia="宋体" w:cs="宋体"/>
                <w:b w:val="0"/>
                <w:sz w:val="21"/>
                <w:szCs w:val="24"/>
              </w:rPr>
              <w:t xml:space="preserve">a.开标后投标人投标函所列标段与招标标段一致； </w:t>
            </w:r>
          </w:p>
          <w:p>
            <w:pPr>
              <w:pStyle w:val="50"/>
              <w:jc w:val="left"/>
              <w:rPr>
                <w:rStyle w:val="18"/>
                <w:rFonts w:ascii="宋体" w:hAnsi="宋体" w:eastAsia="宋体" w:cs="宋体"/>
                <w:b w:val="0"/>
                <w:sz w:val="21"/>
                <w:szCs w:val="24"/>
              </w:rPr>
            </w:pPr>
            <w:r>
              <w:rPr>
                <w:rStyle w:val="18"/>
                <w:rFonts w:ascii="宋体" w:hAnsi="宋体" w:eastAsia="宋体" w:cs="宋体"/>
                <w:b w:val="0"/>
                <w:sz w:val="21"/>
                <w:szCs w:val="24"/>
              </w:rPr>
              <w:t>b.投标人在规定的时间内解密投标文件第一信封（商务和技术文件）；</w:t>
            </w:r>
          </w:p>
          <w:p>
            <w:pPr>
              <w:pStyle w:val="50"/>
              <w:jc w:val="left"/>
              <w:rPr>
                <w:rStyle w:val="18"/>
                <w:rFonts w:ascii="宋体" w:hAnsi="宋体" w:eastAsia="宋体" w:cs="宋体"/>
                <w:b w:val="0"/>
                <w:sz w:val="21"/>
                <w:szCs w:val="24"/>
              </w:rPr>
            </w:pPr>
            <w:r>
              <w:rPr>
                <w:rStyle w:val="18"/>
                <w:rFonts w:ascii="宋体" w:hAnsi="宋体" w:eastAsia="宋体" w:cs="宋体"/>
                <w:b w:val="0"/>
                <w:sz w:val="21"/>
                <w:szCs w:val="24"/>
              </w:rPr>
              <w:t xml:space="preserve">c.不同投标人的投标文件编制识别码不一致(若一致则视为投标人相互串通投标)； </w:t>
            </w:r>
          </w:p>
          <w:p>
            <w:pPr>
              <w:pStyle w:val="50"/>
              <w:jc w:val="left"/>
              <w:rPr>
                <w:rStyle w:val="18"/>
                <w:rFonts w:ascii="宋体" w:hAnsi="宋体" w:eastAsia="宋体" w:cs="宋体"/>
                <w:b w:val="0"/>
                <w:sz w:val="21"/>
                <w:szCs w:val="24"/>
              </w:rPr>
            </w:pPr>
            <w:r>
              <w:rPr>
                <w:rStyle w:val="18"/>
                <w:rFonts w:ascii="宋体" w:hAnsi="宋体" w:eastAsia="宋体" w:cs="宋体"/>
                <w:b w:val="0"/>
                <w:sz w:val="21"/>
                <w:szCs w:val="24"/>
              </w:rPr>
              <w:t>d.不同投标人提交电子投标文件 IP 地址不相同（若相同时能合理说明）；</w:t>
            </w:r>
          </w:p>
          <w:p>
            <w:pPr>
              <w:pStyle w:val="50"/>
              <w:jc w:val="left"/>
              <w:rPr>
                <w:rStyle w:val="18"/>
                <w:rFonts w:ascii="宋体" w:hAnsi="宋体" w:eastAsia="宋体" w:cs="宋体"/>
                <w:b w:val="0"/>
                <w:sz w:val="21"/>
                <w:szCs w:val="24"/>
              </w:rPr>
            </w:pPr>
            <w:r>
              <w:rPr>
                <w:rStyle w:val="18"/>
                <w:rFonts w:ascii="宋体" w:hAnsi="宋体" w:eastAsia="宋体" w:cs="宋体"/>
                <w:b w:val="0"/>
                <w:sz w:val="21"/>
                <w:szCs w:val="24"/>
              </w:rPr>
              <w:t>e.不同投标人提交电子投标文件的 IP 地址不在某一特定区域（若相同时能合理说明）；</w:t>
            </w:r>
          </w:p>
          <w:p>
            <w:pPr>
              <w:pStyle w:val="50"/>
              <w:jc w:val="left"/>
              <w:rPr>
                <w:rStyle w:val="18"/>
                <w:rFonts w:ascii="宋体" w:hAnsi="宋体" w:eastAsia="宋体" w:cs="宋体"/>
                <w:b w:val="0"/>
                <w:sz w:val="21"/>
                <w:szCs w:val="24"/>
              </w:rPr>
            </w:pPr>
            <w:r>
              <w:rPr>
                <w:rStyle w:val="18"/>
                <w:rFonts w:ascii="宋体" w:hAnsi="宋体" w:eastAsia="宋体" w:cs="宋体"/>
                <w:b w:val="0"/>
                <w:sz w:val="21"/>
                <w:szCs w:val="24"/>
              </w:rPr>
              <w:t>f.电子投标文件硬件信息不相同（若相同时能合理说明）。</w:t>
            </w:r>
          </w:p>
          <w:p>
            <w:pPr>
              <w:pStyle w:val="50"/>
              <w:jc w:val="left"/>
              <w:rPr>
                <w:rStyle w:val="18"/>
                <w:rFonts w:ascii="宋体" w:hAnsi="宋体" w:eastAsia="宋体" w:cs="宋体"/>
                <w:b w:val="0"/>
                <w:sz w:val="21"/>
                <w:szCs w:val="24"/>
              </w:rPr>
            </w:pPr>
            <w:r>
              <w:rPr>
                <w:rStyle w:val="18"/>
                <w:rFonts w:ascii="宋体" w:hAnsi="宋体" w:eastAsia="宋体" w:cs="宋体"/>
                <w:b w:val="0"/>
                <w:sz w:val="21"/>
                <w:szCs w:val="24"/>
              </w:rPr>
              <w:t>(2)投标文件按照招标文件规定的格式、内容填写，字迹清晰可辨</w:t>
            </w:r>
          </w:p>
          <w:p>
            <w:pPr>
              <w:pStyle w:val="50"/>
              <w:jc w:val="left"/>
              <w:rPr>
                <w:rStyle w:val="18"/>
                <w:rFonts w:ascii="宋体" w:hAnsi="宋体" w:eastAsia="宋体" w:cs="宋体"/>
                <w:b w:val="0"/>
                <w:sz w:val="21"/>
                <w:szCs w:val="24"/>
              </w:rPr>
            </w:pPr>
            <w:r>
              <w:rPr>
                <w:rStyle w:val="18"/>
                <w:rFonts w:ascii="宋体" w:hAnsi="宋体" w:eastAsia="宋体" w:cs="宋体"/>
                <w:b w:val="0"/>
                <w:sz w:val="21"/>
                <w:szCs w:val="24"/>
              </w:rPr>
              <w:t>a.投标函按招标文件规定填报了项目名称、补遗书编号(如有)、工期、工程质量要求及安全目标、环保目标、参与投标的工程类别;</w:t>
            </w:r>
          </w:p>
          <w:p>
            <w:pPr>
              <w:pStyle w:val="50"/>
              <w:jc w:val="left"/>
              <w:rPr>
                <w:rStyle w:val="18"/>
                <w:rFonts w:ascii="宋体" w:hAnsi="宋体" w:eastAsia="宋体" w:cs="宋体"/>
                <w:b w:val="0"/>
                <w:sz w:val="21"/>
                <w:szCs w:val="24"/>
              </w:rPr>
            </w:pPr>
            <w:r>
              <w:rPr>
                <w:rStyle w:val="18"/>
                <w:rFonts w:ascii="宋体" w:hAnsi="宋体" w:eastAsia="宋体" w:cs="宋体"/>
                <w:b w:val="0"/>
                <w:sz w:val="21"/>
                <w:szCs w:val="24"/>
              </w:rPr>
              <w:t>b.投标函附录的所有数据均符合招标文件规定;</w:t>
            </w:r>
          </w:p>
          <w:p>
            <w:pPr>
              <w:pStyle w:val="50"/>
              <w:jc w:val="left"/>
              <w:rPr>
                <w:rStyle w:val="18"/>
                <w:rFonts w:ascii="宋体" w:hAnsi="宋体" w:eastAsia="宋体" w:cs="宋体"/>
                <w:b w:val="0"/>
                <w:sz w:val="21"/>
                <w:szCs w:val="24"/>
              </w:rPr>
            </w:pPr>
            <w:r>
              <w:rPr>
                <w:rStyle w:val="18"/>
                <w:rFonts w:ascii="宋体" w:hAnsi="宋体" w:eastAsia="宋体" w:cs="宋体"/>
                <w:b w:val="0"/>
                <w:sz w:val="21"/>
                <w:szCs w:val="24"/>
              </w:rPr>
              <w:t>c.投标文件组成齐全完整，内容均按规定填写。</w:t>
            </w:r>
          </w:p>
          <w:p>
            <w:pPr>
              <w:pStyle w:val="50"/>
              <w:jc w:val="left"/>
              <w:rPr>
                <w:rStyle w:val="18"/>
                <w:rFonts w:ascii="宋体" w:hAnsi="宋体" w:eastAsia="宋体" w:cs="宋体"/>
                <w:b w:val="0"/>
                <w:sz w:val="21"/>
                <w:szCs w:val="24"/>
              </w:rPr>
            </w:pPr>
            <w:r>
              <w:rPr>
                <w:rStyle w:val="18"/>
                <w:rFonts w:ascii="宋体" w:hAnsi="宋体" w:eastAsia="宋体" w:cs="宋体"/>
                <w:b w:val="0"/>
                <w:sz w:val="21"/>
                <w:szCs w:val="24"/>
              </w:rPr>
              <w:t>(3)投标文件上法定代表人的签字（签名）或签名章（印章、签章）盖章、投标人的单位章盖章符合投标人须知 3.7.3（4）目的规定</w:t>
            </w:r>
          </w:p>
          <w:p>
            <w:pPr>
              <w:pStyle w:val="50"/>
              <w:jc w:val="left"/>
              <w:rPr>
                <w:rStyle w:val="18"/>
                <w:rFonts w:ascii="宋体" w:hAnsi="宋体" w:eastAsia="宋体" w:cs="宋体"/>
                <w:b w:val="0"/>
                <w:sz w:val="21"/>
                <w:szCs w:val="24"/>
              </w:rPr>
            </w:pPr>
          </w:p>
          <w:p>
            <w:pPr>
              <w:pStyle w:val="50"/>
              <w:jc w:val="left"/>
              <w:rPr>
                <w:rStyle w:val="18"/>
                <w:rFonts w:ascii="宋体" w:hAnsi="宋体" w:eastAsia="宋体" w:cs="宋体"/>
                <w:b w:val="0"/>
                <w:sz w:val="21"/>
                <w:szCs w:val="24"/>
              </w:rPr>
            </w:pPr>
            <w:r>
              <w:rPr>
                <w:rStyle w:val="18"/>
                <w:rFonts w:ascii="宋体" w:hAnsi="宋体" w:eastAsia="宋体" w:cs="宋体"/>
                <w:b w:val="0"/>
                <w:sz w:val="21"/>
                <w:szCs w:val="24"/>
              </w:rPr>
              <w:t>(4)投标人按照招标文件的规定提供了投标保证金</w:t>
            </w:r>
          </w:p>
          <w:p>
            <w:pPr>
              <w:pStyle w:val="50"/>
              <w:jc w:val="left"/>
              <w:rPr>
                <w:rStyle w:val="18"/>
                <w:rFonts w:ascii="宋体" w:hAnsi="宋体" w:eastAsia="宋体" w:cs="宋体"/>
                <w:b w:val="0"/>
                <w:sz w:val="21"/>
                <w:szCs w:val="24"/>
              </w:rPr>
            </w:pPr>
            <w:r>
              <w:rPr>
                <w:rStyle w:val="18"/>
                <w:rFonts w:ascii="宋体" w:hAnsi="宋体" w:eastAsia="宋体" w:cs="宋体"/>
                <w:b w:val="0"/>
                <w:sz w:val="21"/>
                <w:szCs w:val="24"/>
              </w:rPr>
              <w:t>a.投标保证金金额符合招标文件规定的金额，且投标保证金有效期应当与投标有效期一致；</w:t>
            </w:r>
          </w:p>
          <w:p>
            <w:pPr>
              <w:pStyle w:val="50"/>
              <w:jc w:val="left"/>
              <w:rPr>
                <w:rStyle w:val="18"/>
                <w:rFonts w:ascii="宋体" w:hAnsi="宋体" w:eastAsia="宋体" w:cs="宋体"/>
                <w:b w:val="0"/>
                <w:sz w:val="21"/>
                <w:szCs w:val="24"/>
              </w:rPr>
            </w:pPr>
            <w:r>
              <w:rPr>
                <w:rStyle w:val="18"/>
                <w:rFonts w:ascii="宋体" w:hAnsi="宋体" w:eastAsia="宋体" w:cs="宋体"/>
                <w:b w:val="0"/>
                <w:sz w:val="21"/>
                <w:szCs w:val="24"/>
              </w:rPr>
              <w:t>b.若投标保证金采用现金或支票形式提交，投标人应在递交投标文件截止时间之前，将投标保证金由投标人的基本账户转入招标人指定账户；</w:t>
            </w:r>
          </w:p>
          <w:p>
            <w:pPr>
              <w:pStyle w:val="50"/>
              <w:jc w:val="left"/>
              <w:rPr>
                <w:rStyle w:val="18"/>
                <w:rFonts w:ascii="宋体" w:hAnsi="宋体" w:eastAsia="宋体" w:cs="宋体"/>
                <w:b w:val="0"/>
                <w:sz w:val="21"/>
                <w:szCs w:val="24"/>
              </w:rPr>
            </w:pPr>
            <w:r>
              <w:rPr>
                <w:rStyle w:val="18"/>
                <w:rFonts w:ascii="宋体" w:hAnsi="宋体" w:eastAsia="宋体" w:cs="宋体"/>
                <w:b w:val="0"/>
                <w:sz w:val="21"/>
                <w:szCs w:val="24"/>
              </w:rPr>
              <w:t>c.若投标保证金采用其他形式提交的，符合招标文件第二章投标人须知第 3.4.1项的规定。</w:t>
            </w:r>
          </w:p>
          <w:p>
            <w:pPr>
              <w:pStyle w:val="50"/>
              <w:jc w:val="left"/>
              <w:rPr>
                <w:rStyle w:val="18"/>
                <w:rFonts w:ascii="宋体" w:hAnsi="宋体" w:eastAsia="宋体" w:cs="宋体"/>
                <w:b w:val="0"/>
                <w:sz w:val="21"/>
                <w:szCs w:val="24"/>
              </w:rPr>
            </w:pPr>
            <w:r>
              <w:rPr>
                <w:rStyle w:val="18"/>
                <w:rFonts w:ascii="宋体" w:hAnsi="宋体" w:eastAsia="宋体" w:cs="宋体"/>
                <w:b w:val="0"/>
                <w:sz w:val="21"/>
                <w:szCs w:val="24"/>
              </w:rPr>
              <w:t>(5)投标人以联合体形式投标时，联合体满足招标文件的要求；投标人按照招标文件提供的格式签订了联体协议书，明确各方承担连带责任，并明确了联合体牵头人。</w:t>
            </w:r>
          </w:p>
          <w:p>
            <w:pPr>
              <w:pStyle w:val="50"/>
              <w:jc w:val="left"/>
              <w:rPr>
                <w:rStyle w:val="18"/>
                <w:rFonts w:ascii="宋体" w:hAnsi="宋体" w:eastAsia="宋体" w:cs="宋体"/>
                <w:b w:val="0"/>
                <w:sz w:val="21"/>
                <w:szCs w:val="24"/>
              </w:rPr>
            </w:pPr>
          </w:p>
          <w:p>
            <w:pPr>
              <w:pStyle w:val="50"/>
              <w:jc w:val="left"/>
              <w:rPr>
                <w:rStyle w:val="18"/>
                <w:rFonts w:ascii="宋体" w:hAnsi="宋体" w:eastAsia="宋体" w:cs="宋体"/>
                <w:b w:val="0"/>
                <w:sz w:val="21"/>
                <w:szCs w:val="24"/>
              </w:rPr>
            </w:pPr>
            <w:r>
              <w:rPr>
                <w:rStyle w:val="18"/>
                <w:rFonts w:ascii="宋体" w:hAnsi="宋体" w:eastAsia="宋体" w:cs="宋体"/>
                <w:b w:val="0"/>
                <w:sz w:val="21"/>
                <w:szCs w:val="24"/>
              </w:rPr>
              <w:t>(6)投标人如有分包计划，符合招标文件第二章“投标人须知”第1.11款规定，且按招标文件第九章“投标文件格式”的要求填写了“拟分包项目情况表”</w:t>
            </w:r>
          </w:p>
          <w:p>
            <w:pPr>
              <w:pStyle w:val="50"/>
              <w:jc w:val="left"/>
              <w:rPr>
                <w:rStyle w:val="18"/>
                <w:rFonts w:ascii="宋体" w:hAnsi="宋体" w:eastAsia="宋体" w:cs="宋体"/>
                <w:b w:val="0"/>
                <w:sz w:val="21"/>
                <w:szCs w:val="24"/>
              </w:rPr>
            </w:pPr>
          </w:p>
          <w:p>
            <w:pPr>
              <w:pStyle w:val="50"/>
              <w:jc w:val="left"/>
              <w:rPr>
                <w:rStyle w:val="18"/>
                <w:rFonts w:ascii="宋体" w:hAnsi="宋体" w:eastAsia="宋体" w:cs="宋体"/>
                <w:b w:val="0"/>
                <w:sz w:val="21"/>
                <w:szCs w:val="24"/>
              </w:rPr>
            </w:pPr>
            <w:r>
              <w:rPr>
                <w:rStyle w:val="18"/>
                <w:rFonts w:ascii="宋体" w:hAnsi="宋体" w:eastAsia="宋体" w:cs="宋体"/>
                <w:b w:val="0"/>
                <w:sz w:val="21"/>
                <w:szCs w:val="24"/>
              </w:rPr>
              <w:t>(7)同一投标人未提交两个以上不同的投标文件，但招标文件要求提交备选投标的除外</w:t>
            </w:r>
          </w:p>
          <w:p>
            <w:pPr>
              <w:pStyle w:val="50"/>
              <w:jc w:val="left"/>
              <w:rPr>
                <w:rStyle w:val="18"/>
                <w:rFonts w:ascii="宋体" w:hAnsi="宋体" w:eastAsia="宋体" w:cs="宋体"/>
                <w:b w:val="0"/>
                <w:sz w:val="21"/>
                <w:szCs w:val="24"/>
              </w:rPr>
            </w:pPr>
          </w:p>
          <w:p>
            <w:pPr>
              <w:pStyle w:val="50"/>
              <w:jc w:val="left"/>
              <w:rPr>
                <w:rStyle w:val="18"/>
                <w:rFonts w:ascii="宋体" w:hAnsi="宋体" w:eastAsia="宋体" w:cs="宋体"/>
                <w:b w:val="0"/>
                <w:sz w:val="21"/>
                <w:szCs w:val="24"/>
              </w:rPr>
            </w:pPr>
            <w:r>
              <w:rPr>
                <w:rStyle w:val="18"/>
                <w:rFonts w:ascii="宋体" w:hAnsi="宋体" w:eastAsia="宋体" w:cs="宋体"/>
                <w:b w:val="0"/>
                <w:sz w:val="21"/>
                <w:szCs w:val="24"/>
              </w:rPr>
              <w:t>(8)投标文件中未出现有关投标报价的内容</w:t>
            </w:r>
          </w:p>
          <w:p>
            <w:pPr>
              <w:pStyle w:val="50"/>
              <w:jc w:val="left"/>
              <w:rPr>
                <w:rStyle w:val="18"/>
                <w:rFonts w:ascii="宋体" w:hAnsi="宋体" w:eastAsia="宋体" w:cs="宋体"/>
                <w:b w:val="0"/>
                <w:sz w:val="21"/>
                <w:szCs w:val="24"/>
              </w:rPr>
            </w:pPr>
          </w:p>
          <w:p>
            <w:pPr>
              <w:pStyle w:val="50"/>
              <w:jc w:val="left"/>
              <w:rPr>
                <w:rStyle w:val="18"/>
                <w:rFonts w:ascii="宋体" w:hAnsi="宋体" w:eastAsia="宋体" w:cs="宋体"/>
                <w:b w:val="0"/>
                <w:sz w:val="21"/>
                <w:szCs w:val="24"/>
              </w:rPr>
            </w:pPr>
            <w:r>
              <w:rPr>
                <w:rStyle w:val="18"/>
                <w:rFonts w:ascii="宋体" w:hAnsi="宋体" w:eastAsia="宋体" w:cs="宋体"/>
                <w:b w:val="0"/>
                <w:sz w:val="21"/>
                <w:szCs w:val="24"/>
              </w:rPr>
              <w:t>(9)投标文件载明的招标项目完成期限未超过招标文件规定的时限</w:t>
            </w:r>
          </w:p>
          <w:p>
            <w:pPr>
              <w:pStyle w:val="50"/>
              <w:jc w:val="left"/>
              <w:rPr>
                <w:rStyle w:val="18"/>
                <w:rFonts w:ascii="宋体" w:hAnsi="宋体" w:eastAsia="宋体" w:cs="宋体"/>
                <w:b w:val="0"/>
                <w:sz w:val="21"/>
                <w:szCs w:val="24"/>
              </w:rPr>
            </w:pPr>
          </w:p>
          <w:p>
            <w:pPr>
              <w:pStyle w:val="50"/>
              <w:jc w:val="left"/>
              <w:rPr>
                <w:rStyle w:val="18"/>
                <w:rFonts w:ascii="宋体" w:hAnsi="宋体" w:eastAsia="宋体" w:cs="宋体"/>
                <w:b w:val="0"/>
                <w:sz w:val="21"/>
                <w:szCs w:val="24"/>
              </w:rPr>
            </w:pPr>
            <w:r>
              <w:rPr>
                <w:rStyle w:val="18"/>
                <w:rFonts w:ascii="宋体" w:hAnsi="宋体" w:eastAsia="宋体" w:cs="宋体"/>
                <w:b w:val="0"/>
                <w:sz w:val="21"/>
                <w:szCs w:val="24"/>
              </w:rPr>
              <w:t>(10)投标文件对招标文件的实质性要求和条件作出响应</w:t>
            </w:r>
          </w:p>
          <w:p>
            <w:pPr>
              <w:pStyle w:val="50"/>
              <w:jc w:val="left"/>
              <w:rPr>
                <w:rStyle w:val="18"/>
                <w:rFonts w:ascii="宋体" w:hAnsi="宋体" w:eastAsia="宋体" w:cs="宋体"/>
                <w:b w:val="0"/>
                <w:sz w:val="21"/>
                <w:szCs w:val="24"/>
              </w:rPr>
            </w:pPr>
          </w:p>
          <w:p>
            <w:pPr>
              <w:pStyle w:val="50"/>
              <w:jc w:val="left"/>
              <w:rPr>
                <w:rStyle w:val="18"/>
                <w:rFonts w:ascii="宋体" w:hAnsi="宋体" w:eastAsia="宋体" w:cs="宋体"/>
                <w:b w:val="0"/>
                <w:sz w:val="21"/>
                <w:szCs w:val="24"/>
              </w:rPr>
            </w:pPr>
            <w:r>
              <w:rPr>
                <w:rStyle w:val="18"/>
                <w:rFonts w:ascii="宋体" w:hAnsi="宋体" w:eastAsia="宋体" w:cs="宋体"/>
                <w:b w:val="0"/>
                <w:sz w:val="21"/>
                <w:szCs w:val="24"/>
              </w:rPr>
              <w:t>(11)权利义务符合招标文件规定</w:t>
            </w:r>
          </w:p>
          <w:p>
            <w:pPr>
              <w:pStyle w:val="50"/>
              <w:jc w:val="left"/>
              <w:rPr>
                <w:rStyle w:val="18"/>
                <w:rFonts w:ascii="宋体" w:hAnsi="宋体" w:eastAsia="宋体" w:cs="宋体"/>
                <w:b w:val="0"/>
                <w:sz w:val="21"/>
                <w:szCs w:val="24"/>
              </w:rPr>
            </w:pPr>
            <w:r>
              <w:rPr>
                <w:rStyle w:val="18"/>
                <w:rFonts w:ascii="宋体" w:hAnsi="宋体" w:eastAsia="宋体" w:cs="宋体"/>
                <w:b w:val="0"/>
                <w:sz w:val="21"/>
                <w:szCs w:val="24"/>
              </w:rPr>
              <w:t>a.投标人应接受招标文件规定的风险划分原则，未提出新的风险划分办法；</w:t>
            </w:r>
          </w:p>
          <w:p>
            <w:pPr>
              <w:pStyle w:val="50"/>
              <w:jc w:val="left"/>
              <w:rPr>
                <w:rStyle w:val="18"/>
                <w:rFonts w:ascii="宋体" w:hAnsi="宋体" w:eastAsia="宋体" w:cs="宋体"/>
                <w:b w:val="0"/>
                <w:sz w:val="21"/>
                <w:szCs w:val="24"/>
              </w:rPr>
            </w:pPr>
            <w:r>
              <w:rPr>
                <w:rStyle w:val="18"/>
                <w:rFonts w:ascii="宋体" w:hAnsi="宋体" w:eastAsia="宋体" w:cs="宋体"/>
                <w:b w:val="0"/>
                <w:sz w:val="21"/>
                <w:szCs w:val="24"/>
              </w:rPr>
              <w:t>b.投标人未增加发包人的责任范围，或减少投标人义务；</w:t>
            </w:r>
          </w:p>
          <w:p>
            <w:pPr>
              <w:pStyle w:val="50"/>
              <w:jc w:val="left"/>
              <w:rPr>
                <w:rStyle w:val="18"/>
                <w:rFonts w:ascii="宋体" w:hAnsi="宋体" w:eastAsia="宋体" w:cs="宋体"/>
                <w:b w:val="0"/>
                <w:sz w:val="21"/>
                <w:szCs w:val="24"/>
              </w:rPr>
            </w:pPr>
            <w:r>
              <w:rPr>
                <w:rStyle w:val="18"/>
                <w:rFonts w:ascii="宋体" w:hAnsi="宋体" w:eastAsia="宋体" w:cs="宋体"/>
                <w:b w:val="0"/>
                <w:sz w:val="21"/>
                <w:szCs w:val="24"/>
              </w:rPr>
              <w:t>c.投标人未提出不同的工程验收、计量、支付办法；</w:t>
            </w:r>
          </w:p>
          <w:p>
            <w:pPr>
              <w:pStyle w:val="50"/>
              <w:jc w:val="left"/>
              <w:rPr>
                <w:rStyle w:val="18"/>
                <w:rFonts w:ascii="宋体" w:hAnsi="宋体" w:eastAsia="宋体" w:cs="宋体"/>
                <w:b w:val="0"/>
                <w:sz w:val="21"/>
                <w:szCs w:val="24"/>
              </w:rPr>
            </w:pPr>
            <w:r>
              <w:rPr>
                <w:rStyle w:val="18"/>
                <w:rFonts w:ascii="宋体" w:hAnsi="宋体" w:eastAsia="宋体" w:cs="宋体"/>
                <w:b w:val="0"/>
                <w:sz w:val="21"/>
                <w:szCs w:val="24"/>
              </w:rPr>
              <w:t>d.投标人对合同纠纷、事故处理办法未提出异议；</w:t>
            </w:r>
          </w:p>
          <w:p>
            <w:pPr>
              <w:pStyle w:val="50"/>
              <w:jc w:val="left"/>
              <w:rPr>
                <w:rStyle w:val="18"/>
                <w:rFonts w:ascii="宋体" w:hAnsi="宋体" w:eastAsia="宋体" w:cs="宋体"/>
                <w:b w:val="0"/>
                <w:sz w:val="21"/>
                <w:szCs w:val="24"/>
              </w:rPr>
            </w:pPr>
            <w:r>
              <w:rPr>
                <w:rStyle w:val="18"/>
                <w:rFonts w:ascii="宋体" w:hAnsi="宋体" w:eastAsia="宋体" w:cs="宋体"/>
                <w:b w:val="0"/>
                <w:sz w:val="21"/>
                <w:szCs w:val="24"/>
              </w:rPr>
              <w:t>e.投标人在投标活动中无欺诈行为；</w:t>
            </w:r>
          </w:p>
          <w:p>
            <w:pPr>
              <w:pStyle w:val="50"/>
              <w:jc w:val="left"/>
              <w:rPr>
                <w:rStyle w:val="18"/>
                <w:rFonts w:ascii="宋体" w:hAnsi="宋体" w:eastAsia="宋体" w:cs="宋体"/>
                <w:b w:val="0"/>
                <w:sz w:val="21"/>
                <w:szCs w:val="24"/>
              </w:rPr>
            </w:pPr>
            <w:r>
              <w:rPr>
                <w:rStyle w:val="18"/>
                <w:rFonts w:ascii="宋体" w:hAnsi="宋体" w:eastAsia="宋体" w:cs="宋体"/>
                <w:b w:val="0"/>
                <w:sz w:val="21"/>
                <w:szCs w:val="24"/>
              </w:rPr>
              <w:t>f.投标人未对合同条款有重要保留。</w:t>
            </w:r>
          </w:p>
        </w:tc>
      </w:tr>
      <w:bookmarkEnd w:id="46"/>
    </w:tbl>
    <w:p>
      <w:pPr>
        <w:rPr>
          <w:rFonts w:hint="eastAsia"/>
          <w:color w:val="000080"/>
          <w:sz w:val="20"/>
          <w:highlight w:val="white"/>
        </w:rPr>
      </w:pPr>
    </w:p>
    <w:p>
      <w:pPr>
        <w:rPr>
          <w:color w:val="000080"/>
          <w:sz w:val="20"/>
          <w:highlight w:val="red"/>
        </w:rPr>
      </w:pPr>
      <w:bookmarkStart w:id="47" w:name="EBbb6148f62ca44fe388c0fe568db00f49"/>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52"/>
        <w:gridCol w:w="6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51"/>
              <w:jc w:val="center"/>
              <w:rPr>
                <w:rStyle w:val="18"/>
                <w:rFonts w:ascii="宋体" w:hAnsi="宋体" w:eastAsia="宋体" w:cs="宋体"/>
                <w:b w:val="0"/>
                <w:sz w:val="21"/>
                <w:szCs w:val="24"/>
              </w:rPr>
            </w:pPr>
            <w:r>
              <w:rPr>
                <w:rStyle w:val="18"/>
                <w:rFonts w:ascii="宋体" w:hAnsi="宋体" w:eastAsia="宋体" w:cs="宋体"/>
                <w:b w:val="0"/>
                <w:sz w:val="21"/>
                <w:szCs w:val="24"/>
              </w:rPr>
              <w:t>2.1.1</w:t>
            </w:r>
          </w:p>
          <w:p>
            <w:pPr>
              <w:pStyle w:val="51"/>
              <w:jc w:val="center"/>
              <w:rPr>
                <w:rStyle w:val="18"/>
                <w:rFonts w:ascii="宋体" w:hAnsi="宋体" w:eastAsia="宋体" w:cs="宋体"/>
                <w:b w:val="0"/>
                <w:sz w:val="21"/>
                <w:szCs w:val="24"/>
              </w:rPr>
            </w:pPr>
            <w:r>
              <w:rPr>
                <w:rStyle w:val="18"/>
                <w:rFonts w:ascii="宋体" w:hAnsi="宋体" w:eastAsia="宋体" w:cs="宋体"/>
                <w:b w:val="0"/>
                <w:sz w:val="21"/>
                <w:szCs w:val="24"/>
              </w:rPr>
              <w:t>2.1.3</w:t>
            </w:r>
          </w:p>
        </w:tc>
        <w:tc>
          <w:tcPr>
            <w:tcW w:w="1152"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51"/>
              <w:jc w:val="center"/>
              <w:rPr>
                <w:rStyle w:val="18"/>
                <w:rFonts w:ascii="宋体" w:hAnsi="宋体" w:eastAsia="宋体" w:cs="宋体"/>
                <w:b w:val="0"/>
                <w:sz w:val="21"/>
                <w:szCs w:val="24"/>
              </w:rPr>
            </w:pPr>
            <w:r>
              <w:rPr>
                <w:rStyle w:val="18"/>
                <w:rFonts w:ascii="宋体" w:hAnsi="宋体" w:eastAsia="宋体" w:cs="宋体"/>
                <w:b w:val="0"/>
                <w:sz w:val="21"/>
                <w:szCs w:val="24"/>
              </w:rPr>
              <w:t>形式评审与响应性评审标准</w:t>
            </w:r>
          </w:p>
        </w:tc>
        <w:tc>
          <w:tcPr>
            <w:tcW w:w="665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51"/>
              <w:jc w:val="left"/>
              <w:rPr>
                <w:rStyle w:val="18"/>
                <w:rFonts w:ascii="宋体" w:hAnsi="宋体" w:eastAsia="宋体" w:cs="宋体"/>
                <w:b w:val="0"/>
                <w:sz w:val="21"/>
                <w:szCs w:val="24"/>
              </w:rPr>
            </w:pPr>
            <w:r>
              <w:rPr>
                <w:rStyle w:val="18"/>
                <w:rFonts w:ascii="宋体" w:hAnsi="宋体" w:eastAsia="宋体" w:cs="宋体"/>
                <w:b w:val="0"/>
                <w:sz w:val="21"/>
                <w:szCs w:val="24"/>
              </w:rPr>
              <w:t>第二个信封（报价文件）评审标准：</w:t>
            </w:r>
          </w:p>
          <w:p>
            <w:pPr>
              <w:pStyle w:val="51"/>
              <w:jc w:val="left"/>
              <w:rPr>
                <w:rStyle w:val="18"/>
                <w:rFonts w:ascii="宋体" w:hAnsi="宋体" w:eastAsia="宋体" w:cs="宋体"/>
                <w:b w:val="0"/>
                <w:sz w:val="21"/>
                <w:szCs w:val="24"/>
              </w:rPr>
            </w:pPr>
            <w:r>
              <w:rPr>
                <w:rStyle w:val="18"/>
                <w:rFonts w:ascii="宋体" w:hAnsi="宋体" w:eastAsia="宋体" w:cs="宋体"/>
                <w:b w:val="0"/>
                <w:sz w:val="21"/>
                <w:szCs w:val="24"/>
              </w:rPr>
              <w:t>(1)开标形式评审</w:t>
            </w:r>
          </w:p>
          <w:p>
            <w:pPr>
              <w:pStyle w:val="51"/>
              <w:jc w:val="left"/>
              <w:rPr>
                <w:rStyle w:val="18"/>
                <w:rFonts w:ascii="宋体" w:hAnsi="宋体" w:eastAsia="宋体" w:cs="宋体"/>
                <w:b w:val="0"/>
                <w:sz w:val="21"/>
                <w:szCs w:val="24"/>
              </w:rPr>
            </w:pPr>
            <w:r>
              <w:rPr>
                <w:rStyle w:val="18"/>
                <w:rFonts w:ascii="宋体" w:hAnsi="宋体" w:eastAsia="宋体" w:cs="宋体"/>
                <w:b w:val="0"/>
                <w:sz w:val="21"/>
                <w:szCs w:val="24"/>
              </w:rPr>
              <w:t xml:space="preserve">a.投标函上填写了投标总价； </w:t>
            </w:r>
          </w:p>
          <w:p>
            <w:pPr>
              <w:pStyle w:val="51"/>
              <w:jc w:val="left"/>
              <w:rPr>
                <w:rStyle w:val="18"/>
                <w:rFonts w:ascii="宋体" w:hAnsi="宋体" w:eastAsia="宋体" w:cs="宋体"/>
                <w:b w:val="0"/>
                <w:sz w:val="21"/>
                <w:szCs w:val="24"/>
              </w:rPr>
            </w:pPr>
            <w:r>
              <w:rPr>
                <w:rStyle w:val="18"/>
                <w:rFonts w:ascii="宋体" w:hAnsi="宋体" w:eastAsia="宋体" w:cs="宋体"/>
                <w:b w:val="0"/>
                <w:sz w:val="21"/>
                <w:szCs w:val="24"/>
              </w:rPr>
              <w:t xml:space="preserve">b.投标人投标函所列标段号与招标标段号一致； </w:t>
            </w:r>
          </w:p>
          <w:p>
            <w:pPr>
              <w:pStyle w:val="51"/>
              <w:jc w:val="left"/>
              <w:rPr>
                <w:rStyle w:val="18"/>
                <w:rFonts w:ascii="宋体" w:hAnsi="宋体" w:eastAsia="宋体" w:cs="宋体"/>
                <w:b w:val="0"/>
                <w:sz w:val="21"/>
                <w:szCs w:val="24"/>
              </w:rPr>
            </w:pPr>
            <w:r>
              <w:rPr>
                <w:rStyle w:val="18"/>
                <w:rFonts w:ascii="宋体" w:hAnsi="宋体" w:eastAsia="宋体" w:cs="宋体"/>
                <w:b w:val="0"/>
                <w:sz w:val="21"/>
                <w:szCs w:val="24"/>
              </w:rPr>
              <w:t xml:space="preserve">c.投标报价未超出招标人公布的最高投标限价； </w:t>
            </w:r>
          </w:p>
          <w:p>
            <w:pPr>
              <w:pStyle w:val="51"/>
              <w:jc w:val="left"/>
              <w:rPr>
                <w:rStyle w:val="18"/>
                <w:rFonts w:ascii="宋体" w:hAnsi="宋体" w:eastAsia="宋体" w:cs="宋体"/>
                <w:b w:val="0"/>
                <w:sz w:val="21"/>
                <w:szCs w:val="24"/>
              </w:rPr>
            </w:pPr>
            <w:r>
              <w:rPr>
                <w:rStyle w:val="18"/>
                <w:rFonts w:ascii="宋体" w:hAnsi="宋体" w:eastAsia="宋体" w:cs="宋体"/>
                <w:b w:val="0"/>
                <w:sz w:val="21"/>
                <w:szCs w:val="24"/>
              </w:rPr>
              <w:t xml:space="preserve">d.投标人在规定时间内进行解密投标文件第二信封（报价文件）； </w:t>
            </w:r>
          </w:p>
          <w:p>
            <w:pPr>
              <w:pStyle w:val="51"/>
              <w:jc w:val="left"/>
              <w:rPr>
                <w:rStyle w:val="18"/>
                <w:rFonts w:ascii="宋体" w:hAnsi="宋体" w:eastAsia="宋体" w:cs="宋体"/>
                <w:b w:val="0"/>
                <w:sz w:val="21"/>
                <w:szCs w:val="24"/>
              </w:rPr>
            </w:pPr>
            <w:r>
              <w:rPr>
                <w:rStyle w:val="18"/>
                <w:rFonts w:ascii="宋体" w:hAnsi="宋体" w:eastAsia="宋体" w:cs="宋体"/>
                <w:b w:val="0"/>
                <w:sz w:val="21"/>
                <w:szCs w:val="24"/>
              </w:rPr>
              <w:t>e.不同投标人的投标文件编制识别码不一致(若一致则视为投标人相互串通投标)；</w:t>
            </w:r>
          </w:p>
          <w:p>
            <w:pPr>
              <w:pStyle w:val="51"/>
              <w:jc w:val="left"/>
              <w:rPr>
                <w:rStyle w:val="18"/>
                <w:rFonts w:ascii="宋体" w:hAnsi="宋体" w:eastAsia="宋体" w:cs="宋体"/>
                <w:b w:val="0"/>
                <w:sz w:val="21"/>
                <w:szCs w:val="24"/>
              </w:rPr>
            </w:pPr>
            <w:r>
              <w:rPr>
                <w:rStyle w:val="18"/>
                <w:rFonts w:ascii="宋体" w:hAnsi="宋体" w:eastAsia="宋体" w:cs="宋体"/>
                <w:b w:val="0"/>
                <w:sz w:val="21"/>
                <w:szCs w:val="24"/>
              </w:rPr>
              <w:t xml:space="preserve">f.不同投标人提交电子投标文件IP地址不相同（若相同时能合理说明）； </w:t>
            </w:r>
          </w:p>
          <w:p>
            <w:pPr>
              <w:pStyle w:val="51"/>
              <w:jc w:val="left"/>
              <w:rPr>
                <w:rStyle w:val="18"/>
                <w:rFonts w:ascii="宋体" w:hAnsi="宋体" w:eastAsia="宋体" w:cs="宋体"/>
                <w:b w:val="0"/>
                <w:sz w:val="21"/>
                <w:szCs w:val="24"/>
              </w:rPr>
            </w:pPr>
            <w:r>
              <w:rPr>
                <w:rStyle w:val="18"/>
                <w:rFonts w:ascii="宋体" w:hAnsi="宋体" w:eastAsia="宋体" w:cs="宋体"/>
                <w:b w:val="0"/>
                <w:sz w:val="21"/>
                <w:szCs w:val="24"/>
              </w:rPr>
              <w:t xml:space="preserve">g.不同投标人提交电子投标文件的IP地址不在某一特定区域（若相同时能合理说明）； </w:t>
            </w:r>
          </w:p>
          <w:p>
            <w:pPr>
              <w:pStyle w:val="51"/>
              <w:jc w:val="left"/>
              <w:rPr>
                <w:rStyle w:val="18"/>
                <w:rFonts w:ascii="宋体" w:hAnsi="宋体" w:eastAsia="宋体" w:cs="宋体"/>
                <w:b w:val="0"/>
                <w:sz w:val="21"/>
                <w:szCs w:val="24"/>
              </w:rPr>
            </w:pPr>
            <w:r>
              <w:rPr>
                <w:rStyle w:val="18"/>
                <w:rFonts w:ascii="宋体" w:hAnsi="宋体" w:eastAsia="宋体" w:cs="宋体"/>
                <w:b w:val="0"/>
                <w:sz w:val="21"/>
                <w:szCs w:val="24"/>
              </w:rPr>
              <w:t>h.电子投标文件硬件信息不相同（若相同时能合理说明）。</w:t>
            </w:r>
          </w:p>
          <w:p>
            <w:pPr>
              <w:pStyle w:val="51"/>
              <w:jc w:val="left"/>
              <w:rPr>
                <w:rStyle w:val="18"/>
                <w:rFonts w:ascii="宋体" w:hAnsi="宋体" w:eastAsia="宋体" w:cs="宋体"/>
                <w:b w:val="0"/>
                <w:sz w:val="21"/>
                <w:szCs w:val="24"/>
              </w:rPr>
            </w:pPr>
            <w:r>
              <w:rPr>
                <w:rStyle w:val="18"/>
                <w:rFonts w:ascii="宋体" w:hAnsi="宋体" w:eastAsia="宋体" w:cs="宋体"/>
                <w:b w:val="0"/>
                <w:sz w:val="21"/>
                <w:szCs w:val="24"/>
              </w:rPr>
              <w:t>(2)投标文件按照招标文件规定的格式、内容填写，字迹清晰可辨</w:t>
            </w:r>
          </w:p>
          <w:p>
            <w:pPr>
              <w:pStyle w:val="51"/>
              <w:jc w:val="left"/>
              <w:rPr>
                <w:rStyle w:val="18"/>
                <w:rFonts w:ascii="宋体" w:hAnsi="宋体" w:eastAsia="宋体" w:cs="宋体"/>
                <w:b w:val="0"/>
                <w:sz w:val="21"/>
                <w:szCs w:val="24"/>
              </w:rPr>
            </w:pPr>
            <w:r>
              <w:rPr>
                <w:rStyle w:val="18"/>
                <w:rFonts w:ascii="宋体" w:hAnsi="宋体" w:eastAsia="宋体" w:cs="宋体"/>
                <w:b w:val="0"/>
                <w:sz w:val="21"/>
                <w:szCs w:val="24"/>
              </w:rPr>
              <w:t>a.投标函按招标文件规定填报了项目名称、参与投标的工程类别、补遗书编号 (如有)、投标价 (包括大写金额和小写金额) ;</w:t>
            </w:r>
          </w:p>
          <w:p>
            <w:pPr>
              <w:pStyle w:val="51"/>
              <w:jc w:val="left"/>
              <w:rPr>
                <w:rStyle w:val="18"/>
                <w:rFonts w:ascii="宋体" w:hAnsi="宋体" w:eastAsia="宋体" w:cs="宋体"/>
                <w:b w:val="0"/>
                <w:sz w:val="21"/>
                <w:szCs w:val="24"/>
              </w:rPr>
            </w:pPr>
            <w:r>
              <w:rPr>
                <w:rStyle w:val="18"/>
                <w:rFonts w:ascii="宋体" w:hAnsi="宋体" w:eastAsia="宋体" w:cs="宋体"/>
                <w:b w:val="0"/>
                <w:sz w:val="21"/>
                <w:szCs w:val="24"/>
              </w:rPr>
              <w:t>b.已标价工程量清单说明文字与招标文件规定一致，未进行实质性修改和删减;</w:t>
            </w:r>
          </w:p>
          <w:p>
            <w:pPr>
              <w:pStyle w:val="51"/>
              <w:jc w:val="left"/>
              <w:rPr>
                <w:rStyle w:val="18"/>
                <w:rFonts w:ascii="宋体" w:hAnsi="宋体" w:eastAsia="宋体" w:cs="宋体"/>
                <w:b w:val="0"/>
                <w:sz w:val="21"/>
                <w:szCs w:val="24"/>
              </w:rPr>
            </w:pPr>
            <w:r>
              <w:rPr>
                <w:rStyle w:val="18"/>
                <w:rFonts w:ascii="宋体" w:hAnsi="宋体" w:eastAsia="宋体" w:cs="宋体"/>
                <w:b w:val="0"/>
                <w:sz w:val="21"/>
                <w:szCs w:val="24"/>
              </w:rPr>
              <w:t>c.投标文件组成齐全完整，内容均按规定填写。</w:t>
            </w:r>
          </w:p>
          <w:p>
            <w:pPr>
              <w:pStyle w:val="51"/>
              <w:jc w:val="left"/>
              <w:rPr>
                <w:rStyle w:val="18"/>
                <w:rFonts w:ascii="宋体" w:hAnsi="宋体" w:eastAsia="宋体" w:cs="宋体"/>
                <w:b w:val="0"/>
                <w:sz w:val="21"/>
                <w:szCs w:val="24"/>
              </w:rPr>
            </w:pPr>
            <w:r>
              <w:rPr>
                <w:rStyle w:val="18"/>
                <w:rFonts w:ascii="宋体" w:hAnsi="宋体" w:eastAsia="宋体" w:cs="宋体"/>
                <w:b w:val="0"/>
                <w:sz w:val="21"/>
                <w:szCs w:val="24"/>
              </w:rPr>
              <w:t>(3)投标文件上法定代表人的签字（签名）或签名章（印章、签章）盖章、投标人的单位章盖章符合投标人须知 3.7.3（4）目的规定</w:t>
            </w:r>
          </w:p>
          <w:p>
            <w:pPr>
              <w:pStyle w:val="51"/>
              <w:jc w:val="left"/>
              <w:rPr>
                <w:rStyle w:val="18"/>
                <w:rFonts w:ascii="宋体" w:hAnsi="宋体" w:eastAsia="宋体" w:cs="宋体"/>
                <w:b w:val="0"/>
                <w:sz w:val="21"/>
                <w:szCs w:val="24"/>
              </w:rPr>
            </w:pPr>
          </w:p>
          <w:p>
            <w:pPr>
              <w:pStyle w:val="51"/>
              <w:jc w:val="left"/>
              <w:rPr>
                <w:rStyle w:val="18"/>
                <w:rFonts w:ascii="宋体" w:hAnsi="宋体" w:eastAsia="宋体" w:cs="宋体"/>
                <w:b w:val="0"/>
                <w:sz w:val="21"/>
                <w:szCs w:val="24"/>
              </w:rPr>
            </w:pPr>
            <w:r>
              <w:rPr>
                <w:rStyle w:val="18"/>
                <w:rFonts w:ascii="宋体" w:hAnsi="宋体" w:eastAsia="宋体" w:cs="宋体"/>
                <w:b w:val="0"/>
                <w:sz w:val="21"/>
                <w:szCs w:val="24"/>
              </w:rPr>
              <w:t>(4)投标报价未超过招标文件设定的最高投标限价</w:t>
            </w:r>
          </w:p>
          <w:p>
            <w:pPr>
              <w:pStyle w:val="51"/>
              <w:jc w:val="left"/>
              <w:rPr>
                <w:rStyle w:val="18"/>
                <w:rFonts w:ascii="宋体" w:hAnsi="宋体" w:eastAsia="宋体" w:cs="宋体"/>
                <w:b w:val="0"/>
                <w:sz w:val="21"/>
                <w:szCs w:val="24"/>
              </w:rPr>
            </w:pPr>
          </w:p>
          <w:p>
            <w:pPr>
              <w:pStyle w:val="51"/>
              <w:jc w:val="left"/>
              <w:rPr>
                <w:rStyle w:val="18"/>
                <w:rFonts w:ascii="宋体" w:hAnsi="宋体" w:eastAsia="宋体" w:cs="宋体"/>
                <w:b w:val="0"/>
                <w:sz w:val="21"/>
                <w:szCs w:val="24"/>
              </w:rPr>
            </w:pPr>
            <w:r>
              <w:rPr>
                <w:rStyle w:val="18"/>
                <w:rFonts w:ascii="宋体" w:hAnsi="宋体" w:eastAsia="宋体" w:cs="宋体"/>
                <w:b w:val="0"/>
                <w:sz w:val="21"/>
                <w:szCs w:val="24"/>
              </w:rPr>
              <w:t>(5)投标报价的大写金额能够确定具体数值</w:t>
            </w:r>
          </w:p>
          <w:p>
            <w:pPr>
              <w:pStyle w:val="51"/>
              <w:jc w:val="left"/>
              <w:rPr>
                <w:rStyle w:val="18"/>
                <w:rFonts w:ascii="宋体" w:hAnsi="宋体" w:eastAsia="宋体" w:cs="宋体"/>
                <w:b w:val="0"/>
                <w:sz w:val="21"/>
                <w:szCs w:val="24"/>
              </w:rPr>
            </w:pPr>
          </w:p>
          <w:p>
            <w:pPr>
              <w:pStyle w:val="51"/>
              <w:jc w:val="left"/>
              <w:rPr>
                <w:rStyle w:val="18"/>
                <w:rFonts w:ascii="宋体" w:hAnsi="宋体" w:eastAsia="宋体" w:cs="宋体"/>
                <w:b w:val="0"/>
                <w:sz w:val="21"/>
                <w:szCs w:val="24"/>
              </w:rPr>
            </w:pPr>
            <w:r>
              <w:rPr>
                <w:rStyle w:val="18"/>
                <w:rFonts w:ascii="宋体" w:hAnsi="宋体" w:eastAsia="宋体" w:cs="宋体"/>
                <w:b w:val="0"/>
                <w:sz w:val="21"/>
                <w:szCs w:val="24"/>
              </w:rPr>
              <w:t>(6)同一投标人未提交两个以上不同的投标报价，但招标文件要求提交备选投标的除外</w:t>
            </w:r>
          </w:p>
          <w:p>
            <w:pPr>
              <w:pStyle w:val="51"/>
              <w:jc w:val="left"/>
              <w:rPr>
                <w:rStyle w:val="18"/>
                <w:rFonts w:ascii="宋体" w:hAnsi="宋体" w:eastAsia="宋体" w:cs="宋体"/>
                <w:b w:val="0"/>
                <w:sz w:val="21"/>
                <w:szCs w:val="24"/>
              </w:rPr>
            </w:pPr>
          </w:p>
          <w:p>
            <w:pPr>
              <w:pStyle w:val="51"/>
              <w:jc w:val="left"/>
              <w:rPr>
                <w:rStyle w:val="18"/>
                <w:rFonts w:ascii="宋体" w:hAnsi="宋体" w:eastAsia="宋体" w:cs="宋体"/>
                <w:b w:val="0"/>
                <w:sz w:val="21"/>
                <w:szCs w:val="24"/>
              </w:rPr>
            </w:pPr>
            <w:r>
              <w:rPr>
                <w:rStyle w:val="18"/>
                <w:rFonts w:ascii="宋体" w:hAnsi="宋体" w:eastAsia="宋体" w:cs="宋体"/>
                <w:b w:val="0"/>
                <w:sz w:val="21"/>
                <w:szCs w:val="24"/>
              </w:rPr>
              <w:t>(7)投标人若填写工程量固化清单，填写完毕的工程量固化清单未对工程量固化清单电子文件中的数据、格式和运算定义进行修改；工程量固化清单中的投标报价和投标函大写金额报价一致</w:t>
            </w:r>
          </w:p>
          <w:p>
            <w:pPr>
              <w:pStyle w:val="51"/>
              <w:jc w:val="left"/>
              <w:rPr>
                <w:rStyle w:val="18"/>
                <w:rFonts w:ascii="宋体" w:hAnsi="宋体" w:eastAsia="宋体" w:cs="宋体"/>
                <w:b w:val="0"/>
                <w:sz w:val="21"/>
                <w:szCs w:val="24"/>
              </w:rPr>
            </w:pPr>
          </w:p>
          <w:p>
            <w:pPr>
              <w:pStyle w:val="51"/>
              <w:jc w:val="left"/>
              <w:rPr>
                <w:rStyle w:val="18"/>
                <w:rFonts w:ascii="宋体" w:hAnsi="宋体" w:eastAsia="宋体" w:cs="宋体"/>
                <w:b w:val="0"/>
                <w:sz w:val="21"/>
                <w:szCs w:val="24"/>
              </w:rPr>
            </w:pPr>
          </w:p>
        </w:tc>
      </w:tr>
      <w:bookmarkEnd w:id="47"/>
    </w:tbl>
    <w:p>
      <w:pPr>
        <w:rPr>
          <w:rFonts w:hint="eastAsia"/>
          <w:color w:val="000080"/>
          <w:sz w:val="20"/>
          <w:highlight w:val="white"/>
        </w:rPr>
      </w:pPr>
    </w:p>
    <w:p>
      <w:pPr>
        <w:rPr>
          <w:color w:val="000080"/>
          <w:sz w:val="20"/>
          <w:highlight w:val="red"/>
        </w:rPr>
      </w:pPr>
      <w:bookmarkStart w:id="48" w:name="EB065ce99c09964991936cae98c71f278e"/>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772"/>
        <w:gridCol w:w="7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gridSpan w:val="2"/>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52"/>
              <w:jc w:val="center"/>
              <w:rPr>
                <w:rStyle w:val="18"/>
                <w:rFonts w:ascii="宋体" w:hAnsi="宋体" w:eastAsia="宋体" w:cs="宋体"/>
                <w:b w:val="0"/>
                <w:sz w:val="21"/>
                <w:szCs w:val="24"/>
              </w:rPr>
            </w:pPr>
            <w:r>
              <w:rPr>
                <w:rStyle w:val="18"/>
                <w:rFonts w:ascii="宋体" w:hAnsi="宋体" w:eastAsia="宋体" w:cs="宋体"/>
                <w:b w:val="0"/>
                <w:sz w:val="21"/>
                <w:szCs w:val="24"/>
              </w:rPr>
              <w:t>条款号</w:t>
            </w:r>
          </w:p>
        </w:tc>
        <w:tc>
          <w:tcPr>
            <w:tcW w:w="7027"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52"/>
              <w:jc w:val="center"/>
              <w:rPr>
                <w:rStyle w:val="18"/>
                <w:rFonts w:ascii="宋体" w:hAnsi="宋体" w:eastAsia="宋体" w:cs="宋体"/>
                <w:b w:val="0"/>
                <w:sz w:val="21"/>
                <w:szCs w:val="24"/>
              </w:rPr>
            </w:pPr>
            <w:r>
              <w:rPr>
                <w:rStyle w:val="18"/>
                <w:rFonts w:ascii="宋体" w:hAnsi="宋体" w:eastAsia="宋体" w:cs="宋体"/>
                <w:b w:val="0"/>
                <w:sz w:val="21"/>
                <w:szCs w:val="24"/>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52"/>
              <w:jc w:val="center"/>
              <w:rPr>
                <w:rStyle w:val="18"/>
                <w:rFonts w:ascii="宋体" w:hAnsi="宋体" w:eastAsia="宋体" w:cs="宋体"/>
                <w:b w:val="0"/>
                <w:sz w:val="21"/>
                <w:szCs w:val="24"/>
              </w:rPr>
            </w:pPr>
            <w:r>
              <w:rPr>
                <w:rStyle w:val="18"/>
                <w:rFonts w:ascii="宋体" w:hAnsi="宋体" w:eastAsia="宋体" w:cs="宋体"/>
                <w:b w:val="0"/>
                <w:sz w:val="21"/>
                <w:szCs w:val="24"/>
              </w:rPr>
              <w:t>2.1.2</w:t>
            </w:r>
          </w:p>
        </w:tc>
        <w:tc>
          <w:tcPr>
            <w:tcW w:w="772"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52"/>
              <w:jc w:val="center"/>
              <w:rPr>
                <w:rStyle w:val="18"/>
                <w:rFonts w:ascii="宋体" w:hAnsi="宋体" w:eastAsia="宋体" w:cs="宋体"/>
                <w:b w:val="0"/>
                <w:sz w:val="21"/>
                <w:szCs w:val="24"/>
              </w:rPr>
            </w:pPr>
            <w:r>
              <w:rPr>
                <w:rStyle w:val="18"/>
                <w:rFonts w:ascii="宋体" w:hAnsi="宋体" w:eastAsia="宋体" w:cs="宋体"/>
                <w:b w:val="0"/>
                <w:sz w:val="21"/>
                <w:szCs w:val="24"/>
              </w:rPr>
              <w:t>资格评审标准</w:t>
            </w:r>
          </w:p>
        </w:tc>
        <w:tc>
          <w:tcPr>
            <w:tcW w:w="7027"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52"/>
              <w:jc w:val="left"/>
              <w:rPr>
                <w:rStyle w:val="18"/>
                <w:rFonts w:ascii="宋体" w:hAnsi="宋体" w:eastAsia="宋体" w:cs="宋体"/>
                <w:b w:val="0"/>
                <w:sz w:val="21"/>
                <w:szCs w:val="24"/>
              </w:rPr>
            </w:pPr>
            <w:r>
              <w:rPr>
                <w:rStyle w:val="18"/>
                <w:rFonts w:ascii="宋体" w:hAnsi="宋体" w:eastAsia="宋体" w:cs="宋体"/>
                <w:b w:val="0"/>
                <w:sz w:val="21"/>
                <w:szCs w:val="24"/>
              </w:rPr>
              <w:t>(1)投标人具备有效的营业执照、资质证书、安全生产许可证和基本账户开户许可证或基本存款账户信息</w:t>
            </w:r>
          </w:p>
          <w:p>
            <w:pPr>
              <w:pStyle w:val="52"/>
              <w:jc w:val="left"/>
              <w:rPr>
                <w:rStyle w:val="18"/>
                <w:rFonts w:ascii="宋体" w:hAnsi="宋体" w:eastAsia="宋体" w:cs="宋体"/>
                <w:b w:val="0"/>
                <w:sz w:val="21"/>
                <w:szCs w:val="24"/>
              </w:rPr>
            </w:pPr>
            <w:r>
              <w:rPr>
                <w:rStyle w:val="18"/>
                <w:rFonts w:ascii="宋体" w:hAnsi="宋体" w:eastAsia="宋体" w:cs="宋体"/>
                <w:b w:val="0"/>
                <w:sz w:val="21"/>
                <w:szCs w:val="24"/>
              </w:rPr>
              <w:t>(2)投标人的资质等级符合招标文件规定。</w:t>
            </w:r>
          </w:p>
          <w:p>
            <w:pPr>
              <w:pStyle w:val="52"/>
              <w:jc w:val="left"/>
              <w:rPr>
                <w:rStyle w:val="18"/>
                <w:rFonts w:ascii="宋体" w:hAnsi="宋体" w:eastAsia="宋体" w:cs="宋体"/>
                <w:b w:val="0"/>
                <w:sz w:val="21"/>
                <w:szCs w:val="24"/>
              </w:rPr>
            </w:pPr>
            <w:r>
              <w:rPr>
                <w:rStyle w:val="18"/>
                <w:rFonts w:ascii="宋体" w:hAnsi="宋体" w:eastAsia="宋体" w:cs="宋体"/>
                <w:b w:val="0"/>
                <w:sz w:val="21"/>
                <w:szCs w:val="24"/>
              </w:rPr>
              <w:t>(3)投标人的财务状况符合招标文件规定。</w:t>
            </w:r>
          </w:p>
          <w:p>
            <w:pPr>
              <w:pStyle w:val="52"/>
              <w:jc w:val="left"/>
              <w:rPr>
                <w:rStyle w:val="18"/>
                <w:rFonts w:ascii="宋体" w:hAnsi="宋体" w:eastAsia="宋体" w:cs="宋体"/>
                <w:b w:val="0"/>
                <w:sz w:val="21"/>
                <w:szCs w:val="24"/>
              </w:rPr>
            </w:pPr>
            <w:r>
              <w:rPr>
                <w:rStyle w:val="18"/>
                <w:rFonts w:ascii="宋体" w:hAnsi="宋体" w:eastAsia="宋体" w:cs="宋体"/>
                <w:b w:val="0"/>
                <w:sz w:val="21"/>
                <w:szCs w:val="24"/>
              </w:rPr>
              <w:t>(4)投标人的类似项目业绩符合招标文件规定。</w:t>
            </w:r>
          </w:p>
          <w:p>
            <w:pPr>
              <w:pStyle w:val="52"/>
              <w:jc w:val="left"/>
              <w:rPr>
                <w:rStyle w:val="18"/>
                <w:rFonts w:ascii="宋体" w:hAnsi="宋体" w:eastAsia="宋体" w:cs="宋体"/>
                <w:b w:val="0"/>
                <w:sz w:val="21"/>
                <w:szCs w:val="24"/>
              </w:rPr>
            </w:pPr>
            <w:r>
              <w:rPr>
                <w:rStyle w:val="18"/>
                <w:rFonts w:ascii="宋体" w:hAnsi="宋体" w:eastAsia="宋体" w:cs="宋体"/>
                <w:b w:val="0"/>
                <w:sz w:val="21"/>
                <w:szCs w:val="24"/>
              </w:rPr>
              <w:t>(5)投标人的信誉符合招标文件规定。</w:t>
            </w:r>
          </w:p>
          <w:p>
            <w:pPr>
              <w:pStyle w:val="52"/>
              <w:jc w:val="left"/>
              <w:rPr>
                <w:rStyle w:val="18"/>
                <w:rFonts w:ascii="宋体" w:hAnsi="宋体" w:eastAsia="宋体" w:cs="宋体"/>
                <w:b w:val="0"/>
                <w:sz w:val="21"/>
                <w:szCs w:val="24"/>
              </w:rPr>
            </w:pPr>
            <w:r>
              <w:rPr>
                <w:rStyle w:val="18"/>
                <w:rFonts w:ascii="宋体" w:hAnsi="宋体" w:eastAsia="宋体" w:cs="宋体"/>
                <w:b w:val="0"/>
                <w:sz w:val="21"/>
                <w:szCs w:val="24"/>
              </w:rPr>
              <w:t>(6)投标人的项目经理和项目总工资格、在岗情况符合招标文件规定。</w:t>
            </w:r>
          </w:p>
          <w:p>
            <w:pPr>
              <w:pStyle w:val="52"/>
              <w:jc w:val="left"/>
              <w:rPr>
                <w:rStyle w:val="18"/>
                <w:rFonts w:ascii="宋体" w:hAnsi="宋体" w:eastAsia="宋体" w:cs="宋体"/>
                <w:b w:val="0"/>
                <w:sz w:val="21"/>
                <w:szCs w:val="24"/>
              </w:rPr>
            </w:pPr>
            <w:r>
              <w:rPr>
                <w:rStyle w:val="18"/>
                <w:rFonts w:ascii="宋体" w:hAnsi="宋体" w:eastAsia="宋体" w:cs="宋体"/>
                <w:b w:val="0"/>
                <w:sz w:val="21"/>
                <w:szCs w:val="24"/>
              </w:rPr>
              <w:t>(7)投标人的其他要求符合招标文件规定。</w:t>
            </w:r>
          </w:p>
          <w:p>
            <w:pPr>
              <w:pStyle w:val="52"/>
              <w:jc w:val="left"/>
              <w:rPr>
                <w:rStyle w:val="18"/>
                <w:rFonts w:ascii="宋体" w:hAnsi="宋体" w:eastAsia="宋体" w:cs="宋体"/>
                <w:b w:val="0"/>
                <w:sz w:val="21"/>
                <w:szCs w:val="24"/>
              </w:rPr>
            </w:pPr>
            <w:r>
              <w:rPr>
                <w:rStyle w:val="18"/>
                <w:rFonts w:ascii="宋体" w:hAnsi="宋体" w:eastAsia="宋体" w:cs="宋体"/>
                <w:b w:val="0"/>
                <w:sz w:val="21"/>
                <w:szCs w:val="24"/>
              </w:rPr>
              <w:t>(8)投标人不存在第二章“投标人须知”第1.4.3项或第1.4.4项规定的任何一种情形。</w:t>
            </w:r>
          </w:p>
          <w:p>
            <w:pPr>
              <w:pStyle w:val="52"/>
              <w:jc w:val="left"/>
              <w:rPr>
                <w:rStyle w:val="18"/>
                <w:rFonts w:ascii="宋体" w:hAnsi="宋体" w:eastAsia="宋体" w:cs="宋体"/>
                <w:b w:val="0"/>
                <w:sz w:val="21"/>
                <w:szCs w:val="24"/>
              </w:rPr>
            </w:pPr>
            <w:r>
              <w:rPr>
                <w:rStyle w:val="18"/>
                <w:rFonts w:ascii="宋体" w:hAnsi="宋体" w:eastAsia="宋体" w:cs="宋体"/>
                <w:b w:val="0"/>
                <w:sz w:val="21"/>
                <w:szCs w:val="24"/>
              </w:rPr>
              <w:t>(9)以联合体形式参与投标的，联合体各方均未再以自己名义单独或参加其他联合体在同一标段中投标；独立参与投标的，投标人未同时参加联合体在同一标段中投标。</w:t>
            </w:r>
          </w:p>
          <w:p>
            <w:pPr>
              <w:pStyle w:val="52"/>
              <w:jc w:val="left"/>
              <w:rPr>
                <w:rStyle w:val="18"/>
                <w:rFonts w:ascii="宋体" w:hAnsi="宋体" w:eastAsia="宋体" w:cs="宋体"/>
                <w:b w:val="0"/>
                <w:sz w:val="21"/>
                <w:szCs w:val="24"/>
              </w:rPr>
            </w:pPr>
          </w:p>
        </w:tc>
      </w:tr>
      <w:bookmarkEnd w:id="48"/>
    </w:tbl>
    <w:p>
      <w:pPr>
        <w:rPr>
          <w:rFonts w:hint="eastAsia"/>
          <w:color w:val="000080"/>
          <w:sz w:val="20"/>
          <w:highlight w:val="white"/>
        </w:rPr>
      </w:pPr>
    </w:p>
    <w:p>
      <w:pPr>
        <w:rPr>
          <w:color w:val="000080"/>
          <w:sz w:val="20"/>
          <w:highlight w:val="red"/>
        </w:rPr>
      </w:pPr>
      <w:bookmarkStart w:id="49" w:name="EB7795556ca67b4f2bbb95a8a99b07acd4"/>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954"/>
        <w:gridCol w:w="6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758" w:type="dxa"/>
            <w:tcBorders>
              <w:top w:val="single" w:color="000000" w:sz="2" w:space="0"/>
              <w:left w:val="single" w:color="000000" w:sz="2" w:space="0"/>
              <w:bottom w:val="single" w:color="000000" w:sz="2" w:space="0"/>
              <w:right w:val="single" w:color="000000" w:sz="2" w:space="0"/>
            </w:tcBorders>
            <w:noWrap w:val="0"/>
            <w:tcMar>
              <w:top w:w="102" w:type="dxa"/>
              <w:bottom w:w="102" w:type="dxa"/>
            </w:tcMar>
            <w:vAlign w:val="center"/>
          </w:tcPr>
          <w:p>
            <w:pPr>
              <w:pStyle w:val="53"/>
              <w:jc w:val="center"/>
              <w:rPr>
                <w:rStyle w:val="18"/>
                <w:rFonts w:ascii="宋体" w:hAnsi="宋体" w:eastAsia="宋体" w:cs="宋体"/>
                <w:b/>
                <w:spacing w:val="0"/>
                <w:w w:val="100"/>
                <w:sz w:val="21"/>
                <w:szCs w:val="24"/>
              </w:rPr>
            </w:pPr>
            <w:r>
              <w:rPr>
                <w:rStyle w:val="18"/>
                <w:rFonts w:ascii="宋体" w:hAnsi="宋体" w:eastAsia="宋体" w:cs="宋体"/>
                <w:b/>
                <w:spacing w:val="0"/>
                <w:w w:val="100"/>
                <w:sz w:val="21"/>
                <w:szCs w:val="24"/>
              </w:rPr>
              <w:t>条款号</w:t>
            </w:r>
          </w:p>
        </w:tc>
        <w:tc>
          <w:tcPr>
            <w:tcW w:w="954" w:type="dxa"/>
            <w:tcBorders>
              <w:top w:val="single" w:color="000000" w:sz="2" w:space="0"/>
              <w:left w:val="single" w:color="000000" w:sz="2" w:space="0"/>
              <w:bottom w:val="single" w:color="000000" w:sz="2" w:space="0"/>
              <w:right w:val="single" w:color="000000" w:sz="2" w:space="0"/>
            </w:tcBorders>
            <w:noWrap w:val="0"/>
            <w:tcMar>
              <w:top w:w="102" w:type="dxa"/>
              <w:bottom w:w="102" w:type="dxa"/>
            </w:tcMar>
            <w:vAlign w:val="center"/>
          </w:tcPr>
          <w:p>
            <w:pPr>
              <w:pStyle w:val="53"/>
              <w:jc w:val="center"/>
              <w:rPr>
                <w:rStyle w:val="18"/>
                <w:rFonts w:ascii="宋体" w:hAnsi="宋体" w:eastAsia="宋体" w:cs="宋体"/>
                <w:b/>
                <w:spacing w:val="0"/>
                <w:w w:val="100"/>
                <w:sz w:val="21"/>
                <w:szCs w:val="24"/>
              </w:rPr>
            </w:pPr>
            <w:r>
              <w:rPr>
                <w:rStyle w:val="18"/>
                <w:rFonts w:ascii="宋体" w:hAnsi="宋体" w:eastAsia="宋体" w:cs="宋体"/>
                <w:b/>
                <w:spacing w:val="0"/>
                <w:w w:val="100"/>
                <w:sz w:val="21"/>
                <w:szCs w:val="24"/>
              </w:rPr>
              <w:t>条款内容</w:t>
            </w:r>
          </w:p>
        </w:tc>
        <w:tc>
          <w:tcPr>
            <w:tcW w:w="6810" w:type="dxa"/>
            <w:tcBorders>
              <w:top w:val="single" w:color="000000" w:sz="2" w:space="0"/>
              <w:left w:val="single" w:color="000000" w:sz="2" w:space="0"/>
              <w:bottom w:val="single" w:color="000000" w:sz="2" w:space="0"/>
              <w:right w:val="single" w:color="000000" w:sz="2" w:space="0"/>
            </w:tcBorders>
            <w:noWrap w:val="0"/>
            <w:tcMar>
              <w:top w:w="102" w:type="dxa"/>
              <w:bottom w:w="102" w:type="dxa"/>
            </w:tcMar>
            <w:vAlign w:val="center"/>
          </w:tcPr>
          <w:p>
            <w:pPr>
              <w:pStyle w:val="53"/>
              <w:jc w:val="center"/>
              <w:rPr>
                <w:rStyle w:val="18"/>
                <w:rFonts w:ascii="宋体" w:hAnsi="宋体" w:eastAsia="宋体" w:cs="宋体"/>
                <w:b/>
                <w:spacing w:val="0"/>
                <w:w w:val="100"/>
                <w:sz w:val="21"/>
                <w:szCs w:val="24"/>
              </w:rPr>
            </w:pPr>
            <w:r>
              <w:rPr>
                <w:rStyle w:val="18"/>
                <w:rFonts w:ascii="宋体" w:hAnsi="宋体" w:eastAsia="宋体" w:cs="宋体"/>
                <w:b/>
                <w:spacing w:val="0"/>
                <w:w w:val="100"/>
                <w:sz w:val="21"/>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blHeader/>
        </w:trPr>
        <w:tc>
          <w:tcPr>
            <w:tcW w:w="758" w:type="dxa"/>
            <w:tcBorders>
              <w:top w:val="single" w:color="000000" w:sz="2" w:space="0"/>
              <w:left w:val="single" w:color="000000" w:sz="2" w:space="0"/>
              <w:bottom w:val="single" w:color="000000" w:sz="2" w:space="0"/>
              <w:right w:val="single" w:color="000000" w:sz="2" w:space="0"/>
            </w:tcBorders>
            <w:noWrap w:val="0"/>
            <w:tcMar>
              <w:top w:w="102" w:type="dxa"/>
              <w:bottom w:w="102" w:type="dxa"/>
            </w:tcMar>
            <w:vAlign w:val="center"/>
          </w:tcPr>
          <w:p>
            <w:pPr>
              <w:pStyle w:val="53"/>
              <w:jc w:val="center"/>
              <w:rPr>
                <w:rStyle w:val="18"/>
                <w:rFonts w:ascii="宋体" w:hAnsi="宋体" w:eastAsia="宋体" w:cs="宋体"/>
                <w:b w:val="0"/>
                <w:spacing w:val="0"/>
                <w:w w:val="100"/>
                <w:sz w:val="21"/>
                <w:szCs w:val="24"/>
              </w:rPr>
            </w:pPr>
            <w:r>
              <w:rPr>
                <w:rStyle w:val="18"/>
                <w:rFonts w:ascii="宋体" w:hAnsi="宋体" w:eastAsia="宋体" w:cs="宋体"/>
                <w:b w:val="0"/>
                <w:spacing w:val="0"/>
                <w:w w:val="100"/>
                <w:sz w:val="21"/>
                <w:szCs w:val="24"/>
              </w:rPr>
              <w:t>2.2.1</w:t>
            </w:r>
          </w:p>
        </w:tc>
        <w:tc>
          <w:tcPr>
            <w:tcW w:w="954" w:type="dxa"/>
            <w:tcBorders>
              <w:top w:val="single" w:color="000000" w:sz="2" w:space="0"/>
              <w:left w:val="single" w:color="000000" w:sz="2" w:space="0"/>
              <w:bottom w:val="single" w:color="000000" w:sz="2" w:space="0"/>
              <w:right w:val="single" w:color="000000" w:sz="2" w:space="0"/>
            </w:tcBorders>
            <w:noWrap w:val="0"/>
            <w:tcMar>
              <w:top w:w="102" w:type="dxa"/>
              <w:bottom w:w="102" w:type="dxa"/>
            </w:tcMar>
            <w:vAlign w:val="center"/>
          </w:tcPr>
          <w:p>
            <w:pPr>
              <w:pStyle w:val="53"/>
              <w:jc w:val="center"/>
              <w:rPr>
                <w:rStyle w:val="18"/>
                <w:rFonts w:ascii="宋体" w:hAnsi="宋体" w:eastAsia="宋体" w:cs="宋体"/>
                <w:b w:val="0"/>
                <w:spacing w:val="0"/>
                <w:w w:val="100"/>
                <w:sz w:val="21"/>
                <w:szCs w:val="24"/>
              </w:rPr>
            </w:pPr>
            <w:r>
              <w:rPr>
                <w:rStyle w:val="18"/>
                <w:rFonts w:ascii="宋体" w:hAnsi="宋体" w:eastAsia="宋体" w:cs="宋体"/>
                <w:b w:val="0"/>
                <w:spacing w:val="0"/>
                <w:w w:val="100"/>
                <w:sz w:val="21"/>
                <w:szCs w:val="24"/>
              </w:rPr>
              <w:t>分值构成</w:t>
            </w:r>
          </w:p>
          <w:p>
            <w:pPr>
              <w:pStyle w:val="53"/>
              <w:jc w:val="center"/>
              <w:rPr>
                <w:rStyle w:val="18"/>
                <w:rFonts w:ascii="宋体" w:hAnsi="宋体" w:eastAsia="宋体" w:cs="宋体"/>
                <w:b w:val="0"/>
                <w:spacing w:val="0"/>
                <w:w w:val="100"/>
                <w:sz w:val="21"/>
                <w:szCs w:val="24"/>
              </w:rPr>
            </w:pPr>
            <w:r>
              <w:rPr>
                <w:rStyle w:val="18"/>
                <w:rFonts w:ascii="宋体" w:hAnsi="宋体" w:eastAsia="宋体" w:cs="宋体"/>
                <w:b w:val="0"/>
                <w:spacing w:val="0"/>
                <w:w w:val="100"/>
                <w:sz w:val="21"/>
                <w:szCs w:val="24"/>
              </w:rPr>
              <w:t>（总分100.0分）</w:t>
            </w:r>
          </w:p>
          <w:p>
            <w:pPr>
              <w:pStyle w:val="53"/>
              <w:jc w:val="center"/>
              <w:rPr>
                <w:rStyle w:val="18"/>
                <w:rFonts w:ascii="宋体" w:hAnsi="宋体" w:eastAsia="宋体" w:cs="宋体"/>
                <w:b w:val="0"/>
                <w:spacing w:val="0"/>
                <w:w w:val="100"/>
                <w:sz w:val="21"/>
                <w:szCs w:val="24"/>
              </w:rPr>
            </w:pPr>
          </w:p>
        </w:tc>
        <w:tc>
          <w:tcPr>
            <w:tcW w:w="6810" w:type="dxa"/>
            <w:tcBorders>
              <w:top w:val="single" w:color="000000" w:sz="2" w:space="0"/>
              <w:left w:val="single" w:color="000000" w:sz="2" w:space="0"/>
              <w:bottom w:val="single" w:color="000000" w:sz="2" w:space="0"/>
              <w:right w:val="single" w:color="000000" w:sz="2" w:space="0"/>
            </w:tcBorders>
            <w:noWrap w:val="0"/>
            <w:tcMar>
              <w:top w:w="102" w:type="dxa"/>
              <w:bottom w:w="102" w:type="dxa"/>
            </w:tcMar>
            <w:vAlign w:val="center"/>
          </w:tcPr>
          <w:p>
            <w:pPr>
              <w:pStyle w:val="53"/>
              <w:jc w:val="center"/>
              <w:rPr>
                <w:rStyle w:val="18"/>
                <w:rFonts w:ascii="宋体" w:hAnsi="宋体" w:eastAsia="宋体" w:cs="宋体"/>
                <w:b/>
                <w:spacing w:val="0"/>
                <w:w w:val="100"/>
                <w:sz w:val="21"/>
                <w:szCs w:val="24"/>
              </w:rPr>
            </w:pPr>
            <w:r>
              <w:rPr>
                <w:rStyle w:val="18"/>
                <w:rFonts w:ascii="宋体" w:hAnsi="宋体" w:eastAsia="宋体" w:cs="宋体"/>
                <w:b/>
                <w:spacing w:val="0"/>
                <w:w w:val="100"/>
                <w:sz w:val="21"/>
                <w:szCs w:val="24"/>
              </w:rPr>
              <w:t>评标价:99分</w:t>
            </w:r>
          </w:p>
          <w:p>
            <w:pPr>
              <w:pStyle w:val="53"/>
              <w:jc w:val="center"/>
              <w:rPr>
                <w:rStyle w:val="18"/>
                <w:rFonts w:ascii="宋体" w:hAnsi="宋体" w:eastAsia="宋体" w:cs="宋体"/>
                <w:b/>
                <w:spacing w:val="0"/>
                <w:w w:val="100"/>
                <w:sz w:val="21"/>
                <w:szCs w:val="24"/>
              </w:rPr>
            </w:pPr>
            <w:r>
              <w:rPr>
                <w:rStyle w:val="18"/>
                <w:rFonts w:ascii="宋体" w:hAnsi="宋体" w:eastAsia="宋体" w:cs="宋体"/>
                <w:b/>
                <w:spacing w:val="0"/>
                <w:w w:val="100"/>
                <w:sz w:val="21"/>
                <w:szCs w:val="24"/>
              </w:rPr>
              <w:t>其他因素:1分</w:t>
            </w:r>
          </w:p>
          <w:p>
            <w:pPr>
              <w:pStyle w:val="53"/>
              <w:jc w:val="center"/>
              <w:rPr>
                <w:rStyle w:val="18"/>
                <w:rFonts w:ascii="宋体" w:hAnsi="宋体" w:eastAsia="宋体" w:cs="宋体"/>
                <w:b w:val="0"/>
                <w:spacing w:val="0"/>
                <w:w w:val="1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758" w:type="dxa"/>
            <w:tcBorders>
              <w:top w:val="single" w:color="000000" w:sz="2" w:space="0"/>
              <w:left w:val="single" w:color="000000" w:sz="2" w:space="0"/>
              <w:bottom w:val="single" w:color="000000" w:sz="2" w:space="0"/>
              <w:right w:val="single" w:color="000000" w:sz="2" w:space="0"/>
            </w:tcBorders>
            <w:noWrap w:val="0"/>
            <w:tcMar>
              <w:top w:w="102" w:type="dxa"/>
              <w:bottom w:w="102" w:type="dxa"/>
            </w:tcMar>
            <w:vAlign w:val="center"/>
          </w:tcPr>
          <w:p>
            <w:pPr>
              <w:pStyle w:val="53"/>
              <w:jc w:val="center"/>
              <w:rPr>
                <w:rStyle w:val="18"/>
                <w:rFonts w:ascii="宋体" w:hAnsi="宋体" w:eastAsia="宋体" w:cs="宋体"/>
                <w:b w:val="0"/>
                <w:spacing w:val="0"/>
                <w:w w:val="100"/>
                <w:sz w:val="21"/>
                <w:szCs w:val="24"/>
              </w:rPr>
            </w:pPr>
            <w:r>
              <w:rPr>
                <w:rStyle w:val="18"/>
                <w:rFonts w:ascii="宋体" w:hAnsi="宋体" w:eastAsia="宋体" w:cs="宋体"/>
                <w:b w:val="0"/>
                <w:spacing w:val="0"/>
                <w:w w:val="100"/>
                <w:sz w:val="21"/>
                <w:szCs w:val="24"/>
              </w:rPr>
              <w:t>2.2.2</w:t>
            </w:r>
          </w:p>
        </w:tc>
        <w:tc>
          <w:tcPr>
            <w:tcW w:w="954" w:type="dxa"/>
            <w:tcBorders>
              <w:top w:val="single" w:color="000000" w:sz="2" w:space="0"/>
              <w:left w:val="single" w:color="000000" w:sz="2" w:space="0"/>
              <w:bottom w:val="single" w:color="000000" w:sz="2" w:space="0"/>
              <w:right w:val="single" w:color="000000" w:sz="2" w:space="0"/>
            </w:tcBorders>
            <w:noWrap w:val="0"/>
            <w:tcMar>
              <w:top w:w="102" w:type="dxa"/>
              <w:bottom w:w="102" w:type="dxa"/>
            </w:tcMar>
            <w:vAlign w:val="center"/>
          </w:tcPr>
          <w:p>
            <w:pPr>
              <w:pStyle w:val="53"/>
              <w:jc w:val="center"/>
              <w:rPr>
                <w:rStyle w:val="18"/>
                <w:rFonts w:ascii="宋体" w:hAnsi="宋体" w:eastAsia="宋体" w:cs="宋体"/>
                <w:b w:val="0"/>
                <w:spacing w:val="0"/>
                <w:w w:val="100"/>
                <w:sz w:val="21"/>
                <w:szCs w:val="24"/>
              </w:rPr>
            </w:pPr>
            <w:r>
              <w:rPr>
                <w:rStyle w:val="18"/>
                <w:rFonts w:ascii="宋体" w:hAnsi="宋体" w:eastAsia="宋体" w:cs="宋体"/>
                <w:b w:val="0"/>
                <w:spacing w:val="0"/>
                <w:w w:val="100"/>
                <w:sz w:val="21"/>
                <w:szCs w:val="24"/>
              </w:rPr>
              <w:t>评标基准价计算方法</w:t>
            </w:r>
          </w:p>
        </w:tc>
        <w:tc>
          <w:tcPr>
            <w:tcW w:w="6810" w:type="dxa"/>
            <w:tcBorders>
              <w:top w:val="single" w:color="000000" w:sz="2" w:space="0"/>
              <w:left w:val="single" w:color="000000" w:sz="2" w:space="0"/>
              <w:bottom w:val="single" w:color="000000" w:sz="2" w:space="0"/>
              <w:right w:val="single" w:color="000000" w:sz="2" w:space="0"/>
            </w:tcBorders>
            <w:noWrap w:val="0"/>
            <w:tcMar>
              <w:top w:w="102" w:type="dxa"/>
              <w:bottom w:w="102" w:type="dxa"/>
            </w:tcMar>
            <w:vAlign w:val="center"/>
          </w:tcPr>
          <w:p>
            <w:pPr>
              <w:pStyle w:val="53"/>
              <w:jc w:val="left"/>
              <w:rPr>
                <w:rStyle w:val="18"/>
                <w:rFonts w:ascii="宋体" w:hAnsi="宋体" w:eastAsia="宋体" w:cs="宋体"/>
                <w:b/>
                <w:spacing w:val="0"/>
                <w:w w:val="100"/>
                <w:sz w:val="21"/>
                <w:szCs w:val="24"/>
              </w:rPr>
            </w:pPr>
            <w:r>
              <w:rPr>
                <w:rStyle w:val="18"/>
                <w:rFonts w:ascii="宋体" w:hAnsi="宋体" w:eastAsia="宋体" w:cs="宋体"/>
                <w:b/>
                <w:spacing w:val="0"/>
                <w:w w:val="100"/>
                <w:sz w:val="21"/>
                <w:szCs w:val="24"/>
              </w:rPr>
              <w:t xml:space="preserve">评标基准价计算方法： </w:t>
            </w:r>
          </w:p>
          <w:p>
            <w:pPr>
              <w:pStyle w:val="53"/>
              <w:jc w:val="left"/>
              <w:rPr>
                <w:rStyle w:val="18"/>
                <w:rFonts w:ascii="宋体" w:hAnsi="宋体" w:eastAsia="宋体" w:cs="宋体"/>
                <w:b/>
                <w:spacing w:val="0"/>
                <w:w w:val="100"/>
                <w:sz w:val="21"/>
                <w:szCs w:val="24"/>
              </w:rPr>
            </w:pPr>
            <w:r>
              <w:rPr>
                <w:rStyle w:val="18"/>
                <w:rFonts w:ascii="宋体" w:hAnsi="宋体" w:eastAsia="宋体" w:cs="宋体"/>
                <w:b/>
                <w:spacing w:val="0"/>
                <w:w w:val="100"/>
                <w:sz w:val="21"/>
                <w:szCs w:val="24"/>
              </w:rPr>
              <w:t>在开标现场，招标人将当场计算并宣布评标基准价。</w:t>
            </w:r>
          </w:p>
          <w:p>
            <w:pPr>
              <w:pStyle w:val="53"/>
              <w:jc w:val="left"/>
              <w:rPr>
                <w:rStyle w:val="18"/>
                <w:rFonts w:ascii="宋体" w:hAnsi="宋体" w:eastAsia="宋体" w:cs="宋体"/>
                <w:b/>
                <w:spacing w:val="0"/>
                <w:w w:val="100"/>
                <w:sz w:val="21"/>
                <w:szCs w:val="24"/>
              </w:rPr>
            </w:pPr>
            <w:r>
              <w:rPr>
                <w:rStyle w:val="18"/>
                <w:rFonts w:ascii="宋体" w:hAnsi="宋体" w:eastAsia="宋体" w:cs="宋体"/>
                <w:b/>
                <w:spacing w:val="0"/>
                <w:w w:val="100"/>
                <w:sz w:val="21"/>
                <w:szCs w:val="24"/>
              </w:rPr>
              <w:t>(1)评标价的确定：评标价=投标函文字报价</w:t>
            </w:r>
          </w:p>
          <w:p>
            <w:pPr>
              <w:pStyle w:val="53"/>
              <w:jc w:val="left"/>
              <w:rPr>
                <w:rStyle w:val="18"/>
                <w:rFonts w:ascii="宋体" w:hAnsi="宋体" w:eastAsia="宋体" w:cs="宋体"/>
                <w:b/>
                <w:spacing w:val="0"/>
                <w:w w:val="100"/>
                <w:sz w:val="21"/>
                <w:szCs w:val="24"/>
              </w:rPr>
            </w:pPr>
            <w:r>
              <w:rPr>
                <w:rStyle w:val="18"/>
                <w:rFonts w:ascii="宋体" w:hAnsi="宋体" w:eastAsia="宋体" w:cs="宋体"/>
                <w:b/>
                <w:spacing w:val="0"/>
                <w:w w:val="100"/>
                <w:sz w:val="21"/>
                <w:szCs w:val="24"/>
              </w:rPr>
              <w:t>(2) 理论成本价的确定:</w:t>
            </w:r>
          </w:p>
          <w:p>
            <w:pPr>
              <w:pStyle w:val="53"/>
              <w:jc w:val="left"/>
              <w:rPr>
                <w:rStyle w:val="18"/>
                <w:rFonts w:ascii="宋体" w:hAnsi="宋体" w:eastAsia="宋体" w:cs="宋体"/>
                <w:b/>
                <w:spacing w:val="0"/>
                <w:w w:val="100"/>
                <w:sz w:val="21"/>
                <w:szCs w:val="24"/>
              </w:rPr>
            </w:pPr>
            <w:r>
              <w:rPr>
                <w:rStyle w:val="18"/>
                <w:rFonts w:ascii="宋体" w:hAnsi="宋体" w:eastAsia="宋体" w:cs="宋体"/>
                <w:b/>
                <w:spacing w:val="0"/>
                <w:w w:val="100"/>
                <w:sz w:val="21"/>
                <w:szCs w:val="24"/>
              </w:rPr>
              <w:t>按第二章“投标人须知”第5.2.4.1目规定计算。</w:t>
            </w:r>
          </w:p>
          <w:p>
            <w:pPr>
              <w:pStyle w:val="53"/>
              <w:jc w:val="left"/>
              <w:rPr>
                <w:rStyle w:val="18"/>
                <w:rFonts w:ascii="宋体" w:hAnsi="宋体" w:eastAsia="宋体" w:cs="宋体"/>
                <w:b/>
                <w:spacing w:val="0"/>
                <w:w w:val="100"/>
                <w:sz w:val="21"/>
                <w:szCs w:val="24"/>
              </w:rPr>
            </w:pPr>
            <w:r>
              <w:rPr>
                <w:rStyle w:val="18"/>
                <w:rFonts w:ascii="宋体" w:hAnsi="宋体" w:eastAsia="宋体" w:cs="宋体"/>
                <w:b/>
                <w:spacing w:val="0"/>
                <w:w w:val="100"/>
                <w:sz w:val="21"/>
                <w:szCs w:val="24"/>
              </w:rPr>
              <w:t>(3)评标价平均值的计算：</w:t>
            </w:r>
          </w:p>
          <w:p>
            <w:pPr>
              <w:pStyle w:val="53"/>
              <w:jc w:val="left"/>
              <w:rPr>
                <w:rStyle w:val="18"/>
                <w:rFonts w:ascii="宋体" w:hAnsi="宋体" w:eastAsia="宋体" w:cs="宋体"/>
                <w:b/>
                <w:spacing w:val="0"/>
                <w:w w:val="100"/>
                <w:sz w:val="21"/>
                <w:szCs w:val="24"/>
              </w:rPr>
            </w:pPr>
            <w:r>
              <w:rPr>
                <w:rStyle w:val="18"/>
                <w:rFonts w:ascii="宋体" w:hAnsi="宋体" w:eastAsia="宋体" w:cs="宋体"/>
                <w:b/>
                <w:spacing w:val="0"/>
                <w:w w:val="100"/>
                <w:sz w:val="21"/>
                <w:szCs w:val="24"/>
              </w:rPr>
              <w:t>除按第二章“投标人须知”第5.2.4.2目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pStyle w:val="53"/>
              <w:jc w:val="left"/>
              <w:rPr>
                <w:rStyle w:val="18"/>
                <w:rFonts w:ascii="宋体" w:hAnsi="宋体" w:eastAsia="宋体" w:cs="宋体"/>
                <w:b/>
                <w:spacing w:val="0"/>
                <w:w w:val="100"/>
                <w:sz w:val="21"/>
                <w:szCs w:val="24"/>
              </w:rPr>
            </w:pPr>
            <w:r>
              <w:rPr>
                <w:rStyle w:val="18"/>
                <w:rFonts w:ascii="宋体" w:hAnsi="宋体" w:eastAsia="宋体" w:cs="宋体"/>
                <w:b/>
                <w:spacing w:val="0"/>
                <w:w w:val="100"/>
                <w:sz w:val="21"/>
                <w:szCs w:val="24"/>
              </w:rPr>
              <w:t>(4)评标基准价的确定:</w:t>
            </w:r>
          </w:p>
          <w:p>
            <w:pPr>
              <w:pStyle w:val="53"/>
              <w:jc w:val="left"/>
              <w:rPr>
                <w:rStyle w:val="18"/>
                <w:rFonts w:ascii="宋体" w:hAnsi="宋体" w:eastAsia="宋体" w:cs="宋体"/>
                <w:b/>
                <w:spacing w:val="0"/>
                <w:w w:val="100"/>
                <w:sz w:val="21"/>
                <w:szCs w:val="24"/>
              </w:rPr>
            </w:pPr>
            <w:r>
              <w:rPr>
                <w:rStyle w:val="18"/>
                <w:rFonts w:ascii="宋体" w:hAnsi="宋体" w:eastAsia="宋体" w:cs="宋体"/>
                <w:b/>
                <w:spacing w:val="0"/>
                <w:w w:val="100"/>
                <w:sz w:val="21"/>
                <w:szCs w:val="24"/>
              </w:rPr>
              <w:t>评标基准价=（最高投标限价×C1+评标价平均值×C2）[ 对于如路面、交安等材料费用比重较大的工程，C1取0.6，C2取0.4；对于如路基、隧道等材料费用比重较小的工程，C1取0.5，C2取0.5；具体情况根据项目实际在招标文件中明确。]×（1-下浮系数）</w:t>
            </w:r>
          </w:p>
          <w:p>
            <w:pPr>
              <w:pStyle w:val="53"/>
              <w:jc w:val="left"/>
              <w:rPr>
                <w:rStyle w:val="18"/>
                <w:rFonts w:ascii="宋体" w:hAnsi="宋体" w:eastAsia="宋体" w:cs="宋体"/>
                <w:b/>
                <w:spacing w:val="0"/>
                <w:w w:val="100"/>
                <w:sz w:val="21"/>
                <w:szCs w:val="24"/>
              </w:rPr>
            </w:pPr>
            <w:r>
              <w:rPr>
                <w:rStyle w:val="18"/>
                <w:rFonts w:ascii="宋体" w:hAnsi="宋体" w:eastAsia="宋体" w:cs="宋体"/>
                <w:b/>
                <w:spacing w:val="0"/>
                <w:w w:val="100"/>
                <w:sz w:val="21"/>
                <w:szCs w:val="24"/>
              </w:rPr>
              <w:t>其中：C1=0.6；C2=0.4。</w:t>
            </w:r>
          </w:p>
          <w:p>
            <w:pPr>
              <w:pStyle w:val="53"/>
              <w:jc w:val="left"/>
              <w:rPr>
                <w:rStyle w:val="18"/>
                <w:rFonts w:ascii="宋体" w:hAnsi="宋体" w:eastAsia="宋体" w:cs="宋体"/>
                <w:b/>
                <w:spacing w:val="0"/>
                <w:w w:val="100"/>
                <w:sz w:val="21"/>
                <w:szCs w:val="24"/>
              </w:rPr>
            </w:pPr>
            <w:r>
              <w:rPr>
                <w:rStyle w:val="18"/>
                <w:rFonts w:ascii="宋体" w:hAnsi="宋体" w:eastAsia="宋体" w:cs="宋体"/>
                <w:b/>
                <w:spacing w:val="0"/>
                <w:w w:val="100"/>
                <w:sz w:val="21"/>
                <w:szCs w:val="24"/>
              </w:rPr>
              <w:t>下浮系数为    、    、    、    、    （从1%~5%中选取5个数，步距不小于0.5%，设置等差数列），并在开标时随机抽取。[ 具体数值由招标人依据项目特点和实际需要予以明确。]</w:t>
            </w:r>
          </w:p>
          <w:p>
            <w:pPr>
              <w:pStyle w:val="53"/>
              <w:jc w:val="left"/>
              <w:rPr>
                <w:rStyle w:val="18"/>
                <w:rFonts w:ascii="宋体" w:hAnsi="宋体" w:eastAsia="宋体" w:cs="宋体"/>
                <w:b/>
                <w:spacing w:val="0"/>
                <w:w w:val="100"/>
                <w:sz w:val="21"/>
                <w:szCs w:val="24"/>
              </w:rPr>
            </w:pPr>
            <w:r>
              <w:rPr>
                <w:rStyle w:val="18"/>
                <w:rFonts w:ascii="宋体" w:hAnsi="宋体" w:eastAsia="宋体" w:cs="宋体"/>
                <w:b/>
                <w:spacing w:val="0"/>
                <w:w w:val="100"/>
                <w:sz w:val="21"/>
                <w:szCs w:val="24"/>
              </w:rPr>
              <w:t>如果投标人认为某一标段的评标基准价计算有误， 有权在开标现场提出，经当场核实确认之后，可重新宣布评标基准价。</w:t>
            </w:r>
          </w:p>
          <w:p>
            <w:pPr>
              <w:pStyle w:val="53"/>
              <w:jc w:val="left"/>
              <w:rPr>
                <w:rStyle w:val="18"/>
                <w:rFonts w:ascii="宋体" w:hAnsi="宋体" w:eastAsia="宋体" w:cs="宋体"/>
                <w:b/>
                <w:spacing w:val="0"/>
                <w:w w:val="100"/>
                <w:sz w:val="21"/>
                <w:szCs w:val="24"/>
              </w:rPr>
            </w:pPr>
            <w:r>
              <w:rPr>
                <w:rStyle w:val="18"/>
                <w:rFonts w:ascii="宋体" w:hAnsi="宋体" w:eastAsia="宋体" w:cs="宋体"/>
                <w:b/>
                <w:spacing w:val="0"/>
                <w:w w:val="100"/>
                <w:sz w:val="21"/>
                <w:szCs w:val="24"/>
              </w:rPr>
              <w:t>在评标过程中，评标委员会应对招标人计算的评标基准价进行复核，存在计算错误的应予以修正并在评标报告中作出说明。除此之外，评标基准价在整个评标期间保持不变，不随任何因素发生变化。</w:t>
            </w:r>
          </w:p>
        </w:tc>
      </w:tr>
      <w:bookmarkEnd w:id="49"/>
    </w:tbl>
    <w:p>
      <w:pPr>
        <w:rPr>
          <w:rFonts w:hint="eastAsia"/>
          <w:color w:val="000080"/>
          <w:sz w:val="20"/>
          <w:highlight w:val="white"/>
        </w:rPr>
      </w:pPr>
    </w:p>
    <w:tbl>
      <w:tblPr>
        <w:tblStyle w:val="17"/>
        <w:tblW w:w="864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38"/>
        <w:gridCol w:w="1503"/>
        <w:gridCol w:w="50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38"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tLeast"/>
              <w:jc w:val="center"/>
              <w:rPr>
                <w:rFonts w:ascii="Calibri" w:hAnsi="Calibri"/>
                <w:b/>
                <w:kern w:val="2"/>
                <w:sz w:val="21"/>
                <w:szCs w:val="21"/>
                <w:lang w:val="en-US" w:eastAsia="zh-CN" w:bidi="ar-SA"/>
              </w:rPr>
            </w:pPr>
            <w:r>
              <w:rPr>
                <w:rFonts w:hint="eastAsia" w:ascii="Calibri" w:hAnsi="Calibri"/>
                <w:b/>
                <w:kern w:val="2"/>
                <w:sz w:val="21"/>
                <w:szCs w:val="21"/>
                <w:highlight w:val="white"/>
                <w:lang w:val="en-US" w:eastAsia="zh-CN" w:bidi="ar-SA"/>
              </w:rPr>
              <w:t>条款号</w:t>
            </w:r>
          </w:p>
        </w:tc>
        <w:tc>
          <w:tcPr>
            <w:tcW w:w="1503"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tLeast"/>
              <w:jc w:val="center"/>
              <w:rPr>
                <w:rFonts w:ascii="Calibri" w:hAnsi="Calibri"/>
                <w:b/>
                <w:kern w:val="2"/>
                <w:sz w:val="21"/>
                <w:szCs w:val="21"/>
                <w:lang w:val="en-US" w:eastAsia="zh-CN" w:bidi="ar-SA"/>
              </w:rPr>
            </w:pPr>
            <w:r>
              <w:rPr>
                <w:rFonts w:hint="eastAsia" w:ascii="Calibri" w:hAnsi="Calibri"/>
                <w:b/>
                <w:kern w:val="2"/>
                <w:sz w:val="21"/>
                <w:szCs w:val="21"/>
                <w:highlight w:val="white"/>
                <w:lang w:val="en-US" w:eastAsia="zh-CN" w:bidi="ar-SA"/>
              </w:rPr>
              <w:t>条款内容</w:t>
            </w:r>
          </w:p>
        </w:tc>
        <w:tc>
          <w:tcPr>
            <w:tcW w:w="5099"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tLeast"/>
              <w:jc w:val="center"/>
              <w:rPr>
                <w:rFonts w:ascii="Calibri" w:hAnsi="Calibri"/>
                <w:b/>
                <w:kern w:val="2"/>
                <w:sz w:val="21"/>
                <w:szCs w:val="21"/>
                <w:lang w:val="en-US" w:eastAsia="zh-CN" w:bidi="ar-SA"/>
              </w:rPr>
            </w:pPr>
            <w:r>
              <w:rPr>
                <w:rFonts w:hint="eastAsia" w:ascii="Calibri" w:hAnsi="Calibri"/>
                <w:b/>
                <w:kern w:val="2"/>
                <w:sz w:val="21"/>
                <w:szCs w:val="21"/>
                <w:highlight w:val="white"/>
                <w:lang w:val="en-US" w:eastAsia="zh-CN" w:bidi="ar-SA"/>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38"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tLeast"/>
              <w:jc w:val="center"/>
              <w:rPr>
                <w:rFonts w:ascii="Calibri" w:hAnsi="Calibri"/>
                <w:kern w:val="2"/>
                <w:sz w:val="21"/>
                <w:szCs w:val="21"/>
                <w:lang w:val="en-US" w:eastAsia="zh-CN" w:bidi="ar-SA"/>
              </w:rPr>
            </w:pPr>
            <w:r>
              <w:rPr>
                <w:rFonts w:ascii="Calibri" w:hAnsi="Calibri"/>
                <w:kern w:val="2"/>
                <w:sz w:val="21"/>
                <w:szCs w:val="21"/>
                <w:highlight w:val="white"/>
                <w:lang w:val="en-US" w:eastAsia="zh-CN" w:bidi="ar-SA"/>
              </w:rPr>
              <w:t>2.2.3</w:t>
            </w:r>
          </w:p>
        </w:tc>
        <w:tc>
          <w:tcPr>
            <w:tcW w:w="1503"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tLeast"/>
              <w:jc w:val="center"/>
              <w:rPr>
                <w:rFonts w:ascii="Calibri" w:hAnsi="Calibri"/>
                <w:kern w:val="2"/>
                <w:sz w:val="21"/>
                <w:szCs w:val="21"/>
                <w:lang w:val="en-US" w:eastAsia="zh-CN" w:bidi="ar-SA"/>
              </w:rPr>
            </w:pPr>
            <w:r>
              <w:rPr>
                <w:rFonts w:hint="eastAsia" w:ascii="Calibri" w:hAnsi="Calibri"/>
                <w:kern w:val="2"/>
                <w:sz w:val="21"/>
                <w:szCs w:val="21"/>
                <w:highlight w:val="white"/>
                <w:lang w:val="en-US" w:eastAsia="zh-CN" w:bidi="ar-SA"/>
              </w:rPr>
              <w:t>评标价的偏差率计算公式</w:t>
            </w:r>
          </w:p>
        </w:tc>
        <w:tc>
          <w:tcPr>
            <w:tcW w:w="5099"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tLeast"/>
              <w:jc w:val="both"/>
              <w:rPr>
                <w:rFonts w:ascii="Calibri" w:hAnsi="Calibri" w:eastAsia="黑体"/>
                <w:kern w:val="2"/>
                <w:sz w:val="21"/>
                <w:szCs w:val="21"/>
                <w:lang w:val="en-US" w:eastAsia="zh-CN" w:bidi="ar-SA"/>
              </w:rPr>
            </w:pPr>
            <w:r>
              <w:rPr>
                <w:rFonts w:hint="eastAsia" w:ascii="Calibri" w:hAnsi="Calibri" w:eastAsia="黑体"/>
                <w:kern w:val="2"/>
                <w:sz w:val="21"/>
                <w:szCs w:val="21"/>
                <w:highlight w:val="white"/>
                <w:lang w:val="en-US" w:eastAsia="zh-CN" w:bidi="ar-SA"/>
              </w:rPr>
              <w:t>偏差率</w:t>
            </w:r>
            <w:r>
              <w:rPr>
                <w:rFonts w:ascii="Calibri" w:hAnsi="Calibri" w:eastAsia="黑体"/>
                <w:kern w:val="2"/>
                <w:sz w:val="21"/>
                <w:szCs w:val="21"/>
                <w:highlight w:val="white"/>
                <w:lang w:val="en-US" w:eastAsia="zh-CN" w:bidi="ar-SA"/>
              </w:rPr>
              <w:t xml:space="preserve">=100% </w:t>
            </w:r>
            <w:r>
              <w:rPr>
                <w:rFonts w:hint="eastAsia" w:ascii="Calibri" w:hAnsi="Calibri" w:eastAsia="黑体"/>
                <w:kern w:val="2"/>
                <w:sz w:val="21"/>
                <w:szCs w:val="21"/>
                <w:highlight w:val="white"/>
                <w:lang w:val="en-US" w:eastAsia="zh-CN" w:bidi="ar-SA"/>
              </w:rPr>
              <w:t>×（投标人评标价－评标基准价）</w:t>
            </w:r>
            <w:r>
              <w:rPr>
                <w:rFonts w:ascii="Calibri" w:hAnsi="Calibri" w:eastAsia="黑体"/>
                <w:kern w:val="2"/>
                <w:sz w:val="21"/>
                <w:szCs w:val="21"/>
                <w:highlight w:val="white"/>
                <w:lang w:val="en-US" w:eastAsia="zh-CN" w:bidi="ar-SA"/>
              </w:rPr>
              <w:t>/</w:t>
            </w:r>
            <w:r>
              <w:rPr>
                <w:rFonts w:hint="eastAsia" w:ascii="Calibri" w:hAnsi="Calibri" w:eastAsia="黑体"/>
                <w:kern w:val="2"/>
                <w:sz w:val="21"/>
                <w:szCs w:val="21"/>
                <w:highlight w:val="white"/>
                <w:lang w:val="en-US" w:eastAsia="zh-CN" w:bidi="ar-SA"/>
              </w:rPr>
              <w:t>评标基准价</w:t>
            </w:r>
          </w:p>
        </w:tc>
      </w:tr>
    </w:tbl>
    <w:p>
      <w:pPr>
        <w:rPr>
          <w:color w:val="000080"/>
          <w:sz w:val="20"/>
          <w:highlight w:val="red"/>
        </w:rPr>
      </w:pPr>
      <w:bookmarkStart w:id="50" w:name="EB49911993882143fbbd3a24d9ecd92a8c"/>
      <w:bookmarkEnd w:id="50"/>
    </w:p>
    <w:p>
      <w:pPr>
        <w:rPr>
          <w:color w:val="000080"/>
          <w:sz w:val="20"/>
          <w:highlight w:val="red"/>
        </w:rPr>
      </w:pPr>
      <w:bookmarkStart w:id="51" w:name="EB121f0433beda48678f93fc3d68d03357"/>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549"/>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762" w:type="dxa"/>
            <w:tcBorders>
              <w:top w:val="single" w:color="000000" w:sz="2" w:space="0"/>
              <w:left w:val="single" w:color="000000" w:sz="2" w:space="0"/>
              <w:bottom w:val="single" w:color="000000" w:sz="2" w:space="0"/>
              <w:right w:val="single" w:color="000000" w:sz="2" w:space="0"/>
            </w:tcBorders>
            <w:noWrap w:val="0"/>
            <w:tcMar>
              <w:top w:w="102" w:type="dxa"/>
              <w:bottom w:w="102" w:type="dxa"/>
            </w:tcMar>
            <w:vAlign w:val="center"/>
          </w:tcPr>
          <w:p>
            <w:pPr>
              <w:pStyle w:val="54"/>
              <w:jc w:val="center"/>
              <w:rPr>
                <w:rStyle w:val="18"/>
                <w:rFonts w:ascii="宋体" w:hAnsi="宋体" w:eastAsia="宋体" w:cs="宋体"/>
                <w:b/>
                <w:spacing w:val="0"/>
                <w:w w:val="100"/>
                <w:sz w:val="21"/>
                <w:szCs w:val="24"/>
              </w:rPr>
            </w:pPr>
            <w:r>
              <w:rPr>
                <w:rStyle w:val="18"/>
                <w:rFonts w:ascii="宋体" w:hAnsi="宋体" w:eastAsia="宋体" w:cs="宋体"/>
                <w:b/>
                <w:spacing w:val="0"/>
                <w:w w:val="100"/>
                <w:sz w:val="21"/>
                <w:szCs w:val="24"/>
              </w:rPr>
              <w:t>条款号</w:t>
            </w:r>
          </w:p>
        </w:tc>
        <w:tc>
          <w:tcPr>
            <w:tcW w:w="549" w:type="dxa"/>
            <w:tcBorders>
              <w:top w:val="single" w:color="000000" w:sz="2" w:space="0"/>
              <w:left w:val="single" w:color="000000" w:sz="2" w:space="0"/>
              <w:bottom w:val="single" w:color="000000" w:sz="2" w:space="0"/>
              <w:right w:val="single" w:color="000000" w:sz="2" w:space="0"/>
            </w:tcBorders>
            <w:noWrap w:val="0"/>
            <w:tcMar>
              <w:top w:w="102" w:type="dxa"/>
              <w:bottom w:w="102" w:type="dxa"/>
            </w:tcMar>
            <w:vAlign w:val="center"/>
          </w:tcPr>
          <w:p>
            <w:pPr>
              <w:pStyle w:val="54"/>
              <w:jc w:val="center"/>
              <w:rPr>
                <w:rStyle w:val="18"/>
                <w:rFonts w:ascii="宋体" w:hAnsi="宋体" w:eastAsia="宋体" w:cs="宋体"/>
                <w:b/>
                <w:spacing w:val="0"/>
                <w:w w:val="100"/>
                <w:sz w:val="21"/>
                <w:szCs w:val="24"/>
              </w:rPr>
            </w:pPr>
            <w:r>
              <w:rPr>
                <w:rStyle w:val="18"/>
                <w:rFonts w:ascii="宋体" w:hAnsi="宋体" w:eastAsia="宋体" w:cs="宋体"/>
                <w:b/>
                <w:spacing w:val="0"/>
                <w:w w:val="100"/>
                <w:sz w:val="21"/>
                <w:szCs w:val="24"/>
              </w:rPr>
              <w:t>评分因素</w:t>
            </w:r>
          </w:p>
        </w:tc>
        <w:tc>
          <w:tcPr>
            <w:tcW w:w="7211" w:type="dxa"/>
            <w:tcBorders>
              <w:top w:val="single" w:color="000000" w:sz="2" w:space="0"/>
              <w:left w:val="single" w:color="000000" w:sz="2" w:space="0"/>
              <w:bottom w:val="single" w:color="000000" w:sz="2" w:space="0"/>
              <w:right w:val="single" w:color="000000" w:sz="2" w:space="0"/>
            </w:tcBorders>
            <w:noWrap w:val="0"/>
            <w:tcMar>
              <w:top w:w="102" w:type="dxa"/>
              <w:bottom w:w="102" w:type="dxa"/>
            </w:tcMar>
            <w:vAlign w:val="center"/>
          </w:tcPr>
          <w:p>
            <w:pPr>
              <w:pStyle w:val="54"/>
              <w:jc w:val="center"/>
              <w:rPr>
                <w:rStyle w:val="18"/>
                <w:rFonts w:ascii="宋体" w:hAnsi="宋体" w:eastAsia="宋体" w:cs="宋体"/>
                <w:b/>
                <w:spacing w:val="0"/>
                <w:w w:val="100"/>
                <w:sz w:val="21"/>
                <w:szCs w:val="24"/>
              </w:rPr>
            </w:pPr>
            <w:r>
              <w:rPr>
                <w:rStyle w:val="18"/>
                <w:rFonts w:ascii="宋体" w:hAnsi="宋体" w:eastAsia="宋体" w:cs="宋体"/>
                <w:b/>
                <w:spacing w:val="0"/>
                <w:w w:val="100"/>
                <w:sz w:val="21"/>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762" w:type="dxa"/>
            <w:tcBorders>
              <w:top w:val="single" w:color="000000" w:sz="2" w:space="0"/>
              <w:left w:val="single" w:color="000000" w:sz="2" w:space="0"/>
              <w:bottom w:val="single" w:color="000000" w:sz="2" w:space="0"/>
              <w:right w:val="single" w:color="000000" w:sz="2" w:space="0"/>
            </w:tcBorders>
            <w:noWrap w:val="0"/>
            <w:tcMar>
              <w:top w:w="102" w:type="dxa"/>
              <w:bottom w:w="102" w:type="dxa"/>
            </w:tcMar>
            <w:vAlign w:val="center"/>
          </w:tcPr>
          <w:p>
            <w:pPr>
              <w:pStyle w:val="54"/>
              <w:jc w:val="center"/>
              <w:rPr>
                <w:rStyle w:val="18"/>
                <w:rFonts w:ascii="宋体" w:hAnsi="宋体" w:eastAsia="宋体" w:cs="宋体"/>
                <w:b w:val="0"/>
                <w:spacing w:val="0"/>
                <w:w w:val="100"/>
                <w:sz w:val="21"/>
                <w:szCs w:val="24"/>
              </w:rPr>
            </w:pPr>
            <w:r>
              <w:rPr>
                <w:rStyle w:val="18"/>
                <w:rFonts w:ascii="宋体" w:hAnsi="宋体" w:eastAsia="宋体" w:cs="宋体"/>
                <w:b w:val="0"/>
                <w:spacing w:val="0"/>
                <w:w w:val="100"/>
                <w:sz w:val="21"/>
                <w:szCs w:val="24"/>
              </w:rPr>
              <w:t>2.2.4</w:t>
            </w:r>
          </w:p>
        </w:tc>
        <w:tc>
          <w:tcPr>
            <w:tcW w:w="549" w:type="dxa"/>
            <w:tcBorders>
              <w:top w:val="single" w:color="000000" w:sz="2" w:space="0"/>
              <w:left w:val="single" w:color="000000" w:sz="2" w:space="0"/>
              <w:bottom w:val="single" w:color="000000" w:sz="2" w:space="0"/>
              <w:right w:val="single" w:color="000000" w:sz="2" w:space="0"/>
            </w:tcBorders>
            <w:noWrap w:val="0"/>
            <w:tcMar>
              <w:top w:w="102" w:type="dxa"/>
              <w:bottom w:w="102" w:type="dxa"/>
            </w:tcMar>
            <w:vAlign w:val="center"/>
          </w:tcPr>
          <w:p>
            <w:pPr>
              <w:pStyle w:val="54"/>
              <w:jc w:val="center"/>
              <w:rPr>
                <w:rStyle w:val="18"/>
                <w:rFonts w:ascii="宋体" w:hAnsi="宋体" w:eastAsia="宋体" w:cs="宋体"/>
                <w:b w:val="0"/>
                <w:spacing w:val="0"/>
                <w:w w:val="100"/>
                <w:sz w:val="21"/>
                <w:szCs w:val="24"/>
              </w:rPr>
            </w:pPr>
            <w:r>
              <w:rPr>
                <w:rStyle w:val="18"/>
                <w:rFonts w:ascii="宋体" w:hAnsi="宋体" w:eastAsia="宋体" w:cs="宋体"/>
                <w:b w:val="0"/>
                <w:spacing w:val="0"/>
                <w:w w:val="100"/>
                <w:sz w:val="21"/>
                <w:szCs w:val="24"/>
              </w:rPr>
              <w:t>评标价</w:t>
            </w:r>
          </w:p>
        </w:tc>
        <w:tc>
          <w:tcPr>
            <w:tcW w:w="7211" w:type="dxa"/>
            <w:tcBorders>
              <w:top w:val="single" w:color="000000" w:sz="2" w:space="0"/>
              <w:left w:val="single" w:color="000000" w:sz="2" w:space="0"/>
              <w:bottom w:val="single" w:color="000000" w:sz="2" w:space="0"/>
              <w:right w:val="single" w:color="000000" w:sz="2" w:space="0"/>
            </w:tcBorders>
            <w:noWrap w:val="0"/>
            <w:tcMar>
              <w:top w:w="102" w:type="dxa"/>
              <w:bottom w:w="102" w:type="dxa"/>
            </w:tcMar>
            <w:vAlign w:val="center"/>
          </w:tcPr>
          <w:p>
            <w:pPr>
              <w:pStyle w:val="54"/>
              <w:jc w:val="left"/>
              <w:rPr>
                <w:rStyle w:val="18"/>
                <w:rFonts w:ascii="宋体" w:hAnsi="宋体" w:eastAsia="宋体" w:cs="宋体"/>
                <w:b w:val="0"/>
                <w:spacing w:val="0"/>
                <w:w w:val="100"/>
                <w:sz w:val="21"/>
                <w:szCs w:val="24"/>
              </w:rPr>
            </w:pPr>
            <w:r>
              <w:rPr>
                <w:rStyle w:val="18"/>
                <w:rFonts w:ascii="宋体" w:hAnsi="宋体" w:eastAsia="宋体" w:cs="宋体"/>
                <w:b w:val="0"/>
                <w:spacing w:val="0"/>
                <w:w w:val="100"/>
                <w:sz w:val="21"/>
                <w:szCs w:val="24"/>
              </w:rPr>
              <w:t>99分</w:t>
            </w:r>
          </w:p>
          <w:p>
            <w:pPr>
              <w:pStyle w:val="54"/>
              <w:jc w:val="left"/>
              <w:rPr>
                <w:rStyle w:val="18"/>
                <w:rFonts w:ascii="宋体" w:hAnsi="宋体" w:eastAsia="宋体" w:cs="宋体"/>
                <w:b w:val="0"/>
                <w:spacing w:val="0"/>
                <w:w w:val="100"/>
                <w:sz w:val="21"/>
                <w:szCs w:val="24"/>
              </w:rPr>
            </w:pPr>
            <w:r>
              <w:rPr>
                <w:rStyle w:val="18"/>
                <w:rFonts w:ascii="宋体" w:hAnsi="宋体" w:eastAsia="宋体" w:cs="宋体"/>
                <w:b w:val="0"/>
                <w:spacing w:val="0"/>
                <w:w w:val="100"/>
                <w:sz w:val="21"/>
                <w:szCs w:val="24"/>
              </w:rPr>
              <w:t>评标价得分计算公式示例：</w:t>
            </w:r>
          </w:p>
          <w:p>
            <w:pPr>
              <w:pStyle w:val="54"/>
              <w:jc w:val="left"/>
              <w:rPr>
                <w:rStyle w:val="18"/>
                <w:rFonts w:ascii="宋体" w:hAnsi="宋体" w:eastAsia="宋体" w:cs="宋体"/>
                <w:b w:val="0"/>
                <w:spacing w:val="0"/>
                <w:w w:val="100"/>
                <w:sz w:val="21"/>
                <w:szCs w:val="24"/>
              </w:rPr>
            </w:pPr>
            <w:r>
              <w:rPr>
                <w:rStyle w:val="18"/>
                <w:rFonts w:ascii="宋体" w:hAnsi="宋体" w:eastAsia="宋体" w:cs="宋体"/>
                <w:b w:val="0"/>
                <w:spacing w:val="0"/>
                <w:w w:val="100"/>
                <w:sz w:val="21"/>
                <w:szCs w:val="24"/>
              </w:rPr>
              <w:t>（1）如果投标人的评标价大于评标基准价，则评标价得分＝99－偏差率×100×E1；</w:t>
            </w:r>
          </w:p>
          <w:p>
            <w:pPr>
              <w:pStyle w:val="54"/>
              <w:jc w:val="left"/>
              <w:rPr>
                <w:rStyle w:val="18"/>
                <w:rFonts w:ascii="宋体" w:hAnsi="宋体" w:eastAsia="宋体" w:cs="宋体"/>
                <w:b w:val="0"/>
                <w:spacing w:val="0"/>
                <w:w w:val="100"/>
                <w:sz w:val="21"/>
                <w:szCs w:val="24"/>
              </w:rPr>
            </w:pPr>
            <w:r>
              <w:rPr>
                <w:rStyle w:val="18"/>
                <w:rFonts w:ascii="宋体" w:hAnsi="宋体" w:eastAsia="宋体" w:cs="宋体"/>
                <w:b w:val="0"/>
                <w:spacing w:val="0"/>
                <w:w w:val="100"/>
                <w:sz w:val="21"/>
                <w:szCs w:val="24"/>
              </w:rPr>
              <w:t>（2）如果投标人的评标价小于等于评标基准价，则评标价得分＝99＋偏差率×100×E2。</w:t>
            </w:r>
          </w:p>
          <w:p>
            <w:pPr>
              <w:pStyle w:val="54"/>
              <w:jc w:val="left"/>
              <w:rPr>
                <w:rStyle w:val="18"/>
                <w:rFonts w:ascii="宋体" w:hAnsi="宋体" w:eastAsia="宋体" w:cs="宋体"/>
                <w:b w:val="0"/>
                <w:spacing w:val="0"/>
                <w:w w:val="100"/>
                <w:sz w:val="21"/>
                <w:szCs w:val="24"/>
              </w:rPr>
            </w:pPr>
            <w:r>
              <w:rPr>
                <w:rStyle w:val="18"/>
                <w:rFonts w:ascii="宋体" w:hAnsi="宋体" w:eastAsia="宋体" w:cs="宋体"/>
                <w:b w:val="0"/>
                <w:spacing w:val="0"/>
                <w:w w:val="100"/>
                <w:sz w:val="21"/>
                <w:szCs w:val="24"/>
              </w:rPr>
              <w:t>其中：</w:t>
            </w:r>
          </w:p>
          <w:p>
            <w:pPr>
              <w:pStyle w:val="54"/>
              <w:jc w:val="left"/>
              <w:rPr>
                <w:rStyle w:val="18"/>
                <w:rFonts w:ascii="宋体" w:hAnsi="宋体" w:eastAsia="宋体" w:cs="宋体"/>
                <w:b w:val="0"/>
                <w:spacing w:val="0"/>
                <w:w w:val="100"/>
                <w:sz w:val="21"/>
                <w:szCs w:val="24"/>
              </w:rPr>
            </w:pPr>
            <w:r>
              <w:rPr>
                <w:rStyle w:val="18"/>
                <w:rFonts w:ascii="宋体" w:hAnsi="宋体" w:eastAsia="宋体" w:cs="宋体"/>
                <w:b w:val="0"/>
                <w:spacing w:val="0"/>
                <w:w w:val="100"/>
                <w:sz w:val="21"/>
                <w:szCs w:val="24"/>
              </w:rPr>
              <w:t>E1是评标价每高于评标基准价一个百分点的扣分值，E2是评标价每低于评标基准价一个百分点的扣分值，</w:t>
            </w:r>
          </w:p>
          <w:p>
            <w:pPr>
              <w:pStyle w:val="54"/>
              <w:jc w:val="left"/>
              <w:rPr>
                <w:rStyle w:val="18"/>
                <w:rFonts w:ascii="宋体" w:hAnsi="宋体" w:eastAsia="宋体" w:cs="宋体"/>
                <w:b w:val="0"/>
                <w:spacing w:val="0"/>
                <w:w w:val="100"/>
                <w:sz w:val="21"/>
                <w:szCs w:val="24"/>
              </w:rPr>
            </w:pPr>
            <w:r>
              <w:rPr>
                <w:rStyle w:val="18"/>
                <w:rFonts w:ascii="宋体" w:hAnsi="宋体" w:eastAsia="宋体" w:cs="宋体"/>
                <w:b w:val="0"/>
                <w:spacing w:val="0"/>
                <w:w w:val="100"/>
                <w:sz w:val="21"/>
                <w:szCs w:val="24"/>
              </w:rPr>
              <w:t>E1=2，E2=1</w:t>
            </w:r>
          </w:p>
          <w:p>
            <w:pPr>
              <w:pStyle w:val="54"/>
              <w:jc w:val="left"/>
              <w:rPr>
                <w:rStyle w:val="18"/>
                <w:rFonts w:ascii="宋体" w:hAnsi="宋体" w:eastAsia="宋体" w:cs="宋体"/>
                <w:b w:val="0"/>
                <w:spacing w:val="0"/>
                <w:w w:val="100"/>
                <w:sz w:val="21"/>
                <w:szCs w:val="24"/>
              </w:rPr>
            </w:pPr>
            <w:r>
              <w:rPr>
                <w:rStyle w:val="18"/>
                <w:rFonts w:ascii="宋体" w:hAnsi="宋体" w:eastAsia="宋体" w:cs="宋体"/>
                <w:b w:val="0"/>
                <w:spacing w:val="0"/>
                <w:w w:val="100"/>
                <w:sz w:val="21"/>
                <w:szCs w:val="24"/>
              </w:rPr>
              <w:t>评标基准价下浮系数将从 1%、1.5% 、2%、2.5%、3%，在开标时随机抽取。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762" w:type="dxa"/>
            <w:tcBorders>
              <w:top w:val="single" w:color="000000" w:sz="2" w:space="0"/>
              <w:left w:val="single" w:color="000000" w:sz="2" w:space="0"/>
              <w:bottom w:val="single" w:color="000000" w:sz="2" w:space="0"/>
              <w:right w:val="single" w:color="000000" w:sz="2" w:space="0"/>
            </w:tcBorders>
            <w:noWrap w:val="0"/>
            <w:tcMar>
              <w:top w:w="102" w:type="dxa"/>
              <w:bottom w:w="102" w:type="dxa"/>
            </w:tcMar>
            <w:vAlign w:val="center"/>
          </w:tcPr>
          <w:p>
            <w:pPr>
              <w:pStyle w:val="54"/>
              <w:jc w:val="center"/>
              <w:rPr>
                <w:rStyle w:val="18"/>
                <w:rFonts w:ascii="宋体" w:hAnsi="宋体" w:eastAsia="宋体" w:cs="宋体"/>
                <w:b w:val="0"/>
                <w:spacing w:val="0"/>
                <w:w w:val="100"/>
                <w:sz w:val="21"/>
                <w:szCs w:val="24"/>
              </w:rPr>
            </w:pPr>
          </w:p>
        </w:tc>
        <w:tc>
          <w:tcPr>
            <w:tcW w:w="549" w:type="dxa"/>
            <w:tcBorders>
              <w:top w:val="single" w:color="000000" w:sz="2" w:space="0"/>
              <w:left w:val="single" w:color="000000" w:sz="2" w:space="0"/>
              <w:bottom w:val="single" w:color="000000" w:sz="2" w:space="0"/>
              <w:right w:val="single" w:color="000000" w:sz="2" w:space="0"/>
            </w:tcBorders>
            <w:noWrap w:val="0"/>
            <w:tcMar>
              <w:top w:w="102" w:type="dxa"/>
              <w:bottom w:w="102" w:type="dxa"/>
            </w:tcMar>
            <w:vAlign w:val="center"/>
          </w:tcPr>
          <w:p>
            <w:pPr>
              <w:pStyle w:val="54"/>
              <w:jc w:val="center"/>
              <w:rPr>
                <w:rStyle w:val="18"/>
                <w:rFonts w:ascii="宋体" w:hAnsi="宋体" w:eastAsia="宋体" w:cs="宋体"/>
                <w:b w:val="0"/>
                <w:spacing w:val="0"/>
                <w:w w:val="100"/>
                <w:sz w:val="21"/>
                <w:szCs w:val="24"/>
              </w:rPr>
            </w:pPr>
            <w:r>
              <w:rPr>
                <w:rStyle w:val="18"/>
                <w:rFonts w:ascii="宋体" w:hAnsi="宋体" w:eastAsia="宋体" w:cs="宋体"/>
                <w:b w:val="0"/>
                <w:spacing w:val="0"/>
                <w:w w:val="100"/>
                <w:sz w:val="21"/>
                <w:szCs w:val="24"/>
              </w:rPr>
              <w:t>其他因素</w:t>
            </w:r>
          </w:p>
        </w:tc>
        <w:tc>
          <w:tcPr>
            <w:tcW w:w="7211" w:type="dxa"/>
            <w:tcBorders>
              <w:top w:val="single" w:color="000000" w:sz="2" w:space="0"/>
              <w:left w:val="single" w:color="000000" w:sz="2" w:space="0"/>
              <w:bottom w:val="single" w:color="000000" w:sz="2" w:space="0"/>
              <w:right w:val="single" w:color="000000" w:sz="2" w:space="0"/>
            </w:tcBorders>
            <w:noWrap w:val="0"/>
            <w:tcMar>
              <w:top w:w="102" w:type="dxa"/>
              <w:bottom w:w="102" w:type="dxa"/>
            </w:tcMar>
            <w:vAlign w:val="center"/>
          </w:tcPr>
          <w:p>
            <w:pPr>
              <w:pStyle w:val="54"/>
              <w:jc w:val="left"/>
              <w:rPr>
                <w:rStyle w:val="18"/>
                <w:rFonts w:ascii="宋体" w:hAnsi="宋体" w:eastAsia="宋体" w:cs="宋体"/>
                <w:b w:val="0"/>
                <w:spacing w:val="0"/>
                <w:w w:val="100"/>
                <w:sz w:val="21"/>
                <w:szCs w:val="24"/>
              </w:rPr>
            </w:pPr>
            <w:r>
              <w:rPr>
                <w:rStyle w:val="18"/>
                <w:rFonts w:ascii="宋体" w:hAnsi="宋体" w:eastAsia="宋体" w:cs="宋体"/>
                <w:b w:val="0"/>
                <w:spacing w:val="0"/>
                <w:w w:val="100"/>
                <w:sz w:val="21"/>
                <w:szCs w:val="24"/>
              </w:rPr>
              <w:t>信用评价：1分</w:t>
            </w:r>
          </w:p>
          <w:p>
            <w:pPr>
              <w:pStyle w:val="54"/>
              <w:jc w:val="left"/>
              <w:rPr>
                <w:rStyle w:val="18"/>
                <w:rFonts w:ascii="宋体" w:hAnsi="宋体" w:eastAsia="宋体" w:cs="宋体"/>
                <w:b w:val="0"/>
                <w:spacing w:val="0"/>
                <w:w w:val="100"/>
                <w:sz w:val="21"/>
                <w:szCs w:val="24"/>
              </w:rPr>
            </w:pPr>
            <w:r>
              <w:rPr>
                <w:rStyle w:val="18"/>
                <w:rFonts w:ascii="宋体" w:hAnsi="宋体" w:eastAsia="宋体" w:cs="宋体"/>
                <w:b w:val="0"/>
                <w:spacing w:val="0"/>
                <w:w w:val="100"/>
                <w:sz w:val="21"/>
                <w:szCs w:val="24"/>
              </w:rPr>
              <w:t xml:space="preserve">     年度</w:t>
            </w:r>
          </w:p>
          <w:p>
            <w:pPr>
              <w:pStyle w:val="54"/>
              <w:jc w:val="left"/>
              <w:rPr>
                <w:rStyle w:val="18"/>
                <w:rFonts w:ascii="宋体" w:hAnsi="宋体" w:eastAsia="宋体" w:cs="宋体"/>
                <w:b w:val="0"/>
                <w:spacing w:val="0"/>
                <w:w w:val="100"/>
                <w:sz w:val="21"/>
                <w:szCs w:val="24"/>
              </w:rPr>
            </w:pPr>
            <w:r>
              <w:rPr>
                <w:rStyle w:val="18"/>
                <w:rFonts w:ascii="宋体" w:hAnsi="宋体" w:eastAsia="宋体" w:cs="宋体"/>
                <w:b w:val="0"/>
                <w:spacing w:val="0"/>
                <w:w w:val="100"/>
                <w:sz w:val="21"/>
                <w:szCs w:val="24"/>
              </w:rPr>
              <w:t>信用等级</w:t>
            </w:r>
            <w:r>
              <w:rPr>
                <w:rStyle w:val="18"/>
                <w:rFonts w:ascii="宋体" w:hAnsi="宋体" w:eastAsia="宋体" w:cs="宋体"/>
                <w:b w:val="0"/>
                <w:spacing w:val="0"/>
                <w:w w:val="100"/>
                <w:sz w:val="21"/>
                <w:szCs w:val="24"/>
              </w:rPr>
              <w:tab/>
            </w:r>
            <w:r>
              <w:rPr>
                <w:rStyle w:val="18"/>
                <w:rFonts w:ascii="宋体" w:hAnsi="宋体" w:eastAsia="宋体" w:cs="宋体"/>
                <w:b w:val="0"/>
                <w:spacing w:val="0"/>
                <w:w w:val="100"/>
                <w:sz w:val="21"/>
                <w:szCs w:val="24"/>
              </w:rPr>
              <w:t>最近第一年/分</w:t>
            </w:r>
            <w:r>
              <w:rPr>
                <w:rStyle w:val="18"/>
                <w:rFonts w:ascii="宋体" w:hAnsi="宋体" w:eastAsia="宋体" w:cs="宋体"/>
                <w:b w:val="0"/>
                <w:spacing w:val="0"/>
                <w:w w:val="100"/>
                <w:sz w:val="21"/>
                <w:szCs w:val="24"/>
              </w:rPr>
              <w:tab/>
            </w:r>
            <w:r>
              <w:rPr>
                <w:rStyle w:val="18"/>
                <w:rFonts w:ascii="宋体" w:hAnsi="宋体" w:eastAsia="宋体" w:cs="宋体"/>
                <w:b w:val="0"/>
                <w:spacing w:val="0"/>
                <w:w w:val="100"/>
                <w:sz w:val="21"/>
                <w:szCs w:val="24"/>
              </w:rPr>
              <w:t>最近第二年/分</w:t>
            </w:r>
            <w:r>
              <w:rPr>
                <w:rStyle w:val="18"/>
                <w:rFonts w:ascii="宋体" w:hAnsi="宋体" w:eastAsia="宋体" w:cs="宋体"/>
                <w:b w:val="0"/>
                <w:spacing w:val="0"/>
                <w:w w:val="100"/>
                <w:sz w:val="21"/>
                <w:szCs w:val="24"/>
              </w:rPr>
              <w:tab/>
            </w:r>
            <w:r>
              <w:rPr>
                <w:rStyle w:val="18"/>
                <w:rFonts w:ascii="宋体" w:hAnsi="宋体" w:eastAsia="宋体" w:cs="宋体"/>
                <w:b w:val="0"/>
                <w:spacing w:val="0"/>
                <w:w w:val="100"/>
                <w:sz w:val="21"/>
                <w:szCs w:val="24"/>
              </w:rPr>
              <w:t>最近第三年/分</w:t>
            </w:r>
          </w:p>
          <w:p>
            <w:pPr>
              <w:pStyle w:val="54"/>
              <w:jc w:val="left"/>
              <w:rPr>
                <w:rStyle w:val="18"/>
                <w:rFonts w:ascii="宋体" w:hAnsi="宋体" w:eastAsia="宋体" w:cs="宋体"/>
                <w:b w:val="0"/>
                <w:spacing w:val="0"/>
                <w:w w:val="100"/>
                <w:sz w:val="21"/>
                <w:szCs w:val="24"/>
              </w:rPr>
            </w:pPr>
            <w:r>
              <w:rPr>
                <w:rStyle w:val="18"/>
                <w:rFonts w:ascii="宋体" w:hAnsi="宋体" w:eastAsia="宋体" w:cs="宋体"/>
                <w:b w:val="0"/>
                <w:spacing w:val="0"/>
                <w:w w:val="100"/>
                <w:sz w:val="21"/>
                <w:szCs w:val="24"/>
              </w:rPr>
              <w:t>AA</w:t>
            </w:r>
            <w:r>
              <w:rPr>
                <w:rStyle w:val="18"/>
                <w:rFonts w:ascii="宋体" w:hAnsi="宋体" w:eastAsia="宋体" w:cs="宋体"/>
                <w:b w:val="0"/>
                <w:spacing w:val="0"/>
                <w:w w:val="100"/>
                <w:sz w:val="21"/>
                <w:szCs w:val="24"/>
              </w:rPr>
              <w:tab/>
            </w:r>
            <w:r>
              <w:rPr>
                <w:rStyle w:val="18"/>
                <w:rFonts w:ascii="宋体" w:hAnsi="宋体" w:eastAsia="宋体" w:cs="宋体"/>
                <w:b w:val="0"/>
                <w:spacing w:val="0"/>
                <w:w w:val="100"/>
                <w:sz w:val="21"/>
                <w:szCs w:val="24"/>
              </w:rPr>
              <w:t>0.5</w:t>
            </w:r>
            <w:r>
              <w:rPr>
                <w:rStyle w:val="18"/>
                <w:rFonts w:ascii="宋体" w:hAnsi="宋体" w:eastAsia="宋体" w:cs="宋体"/>
                <w:b w:val="0"/>
                <w:spacing w:val="0"/>
                <w:w w:val="100"/>
                <w:sz w:val="21"/>
                <w:szCs w:val="24"/>
              </w:rPr>
              <w:tab/>
            </w:r>
            <w:r>
              <w:rPr>
                <w:rStyle w:val="18"/>
                <w:rFonts w:ascii="宋体" w:hAnsi="宋体" w:eastAsia="宋体" w:cs="宋体"/>
                <w:b w:val="0"/>
                <w:spacing w:val="0"/>
                <w:w w:val="100"/>
                <w:sz w:val="21"/>
                <w:szCs w:val="24"/>
              </w:rPr>
              <w:t>0.3</w:t>
            </w:r>
            <w:r>
              <w:rPr>
                <w:rStyle w:val="18"/>
                <w:rFonts w:ascii="宋体" w:hAnsi="宋体" w:eastAsia="宋体" w:cs="宋体"/>
                <w:b w:val="0"/>
                <w:spacing w:val="0"/>
                <w:w w:val="100"/>
                <w:sz w:val="21"/>
                <w:szCs w:val="24"/>
              </w:rPr>
              <w:tab/>
            </w:r>
            <w:r>
              <w:rPr>
                <w:rStyle w:val="18"/>
                <w:rFonts w:ascii="宋体" w:hAnsi="宋体" w:eastAsia="宋体" w:cs="宋体"/>
                <w:b w:val="0"/>
                <w:spacing w:val="0"/>
                <w:w w:val="100"/>
                <w:sz w:val="21"/>
                <w:szCs w:val="24"/>
              </w:rPr>
              <w:t>0.2</w:t>
            </w:r>
          </w:p>
          <w:p>
            <w:pPr>
              <w:pStyle w:val="54"/>
              <w:jc w:val="left"/>
              <w:rPr>
                <w:rStyle w:val="18"/>
                <w:rFonts w:ascii="宋体" w:hAnsi="宋体" w:eastAsia="宋体" w:cs="宋体"/>
                <w:b w:val="0"/>
                <w:spacing w:val="0"/>
                <w:w w:val="100"/>
                <w:sz w:val="21"/>
                <w:szCs w:val="24"/>
              </w:rPr>
            </w:pPr>
            <w:r>
              <w:rPr>
                <w:rStyle w:val="18"/>
                <w:rFonts w:ascii="宋体" w:hAnsi="宋体" w:eastAsia="宋体" w:cs="宋体"/>
                <w:b w:val="0"/>
                <w:spacing w:val="0"/>
                <w:w w:val="100"/>
                <w:sz w:val="21"/>
                <w:szCs w:val="24"/>
              </w:rPr>
              <w:t>A</w:t>
            </w:r>
            <w:r>
              <w:rPr>
                <w:rStyle w:val="18"/>
                <w:rFonts w:ascii="宋体" w:hAnsi="宋体" w:eastAsia="宋体" w:cs="宋体"/>
                <w:b w:val="0"/>
                <w:spacing w:val="0"/>
                <w:w w:val="100"/>
                <w:sz w:val="21"/>
                <w:szCs w:val="24"/>
              </w:rPr>
              <w:tab/>
            </w:r>
            <w:r>
              <w:rPr>
                <w:rStyle w:val="18"/>
                <w:rFonts w:ascii="宋体" w:hAnsi="宋体" w:eastAsia="宋体" w:cs="宋体"/>
                <w:b w:val="0"/>
                <w:spacing w:val="0"/>
                <w:w w:val="100"/>
                <w:sz w:val="21"/>
                <w:szCs w:val="24"/>
              </w:rPr>
              <w:t>0.3</w:t>
            </w:r>
            <w:r>
              <w:rPr>
                <w:rStyle w:val="18"/>
                <w:rFonts w:ascii="宋体" w:hAnsi="宋体" w:eastAsia="宋体" w:cs="宋体"/>
                <w:b w:val="0"/>
                <w:spacing w:val="0"/>
                <w:w w:val="100"/>
                <w:sz w:val="21"/>
                <w:szCs w:val="24"/>
              </w:rPr>
              <w:tab/>
            </w:r>
            <w:r>
              <w:rPr>
                <w:rStyle w:val="18"/>
                <w:rFonts w:ascii="宋体" w:hAnsi="宋体" w:eastAsia="宋体" w:cs="宋体"/>
                <w:b w:val="0"/>
                <w:spacing w:val="0"/>
                <w:w w:val="100"/>
                <w:sz w:val="21"/>
                <w:szCs w:val="24"/>
              </w:rPr>
              <w:t>0.18</w:t>
            </w:r>
            <w:r>
              <w:rPr>
                <w:rStyle w:val="18"/>
                <w:rFonts w:ascii="宋体" w:hAnsi="宋体" w:eastAsia="宋体" w:cs="宋体"/>
                <w:b w:val="0"/>
                <w:spacing w:val="0"/>
                <w:w w:val="100"/>
                <w:sz w:val="21"/>
                <w:szCs w:val="24"/>
              </w:rPr>
              <w:tab/>
            </w:r>
            <w:r>
              <w:rPr>
                <w:rStyle w:val="18"/>
                <w:rFonts w:ascii="宋体" w:hAnsi="宋体" w:eastAsia="宋体" w:cs="宋体"/>
                <w:b w:val="0"/>
                <w:spacing w:val="0"/>
                <w:w w:val="100"/>
                <w:sz w:val="21"/>
                <w:szCs w:val="24"/>
              </w:rPr>
              <w:t>0.12</w:t>
            </w:r>
          </w:p>
          <w:p>
            <w:pPr>
              <w:pStyle w:val="54"/>
              <w:jc w:val="left"/>
              <w:rPr>
                <w:rStyle w:val="18"/>
                <w:rFonts w:ascii="宋体" w:hAnsi="宋体" w:eastAsia="宋体" w:cs="宋体"/>
                <w:b w:val="0"/>
                <w:spacing w:val="0"/>
                <w:w w:val="100"/>
                <w:sz w:val="21"/>
                <w:szCs w:val="24"/>
              </w:rPr>
            </w:pPr>
            <w:r>
              <w:rPr>
                <w:rStyle w:val="18"/>
                <w:rFonts w:ascii="宋体" w:hAnsi="宋体" w:eastAsia="宋体" w:cs="宋体"/>
                <w:b w:val="0"/>
                <w:spacing w:val="0"/>
                <w:w w:val="100"/>
                <w:sz w:val="21"/>
                <w:szCs w:val="24"/>
              </w:rPr>
              <w:t>B</w:t>
            </w:r>
            <w:r>
              <w:rPr>
                <w:rStyle w:val="18"/>
                <w:rFonts w:ascii="宋体" w:hAnsi="宋体" w:eastAsia="宋体" w:cs="宋体"/>
                <w:b w:val="0"/>
                <w:spacing w:val="0"/>
                <w:w w:val="100"/>
                <w:sz w:val="21"/>
                <w:szCs w:val="24"/>
              </w:rPr>
              <w:tab/>
            </w:r>
            <w:r>
              <w:rPr>
                <w:rStyle w:val="18"/>
                <w:rFonts w:ascii="宋体" w:hAnsi="宋体" w:eastAsia="宋体" w:cs="宋体"/>
                <w:b w:val="0"/>
                <w:spacing w:val="0"/>
                <w:w w:val="100"/>
                <w:sz w:val="21"/>
                <w:szCs w:val="24"/>
              </w:rPr>
              <w:t>0</w:t>
            </w:r>
          </w:p>
          <w:p>
            <w:pPr>
              <w:pStyle w:val="54"/>
              <w:jc w:val="left"/>
              <w:rPr>
                <w:rStyle w:val="18"/>
                <w:rFonts w:ascii="宋体" w:hAnsi="宋体" w:eastAsia="宋体" w:cs="宋体"/>
                <w:b w:val="0"/>
                <w:spacing w:val="0"/>
                <w:w w:val="100"/>
                <w:sz w:val="21"/>
                <w:szCs w:val="24"/>
              </w:rPr>
            </w:pPr>
            <w:r>
              <w:rPr>
                <w:rStyle w:val="18"/>
                <w:rFonts w:ascii="宋体" w:hAnsi="宋体" w:eastAsia="宋体" w:cs="宋体"/>
                <w:b w:val="0"/>
                <w:spacing w:val="0"/>
                <w:w w:val="100"/>
                <w:sz w:val="21"/>
                <w:szCs w:val="24"/>
              </w:rPr>
              <w:t>C</w:t>
            </w:r>
            <w:r>
              <w:rPr>
                <w:rStyle w:val="18"/>
                <w:rFonts w:ascii="宋体" w:hAnsi="宋体" w:eastAsia="宋体" w:cs="宋体"/>
                <w:b w:val="0"/>
                <w:spacing w:val="0"/>
                <w:w w:val="100"/>
                <w:sz w:val="21"/>
                <w:szCs w:val="24"/>
              </w:rPr>
              <w:tab/>
            </w:r>
            <w:r>
              <w:rPr>
                <w:rStyle w:val="18"/>
                <w:rFonts w:ascii="宋体" w:hAnsi="宋体" w:eastAsia="宋体" w:cs="宋体"/>
                <w:b w:val="0"/>
                <w:spacing w:val="0"/>
                <w:w w:val="100"/>
                <w:sz w:val="21"/>
                <w:szCs w:val="24"/>
              </w:rPr>
              <w:t>0</w:t>
            </w:r>
          </w:p>
          <w:p>
            <w:pPr>
              <w:pStyle w:val="54"/>
              <w:jc w:val="left"/>
              <w:rPr>
                <w:rStyle w:val="18"/>
                <w:rFonts w:ascii="宋体" w:hAnsi="宋体" w:eastAsia="宋体" w:cs="宋体"/>
                <w:b w:val="0"/>
                <w:spacing w:val="0"/>
                <w:w w:val="100"/>
                <w:sz w:val="21"/>
                <w:szCs w:val="24"/>
              </w:rPr>
            </w:pPr>
            <w:r>
              <w:rPr>
                <w:rStyle w:val="18"/>
                <w:rFonts w:ascii="宋体" w:hAnsi="宋体" w:eastAsia="宋体" w:cs="宋体"/>
                <w:b w:val="0"/>
                <w:spacing w:val="0"/>
                <w:w w:val="100"/>
                <w:sz w:val="21"/>
                <w:szCs w:val="24"/>
              </w:rPr>
              <w:t>注：（1）信用等级以湖南省交通运输厅发布的公路养护从业单位信用评价结果【施工类】为准，企业信用加分分值按湖南省交通运输厅近三年发布的公路养护从业单位信用评价结果【施工类】进行权值分配，企业近三年均无湖南省交通运输厅发布公路养护从业单位信用评价结果【施工类】的，按交通运输部近三年发布的养护信用等级结果进行权值分配（其中交通运输部发布的养护信用评价结果为AA级的企业，按照A级计算当年信用评价得分，交通运输部发布的养护信用评价结果为A级、B级的企业，仍然按照A级、B级计算当年信用评价得分）；当年在湖南省发布的公路养护从业单位信用评价结果【施工类】中无信用评价等级的，其当年的信用评价得分按上一年度湖南省发布（最近第三年度无湖南省公路养护从业单位信用评价结果【施工类】时不再往前引用上一年发布的湖南省公路养护从业单位信用评价结果【施工类】，其当年的信用评价得分按0分计）的公路养护从业单位信用评价结果【施工类】的信用等级结果进行评分（其中上一年度发布的公路养护从业单位信用评价结果【施工类】为AA级的企业，按照A级计算当年信用评价得分；上一年度发布的公路养护从业单位信用评价结果【施工类】为A级、B级的企业，仍然按照A级、B级计算当年信用评价得分）；上一年度发布的公路养护从业单位信用评价结果【施工类】也没有信用等级结果的，其当年的养护信用评价得分按0分计。</w:t>
            </w:r>
          </w:p>
          <w:p>
            <w:pPr>
              <w:pStyle w:val="54"/>
              <w:jc w:val="left"/>
              <w:rPr>
                <w:rStyle w:val="18"/>
                <w:rFonts w:ascii="宋体" w:hAnsi="宋体" w:eastAsia="宋体" w:cs="宋体"/>
                <w:b w:val="0"/>
                <w:spacing w:val="0"/>
                <w:w w:val="100"/>
                <w:sz w:val="21"/>
                <w:szCs w:val="24"/>
              </w:rPr>
            </w:pPr>
            <w:r>
              <w:rPr>
                <w:rStyle w:val="18"/>
                <w:rFonts w:ascii="宋体" w:hAnsi="宋体" w:eastAsia="宋体" w:cs="宋体"/>
                <w:b w:val="0"/>
                <w:spacing w:val="0"/>
                <w:w w:val="100"/>
                <w:sz w:val="21"/>
                <w:szCs w:val="24"/>
              </w:rPr>
              <w:t>（2）最近第一年的信用等级评价结果以投标文件递交截止之日前最新发布的文件结果为准；若发布的最近第一年的信用等级和投标人填报的最近第一年的信用等级不一致时，以最新发布的信用评价文件为准。</w:t>
            </w:r>
          </w:p>
          <w:p>
            <w:pPr>
              <w:pStyle w:val="54"/>
              <w:jc w:val="left"/>
              <w:rPr>
                <w:rStyle w:val="18"/>
                <w:rFonts w:ascii="宋体" w:hAnsi="宋体" w:eastAsia="宋体" w:cs="宋体"/>
                <w:b w:val="0"/>
                <w:spacing w:val="0"/>
                <w:w w:val="100"/>
                <w:sz w:val="21"/>
                <w:szCs w:val="24"/>
              </w:rPr>
            </w:pPr>
            <w:r>
              <w:rPr>
                <w:rStyle w:val="18"/>
                <w:rFonts w:ascii="宋体" w:hAnsi="宋体" w:eastAsia="宋体" w:cs="宋体"/>
                <w:b w:val="0"/>
                <w:spacing w:val="0"/>
                <w:w w:val="100"/>
                <w:sz w:val="21"/>
                <w:szCs w:val="24"/>
              </w:rPr>
              <w:t>（3）联合体信用等级按联合体成员每一年度最低信用等级确定。</w:t>
            </w:r>
          </w:p>
        </w:tc>
      </w:tr>
      <w:bookmarkEnd w:id="51"/>
    </w:tbl>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tbl>
      <w:tblPr>
        <w:tblStyle w:val="17"/>
        <w:tblW w:w="864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64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tLeast"/>
              <w:jc w:val="both"/>
              <w:rPr>
                <w:rFonts w:ascii="Calibri" w:hAnsi="Calibri"/>
                <w:kern w:val="2"/>
                <w:sz w:val="21"/>
                <w:szCs w:val="21"/>
                <w:lang w:val="en-US" w:eastAsia="zh-CN" w:bidi="ar-SA"/>
              </w:rPr>
            </w:pPr>
            <w:r>
              <w:rPr>
                <w:rFonts w:hint="eastAsia" w:ascii="Calibri" w:hAnsi="Calibri"/>
                <w:kern w:val="2"/>
                <w:sz w:val="21"/>
                <w:szCs w:val="21"/>
                <w:highlight w:val="white"/>
                <w:lang w:val="en-US" w:eastAsia="zh-CN" w:bidi="ar-SA"/>
              </w:rPr>
              <w:t>需要补充的其他内容：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80" w:lineRule="atLeast"/>
              <w:jc w:val="both"/>
              <w:rPr>
                <w:rFonts w:ascii="黑体" w:hAnsi="黑体" w:eastAsia="黑体" w:cs="黑体"/>
                <w:kern w:val="2"/>
                <w:sz w:val="21"/>
                <w:szCs w:val="24"/>
                <w:lang w:val="en-US" w:eastAsia="zh-CN" w:bidi="ar-SA"/>
              </w:rPr>
            </w:pPr>
            <w:r>
              <w:rPr>
                <w:rFonts w:hint="eastAsia" w:ascii="黑体" w:hAnsi="黑体" w:eastAsia="黑体" w:cs="黑体"/>
                <w:kern w:val="2"/>
                <w:sz w:val="21"/>
                <w:szCs w:val="22"/>
                <w:highlight w:val="white"/>
                <w:lang w:val="en-US" w:eastAsia="zh-CN" w:bidi="ar-SA"/>
              </w:rPr>
              <w:t>3.3款后增加：</w:t>
            </w:r>
          </w:p>
          <w:p>
            <w:pPr>
              <w:widowControl w:val="0"/>
              <w:spacing w:line="380" w:lineRule="atLeast"/>
              <w:jc w:val="both"/>
              <w:rPr>
                <w:rFonts w:ascii="黑体" w:hAnsi="黑体" w:eastAsia="黑体" w:cs="黑体"/>
                <w:kern w:val="2"/>
                <w:sz w:val="21"/>
                <w:szCs w:val="22"/>
                <w:lang w:val="en-US" w:eastAsia="zh-CN" w:bidi="ar-SA"/>
              </w:rPr>
            </w:pPr>
            <w:r>
              <w:rPr>
                <w:rFonts w:hint="eastAsia" w:ascii="黑体" w:hAnsi="黑体" w:eastAsia="黑体" w:cs="黑体"/>
                <w:kern w:val="2"/>
                <w:sz w:val="21"/>
                <w:szCs w:val="22"/>
                <w:highlight w:val="white"/>
                <w:lang w:val="en-US" w:eastAsia="zh-CN" w:bidi="ar-SA"/>
              </w:rPr>
              <w:t>第二信封开标前按照招标公告附件4的方法随机摇号的方式为各个通过第一信封评审且在数量控制范围内的投标人分配标段，同时随机抽取评标办法前附表2.2.2中的下浮系数。</w:t>
            </w:r>
          </w:p>
          <w:p>
            <w:pPr>
              <w:widowControl w:val="0"/>
              <w:spacing w:line="380" w:lineRule="atLeast"/>
              <w:jc w:val="both"/>
              <w:rPr>
                <w:rFonts w:ascii="黑体" w:hAnsi="黑体" w:eastAsia="黑体" w:cs="黑体"/>
                <w:kern w:val="2"/>
                <w:sz w:val="21"/>
                <w:szCs w:val="22"/>
                <w:lang w:val="en-US" w:eastAsia="zh-CN" w:bidi="ar-SA"/>
              </w:rPr>
            </w:pPr>
            <w:r>
              <w:rPr>
                <w:rFonts w:hint="eastAsia" w:ascii="黑体" w:hAnsi="黑体" w:eastAsia="黑体" w:cs="黑体"/>
                <w:kern w:val="2"/>
                <w:sz w:val="21"/>
                <w:szCs w:val="22"/>
                <w:highlight w:val="white"/>
                <w:lang w:val="en-US" w:eastAsia="zh-CN" w:bidi="ar-SA"/>
              </w:rPr>
              <w:t>*3.4.3项修改为：</w:t>
            </w:r>
          </w:p>
          <w:p>
            <w:pPr>
              <w:widowControl w:val="0"/>
              <w:spacing w:line="380" w:lineRule="atLeast"/>
              <w:jc w:val="both"/>
              <w:rPr>
                <w:rFonts w:ascii="黑体" w:hAnsi="黑体" w:eastAsia="黑体" w:cs="黑体"/>
                <w:kern w:val="2"/>
                <w:sz w:val="21"/>
                <w:szCs w:val="22"/>
                <w:lang w:val="en-US" w:eastAsia="zh-CN" w:bidi="ar-SA"/>
              </w:rPr>
            </w:pPr>
            <w:r>
              <w:rPr>
                <w:rFonts w:hint="eastAsia" w:ascii="黑体" w:hAnsi="黑体" w:eastAsia="黑体" w:cs="黑体"/>
                <w:kern w:val="2"/>
                <w:sz w:val="21"/>
                <w:szCs w:val="22"/>
                <w:highlight w:val="white"/>
                <w:lang w:val="en-US" w:eastAsia="zh-CN" w:bidi="ar-SA"/>
              </w:rPr>
              <w:t>评标委员会发现投标人的报价明显低于其他投标报价，且其评标价低于理论成本价时，应要求该投标人作出书面说明并提供相应的证明材料。投标人不能合理说明或不能提供相应证明材料的，由评标委员会认定该投标人以低于成本报价竞标，并否决其投标。理论成本价的确定按第二章“投标人须知”第5.2.4.1目规定计算。</w:t>
            </w:r>
          </w:p>
          <w:p>
            <w:pPr>
              <w:widowControl w:val="0"/>
              <w:spacing w:line="380" w:lineRule="atLeast"/>
              <w:jc w:val="both"/>
              <w:rPr>
                <w:rFonts w:ascii="黑体" w:hAnsi="黑体" w:eastAsia="黑体" w:cs="黑体"/>
                <w:kern w:val="2"/>
                <w:sz w:val="21"/>
                <w:szCs w:val="22"/>
                <w:lang w:val="en-US" w:eastAsia="zh-CN" w:bidi="ar-SA"/>
              </w:rPr>
            </w:pPr>
            <w:r>
              <w:rPr>
                <w:rFonts w:hint="eastAsia" w:ascii="黑体" w:hAnsi="黑体" w:eastAsia="黑体" w:cs="黑体"/>
                <w:kern w:val="2"/>
                <w:sz w:val="21"/>
                <w:szCs w:val="22"/>
                <w:highlight w:val="white"/>
                <w:lang w:val="en-US" w:eastAsia="zh-CN" w:bidi="ar-SA"/>
              </w:rPr>
              <w:t>*3.6.1项修改为：</w:t>
            </w:r>
          </w:p>
          <w:p>
            <w:pPr>
              <w:widowControl w:val="0"/>
              <w:tabs>
                <w:tab w:val="left" w:pos="2310"/>
              </w:tabs>
              <w:spacing w:line="380" w:lineRule="atLeast"/>
              <w:jc w:val="both"/>
              <w:rPr>
                <w:rFonts w:ascii="黑体" w:hAnsi="黑体" w:eastAsia="黑体" w:cs="黑体"/>
                <w:kern w:val="2"/>
                <w:sz w:val="21"/>
                <w:szCs w:val="22"/>
                <w:lang w:val="en-US" w:eastAsia="zh-CN" w:bidi="ar-SA"/>
              </w:rPr>
            </w:pPr>
            <w:r>
              <w:rPr>
                <w:rFonts w:hint="eastAsia" w:ascii="黑体" w:hAnsi="黑体" w:eastAsia="黑体" w:cs="黑体"/>
                <w:kern w:val="2"/>
                <w:sz w:val="21"/>
                <w:szCs w:val="22"/>
                <w:highlight w:val="white"/>
                <w:lang w:val="en-US" w:eastAsia="zh-CN" w:bidi="ar-SA"/>
              </w:rPr>
              <w:t>在评标过程中，评标委员会发现投标文件中含义不明确、对同类问题表述不一致、有明显文字和计算错误、投标报价可能低于成本影响履约的，应当以书面形式要求投标人对投标文件作必要的澄清、说明，不得直接否决投标。评标委员会不接受投标人主动提出的澄清、说明。投标人不按评标委员会要求澄清或说明的，评标委员会应否决其投标。</w:t>
            </w:r>
          </w:p>
          <w:p>
            <w:pPr>
              <w:widowControl w:val="0"/>
              <w:tabs>
                <w:tab w:val="left" w:pos="2310"/>
              </w:tabs>
              <w:spacing w:line="380" w:lineRule="atLeast"/>
              <w:jc w:val="both"/>
              <w:rPr>
                <w:rFonts w:ascii="黑体" w:hAnsi="黑体" w:eastAsia="黑体" w:cs="黑体"/>
                <w:kern w:val="2"/>
                <w:sz w:val="21"/>
                <w:szCs w:val="22"/>
                <w:lang w:val="en-US" w:eastAsia="zh-CN" w:bidi="ar-SA"/>
              </w:rPr>
            </w:pPr>
            <w:r>
              <w:rPr>
                <w:rFonts w:hint="eastAsia" w:ascii="黑体" w:hAnsi="黑体" w:eastAsia="黑体" w:cs="黑体"/>
                <w:kern w:val="2"/>
                <w:sz w:val="21"/>
                <w:szCs w:val="22"/>
                <w:highlight w:val="white"/>
                <w:lang w:val="en-US" w:eastAsia="zh-CN" w:bidi="ar-SA"/>
              </w:rPr>
              <w:t>补充第3.8.3项：</w:t>
            </w:r>
          </w:p>
          <w:p>
            <w:pPr>
              <w:widowControl w:val="0"/>
              <w:spacing w:line="380" w:lineRule="atLeast"/>
              <w:jc w:val="both"/>
              <w:rPr>
                <w:rFonts w:ascii="黑体" w:hAnsi="黑体" w:eastAsia="黑体" w:cs="黑体"/>
                <w:kern w:val="2"/>
                <w:sz w:val="21"/>
                <w:szCs w:val="24"/>
                <w:lang w:val="en-US" w:eastAsia="zh-CN" w:bidi="ar-SA"/>
              </w:rPr>
            </w:pPr>
            <w:r>
              <w:rPr>
                <w:rFonts w:hint="eastAsia" w:ascii="黑体" w:hAnsi="黑体" w:eastAsia="黑体" w:cs="黑体"/>
                <w:kern w:val="2"/>
                <w:sz w:val="21"/>
                <w:szCs w:val="22"/>
                <w:highlight w:val="white"/>
                <w:lang w:val="en-US" w:eastAsia="zh-CN" w:bidi="ar-SA"/>
              </w:rPr>
              <w:t>有效投标不足三个的，评标委员会应当对投标是否明显缺乏竞争和是否需要否决全部投标进行充分论证，并在评标报告中记载论证过程和结果；发现违法行为的，以及评标过程和结果受到非法影响或者干预的，应当及时向行政监督部门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tLeast"/>
              <w:jc w:val="both"/>
              <w:rPr>
                <w:rFonts w:ascii="Calibri" w:hAnsi="Calibri" w:eastAsia="华文新魏"/>
                <w:kern w:val="2"/>
                <w:sz w:val="21"/>
                <w:szCs w:val="21"/>
                <w:highlight w:val="green"/>
                <w:lang w:val="en-US" w:eastAsia="zh-CN" w:bidi="ar-SA"/>
              </w:rPr>
            </w:pPr>
            <w:bookmarkStart w:id="52" w:name="EB16cd2b2f5a2f4af593f4961c5843a868"/>
            <w:r>
              <w:rPr>
                <w:rFonts w:hint="eastAsia" w:ascii="Calibri" w:hAnsi="Calibri" w:eastAsia="华文新魏"/>
                <w:color w:val="0000FF"/>
                <w:kern w:val="2"/>
                <w:sz w:val="21"/>
                <w:szCs w:val="21"/>
                <w:highlight w:val="white"/>
                <w:lang w:val="en-US" w:eastAsia="zh-CN" w:bidi="ar-SA"/>
              </w:rPr>
              <w:t>本章脚注中“湖南省及交通运输部信用等级的评分均仅以养护工程信用评价结果为准。”修改为：“信用等级以湖南省交通运输厅发布的公路养护从业单位信用评价结果【施工类】为准。”</w:t>
            </w:r>
            <w:bookmarkEnd w:id="52"/>
          </w:p>
        </w:tc>
      </w:tr>
    </w:tbl>
    <w:p>
      <w:pPr>
        <w:rPr>
          <w:color w:val="000080"/>
          <w:sz w:val="20"/>
          <w:highlight w:val="cyan"/>
        </w:rPr>
      </w:pPr>
      <w:bookmarkStart w:id="53" w:name="EB8122120308354a349dca63bf86d44dc5"/>
      <w:r>
        <w:rPr>
          <w:rFonts w:hint="eastAsia"/>
          <w:color w:val="000080"/>
          <w:sz w:val="20"/>
          <w:highlight w:val="white"/>
        </w:rPr>
        <w:t xml:space="preserve"> </w:t>
      </w:r>
      <w:bookmarkEnd w:id="53"/>
    </w:p>
    <w:p>
      <w:pPr>
        <w:rPr>
          <w:szCs w:val="18"/>
        </w:rPr>
      </w:pPr>
      <w:r>
        <w:rPr>
          <w:rFonts w:hint="eastAsia"/>
          <w:szCs w:val="18"/>
          <w:highlight w:val="white"/>
        </w:rPr>
        <w:t>本项适用于未进行资格预审的情况。</w:t>
      </w:r>
    </w:p>
    <w:p>
      <w:pPr>
        <w:pStyle w:val="7"/>
        <w:spacing w:line="320" w:lineRule="atLeast"/>
        <w:ind w:left="180" w:hanging="180" w:hangingChars="100"/>
        <w:rPr>
          <w:szCs w:val="18"/>
        </w:rPr>
      </w:pPr>
      <w:r>
        <w:rPr>
          <w:rFonts w:hint="eastAsia"/>
          <w:szCs w:val="18"/>
          <w:highlight w:val="white"/>
          <w:vertAlign w:val="superscript"/>
        </w:rPr>
        <w:t>②</w:t>
      </w:r>
      <w:r>
        <w:rPr>
          <w:rFonts w:hint="eastAsia" w:ascii="黑体" w:hAnsi="黑体" w:eastAsia="黑体"/>
          <w:highlight w:val="white"/>
        </w:rPr>
        <w:t>对于特别复杂的特大桥梁和特长隧道项目主体工程</w:t>
      </w:r>
      <w:r>
        <w:rPr>
          <w:rFonts w:hint="eastAsia" w:ascii="黑体" w:hAnsi="黑体" w:eastAsia="黑体"/>
          <w:highlight w:val="white"/>
          <w:lang w:val="en-US"/>
        </w:rPr>
        <w:t>的结构性养护</w:t>
      </w:r>
      <w:r>
        <w:rPr>
          <w:rFonts w:hint="eastAsia" w:ascii="黑体" w:hAnsi="黑体" w:eastAsia="黑体"/>
          <w:highlight w:val="white"/>
        </w:rPr>
        <w:t>工程，还可对其他管理和技术人员（例如项目副经理、专业工程师等）以及主要机械设备和试验检测设备进行资格评审。</w:t>
      </w:r>
    </w:p>
    <w:p>
      <w:pPr>
        <w:pStyle w:val="7"/>
        <w:spacing w:line="280" w:lineRule="atLeast"/>
        <w:ind w:left="180" w:hanging="180" w:hangingChars="100"/>
        <w:rPr>
          <w:rFonts w:ascii="黑体" w:hAnsi="黑体" w:eastAsia="黑体"/>
        </w:rPr>
      </w:pPr>
      <w:r>
        <w:rPr>
          <w:rStyle w:val="19"/>
          <w:rFonts w:hint="eastAsia"/>
          <w:highlight w:val="white"/>
        </w:rPr>
        <w:t>③</w:t>
      </w:r>
      <w:r>
        <w:rPr>
          <w:rFonts w:hint="eastAsia" w:ascii="黑体" w:hAnsi="黑体" w:eastAsia="黑体"/>
          <w:highlight w:val="white"/>
        </w:rPr>
        <w:t>对于</w:t>
      </w:r>
      <w:r>
        <w:rPr>
          <w:rFonts w:hint="eastAsia" w:ascii="黑体" w:hAnsi="黑体" w:eastAsia="黑体"/>
          <w:highlight w:val="white"/>
          <w:lang w:val="en-US"/>
        </w:rPr>
        <w:t>如路面、交安等</w:t>
      </w:r>
      <w:r>
        <w:rPr>
          <w:rFonts w:hint="eastAsia" w:ascii="黑体" w:hAnsi="黑体" w:eastAsia="黑体"/>
          <w:highlight w:val="white"/>
        </w:rPr>
        <w:t>材料费用比重较大的工程，C1取0.6，C2取0.4；对于</w:t>
      </w:r>
      <w:r>
        <w:rPr>
          <w:rFonts w:hint="eastAsia" w:ascii="黑体" w:hAnsi="黑体" w:eastAsia="黑体"/>
          <w:highlight w:val="white"/>
          <w:lang w:val="en-US"/>
        </w:rPr>
        <w:t>如路基、隧道等</w:t>
      </w:r>
      <w:r>
        <w:rPr>
          <w:rFonts w:hint="eastAsia" w:ascii="黑体" w:hAnsi="黑体" w:eastAsia="黑体"/>
          <w:highlight w:val="white"/>
        </w:rPr>
        <w:t>材料费用比重较小的工程，C1取0.5，C2取0.5；具体情况根据项目实际在招标文件中明确。</w:t>
      </w:r>
    </w:p>
    <w:p>
      <w:pPr>
        <w:rPr>
          <w:highlight w:val="cyan"/>
        </w:rPr>
      </w:pPr>
      <w:r>
        <w:rPr>
          <w:rStyle w:val="19"/>
          <w:rFonts w:hint="eastAsia" w:ascii="黑体" w:hAnsi="黑体" w:eastAsia="黑体"/>
          <w:szCs w:val="18"/>
          <w:highlight w:val="white"/>
        </w:rPr>
        <w:t>④</w:t>
      </w:r>
      <w:r>
        <w:rPr>
          <w:rFonts w:hint="eastAsia" w:ascii="黑体" w:hAnsi="黑体" w:eastAsia="黑体"/>
          <w:highlight w:val="white"/>
        </w:rPr>
        <w:t>具体数值由招标人依据项目特点和实际需要予以明确。</w:t>
      </w:r>
    </w:p>
    <w:p>
      <w:pPr>
        <w:pStyle w:val="5"/>
        <w:rPr>
          <w:b w:val="0"/>
          <w:szCs w:val="28"/>
        </w:rPr>
      </w:pPr>
      <w:r>
        <w:rPr>
          <w:sz w:val="20"/>
          <w:highlight w:val="white"/>
        </w:rPr>
        <w:br w:type="page"/>
      </w:r>
      <w:r>
        <w:rPr>
          <w:bCs/>
          <w:szCs w:val="28"/>
          <w:highlight w:val="white"/>
        </w:rPr>
        <w:t xml:space="preserve">1. </w:t>
      </w:r>
      <w:r>
        <w:rPr>
          <w:rFonts w:hint="eastAsia"/>
          <w:bCs/>
          <w:szCs w:val="28"/>
          <w:highlight w:val="white"/>
        </w:rPr>
        <w:t>评标方法</w:t>
      </w:r>
    </w:p>
    <w:p>
      <w:pPr>
        <w:spacing w:line="400" w:lineRule="atLeast"/>
        <w:ind w:firstLine="480" w:firstLineChars="200"/>
        <w:rPr>
          <w:rFonts w:eastAsia="华文隶书"/>
          <w:sz w:val="24"/>
        </w:rPr>
      </w:pPr>
      <w:r>
        <w:rPr>
          <w:rFonts w:hint="eastAsia" w:eastAsia="隶书"/>
          <w:sz w:val="24"/>
          <w:highlight w:val="white"/>
        </w:rPr>
        <w:t>本次评标采用合理低价法。</w:t>
      </w:r>
      <w:r>
        <w:rPr>
          <w:rFonts w:hint="eastAsia"/>
          <w:sz w:val="24"/>
          <w:highlight w:val="white"/>
        </w:rPr>
        <w:t>评标委员会对满足招标文件实质性要求的投标文件，按照本章第2.2款规定的评分标准进行打分，并按得分由高到低顺序推荐中标候选人，或根据招标人授权直接确定中标人，但投标报价低于其成本的除外。综合评分相等时，</w:t>
      </w:r>
      <w:r>
        <w:rPr>
          <w:rFonts w:hint="eastAsia" w:eastAsia="隶书"/>
          <w:sz w:val="24"/>
          <w:highlight w:val="white"/>
        </w:rPr>
        <w:t>评标委员会应按照评标办法前附表规定的优先次序推荐中标候选人或确定中标人。</w:t>
      </w:r>
    </w:p>
    <w:p>
      <w:pPr>
        <w:pStyle w:val="5"/>
      </w:pPr>
      <w:r>
        <w:rPr>
          <w:highlight w:val="white"/>
        </w:rPr>
        <w:t xml:space="preserve">2. </w:t>
      </w:r>
      <w:r>
        <w:rPr>
          <w:rFonts w:hint="eastAsia"/>
          <w:highlight w:val="white"/>
        </w:rPr>
        <w:t>评审标准</w:t>
      </w:r>
    </w:p>
    <w:p>
      <w:pPr>
        <w:pStyle w:val="6"/>
      </w:pPr>
      <w:r>
        <w:rPr>
          <w:highlight w:val="white"/>
        </w:rPr>
        <w:t xml:space="preserve">2.1 </w:t>
      </w:r>
      <w:r>
        <w:rPr>
          <w:rFonts w:hint="eastAsia"/>
          <w:highlight w:val="white"/>
        </w:rPr>
        <w:t>初步评审标准</w:t>
      </w:r>
    </w:p>
    <w:p>
      <w:pPr>
        <w:spacing w:line="400" w:lineRule="atLeast"/>
        <w:ind w:firstLine="480" w:firstLineChars="200"/>
        <w:rPr>
          <w:sz w:val="24"/>
        </w:rPr>
      </w:pPr>
      <w:r>
        <w:rPr>
          <w:sz w:val="24"/>
          <w:highlight w:val="white"/>
        </w:rPr>
        <w:t xml:space="preserve">2.1.1 </w:t>
      </w:r>
      <w:r>
        <w:rPr>
          <w:rFonts w:hint="eastAsia"/>
          <w:sz w:val="24"/>
          <w:highlight w:val="white"/>
        </w:rPr>
        <w:t>形式评审标准：见评标办法前附表。</w:t>
      </w:r>
    </w:p>
    <w:p>
      <w:pPr>
        <w:spacing w:line="400" w:lineRule="atLeast"/>
        <w:ind w:firstLine="480" w:firstLineChars="200"/>
        <w:rPr>
          <w:sz w:val="24"/>
        </w:rPr>
      </w:pPr>
      <w:r>
        <w:rPr>
          <w:sz w:val="24"/>
          <w:highlight w:val="white"/>
        </w:rPr>
        <w:t xml:space="preserve">2.1.2 </w:t>
      </w:r>
      <w:r>
        <w:rPr>
          <w:rFonts w:hint="eastAsia"/>
          <w:sz w:val="24"/>
          <w:highlight w:val="white"/>
        </w:rPr>
        <w:t>资格评审标准：见评标办法前附表（适用于未进行资格预审的）。</w:t>
      </w:r>
    </w:p>
    <w:p>
      <w:pPr>
        <w:spacing w:line="400" w:lineRule="atLeast"/>
        <w:ind w:firstLine="480" w:firstLineChars="200"/>
        <w:rPr>
          <w:sz w:val="24"/>
        </w:rPr>
      </w:pPr>
      <w:r>
        <w:rPr>
          <w:sz w:val="24"/>
          <w:highlight w:val="white"/>
        </w:rPr>
        <w:t xml:space="preserve">2.1.2 </w:t>
      </w:r>
      <w:r>
        <w:rPr>
          <w:rFonts w:hint="eastAsia"/>
          <w:sz w:val="24"/>
          <w:highlight w:val="white"/>
        </w:rPr>
        <w:t>资格评审标准：见资格预审文件第三章“资格审查办法”详细审查标准（适用于已进行资格预审的）。</w:t>
      </w:r>
    </w:p>
    <w:p>
      <w:pPr>
        <w:spacing w:line="400" w:lineRule="atLeast"/>
        <w:ind w:firstLine="480" w:firstLineChars="200"/>
        <w:rPr>
          <w:sz w:val="24"/>
        </w:rPr>
      </w:pPr>
      <w:r>
        <w:rPr>
          <w:sz w:val="24"/>
          <w:highlight w:val="white"/>
        </w:rPr>
        <w:t xml:space="preserve">2.1.3 </w:t>
      </w:r>
      <w:r>
        <w:rPr>
          <w:rFonts w:hint="eastAsia"/>
          <w:sz w:val="24"/>
          <w:highlight w:val="white"/>
        </w:rPr>
        <w:t>响应性评审标准：见评标办法前附表。</w:t>
      </w:r>
    </w:p>
    <w:p>
      <w:pPr>
        <w:pStyle w:val="6"/>
      </w:pPr>
      <w:r>
        <w:rPr>
          <w:highlight w:val="white"/>
        </w:rPr>
        <w:t xml:space="preserve">2.2 </w:t>
      </w:r>
      <w:r>
        <w:rPr>
          <w:rFonts w:hint="eastAsia"/>
          <w:highlight w:val="white"/>
        </w:rPr>
        <w:t>分值构成与评分标准</w:t>
      </w:r>
    </w:p>
    <w:p>
      <w:pPr>
        <w:tabs>
          <w:tab w:val="left" w:pos="360"/>
        </w:tabs>
        <w:spacing w:line="400" w:lineRule="atLeast"/>
        <w:ind w:firstLine="480" w:firstLineChars="200"/>
        <w:rPr>
          <w:sz w:val="24"/>
        </w:rPr>
      </w:pPr>
      <w:r>
        <w:rPr>
          <w:sz w:val="24"/>
          <w:highlight w:val="white"/>
        </w:rPr>
        <w:t xml:space="preserve">2.2.1 </w:t>
      </w:r>
      <w:r>
        <w:rPr>
          <w:rFonts w:hint="eastAsia" w:eastAsia="黑体"/>
          <w:sz w:val="24"/>
          <w:highlight w:val="white"/>
        </w:rPr>
        <w:t>分值构成</w:t>
      </w:r>
    </w:p>
    <w:p>
      <w:pPr>
        <w:spacing w:line="400" w:lineRule="atLeast"/>
        <w:ind w:firstLine="480" w:firstLineChars="200"/>
        <w:rPr>
          <w:rFonts w:eastAsia="隶书"/>
          <w:sz w:val="24"/>
        </w:rPr>
      </w:pPr>
      <w:r>
        <w:rPr>
          <w:rFonts w:hint="eastAsia" w:eastAsia="隶书"/>
          <w:sz w:val="24"/>
          <w:highlight w:val="white"/>
        </w:rPr>
        <w:t>评标价：见评标办法前附表。</w:t>
      </w:r>
    </w:p>
    <w:p>
      <w:pPr>
        <w:spacing w:line="400" w:lineRule="atLeast"/>
        <w:ind w:firstLine="480" w:firstLineChars="200"/>
        <w:rPr>
          <w:sz w:val="24"/>
        </w:rPr>
      </w:pPr>
      <w:r>
        <w:rPr>
          <w:sz w:val="24"/>
          <w:highlight w:val="white"/>
        </w:rPr>
        <w:t xml:space="preserve">2.2.2 </w:t>
      </w:r>
      <w:r>
        <w:rPr>
          <w:rFonts w:hint="eastAsia" w:eastAsia="黑体"/>
          <w:sz w:val="24"/>
          <w:highlight w:val="white"/>
        </w:rPr>
        <w:t>评标基准价计算</w:t>
      </w:r>
    </w:p>
    <w:p>
      <w:pPr>
        <w:spacing w:line="400" w:lineRule="atLeast"/>
        <w:ind w:firstLine="480" w:firstLineChars="200"/>
        <w:rPr>
          <w:rFonts w:eastAsia="隶书"/>
          <w:sz w:val="24"/>
        </w:rPr>
      </w:pPr>
      <w:r>
        <w:rPr>
          <w:rFonts w:hint="eastAsia" w:eastAsia="隶书"/>
          <w:sz w:val="24"/>
          <w:highlight w:val="white"/>
        </w:rPr>
        <w:t>评标基准价计算方法：见评标办法前附表。</w:t>
      </w:r>
    </w:p>
    <w:p>
      <w:pPr>
        <w:spacing w:line="400" w:lineRule="atLeast"/>
        <w:ind w:firstLine="480" w:firstLineChars="200"/>
        <w:rPr>
          <w:sz w:val="24"/>
        </w:rPr>
      </w:pPr>
      <w:r>
        <w:rPr>
          <w:sz w:val="24"/>
          <w:highlight w:val="white"/>
        </w:rPr>
        <w:t xml:space="preserve">2.2.3 </w:t>
      </w:r>
      <w:r>
        <w:rPr>
          <w:rFonts w:hint="eastAsia" w:eastAsia="黑体"/>
          <w:sz w:val="24"/>
          <w:highlight w:val="white"/>
        </w:rPr>
        <w:t>评标价的偏差率计算</w:t>
      </w:r>
    </w:p>
    <w:p>
      <w:pPr>
        <w:spacing w:line="400" w:lineRule="atLeast"/>
        <w:ind w:firstLine="480" w:firstLineChars="200"/>
        <w:rPr>
          <w:rFonts w:eastAsia="隶书"/>
          <w:sz w:val="24"/>
        </w:rPr>
      </w:pPr>
      <w:r>
        <w:rPr>
          <w:rFonts w:hint="eastAsia" w:eastAsia="隶书"/>
          <w:sz w:val="24"/>
          <w:highlight w:val="white"/>
        </w:rPr>
        <w:t>评标价的偏差率计算公式：见评标办法前附表。</w:t>
      </w:r>
    </w:p>
    <w:p>
      <w:pPr>
        <w:spacing w:line="400" w:lineRule="atLeast"/>
        <w:ind w:firstLine="480" w:firstLineChars="200"/>
        <w:rPr>
          <w:sz w:val="24"/>
        </w:rPr>
      </w:pPr>
      <w:r>
        <w:rPr>
          <w:sz w:val="24"/>
          <w:highlight w:val="white"/>
        </w:rPr>
        <w:t xml:space="preserve">2.2.4 </w:t>
      </w:r>
      <w:r>
        <w:rPr>
          <w:rFonts w:hint="eastAsia" w:eastAsia="黑体"/>
          <w:sz w:val="24"/>
          <w:highlight w:val="white"/>
        </w:rPr>
        <w:t>评分标准</w:t>
      </w:r>
    </w:p>
    <w:p>
      <w:pPr>
        <w:spacing w:line="400" w:lineRule="atLeast"/>
        <w:ind w:firstLine="480" w:firstLineChars="200"/>
        <w:rPr>
          <w:rFonts w:eastAsia="隶书"/>
          <w:sz w:val="24"/>
        </w:rPr>
      </w:pPr>
      <w:r>
        <w:rPr>
          <w:rFonts w:hint="eastAsia" w:eastAsia="隶书"/>
          <w:sz w:val="24"/>
          <w:highlight w:val="white"/>
        </w:rPr>
        <w:t>评标价评分标准：见评标办法前附表。</w:t>
      </w:r>
    </w:p>
    <w:p>
      <w:pPr>
        <w:pStyle w:val="5"/>
      </w:pPr>
      <w:r>
        <w:rPr>
          <w:highlight w:val="white"/>
        </w:rPr>
        <w:t xml:space="preserve">3. </w:t>
      </w:r>
      <w:r>
        <w:rPr>
          <w:rFonts w:hint="eastAsia"/>
          <w:highlight w:val="white"/>
        </w:rPr>
        <w:t>评标程序</w:t>
      </w:r>
    </w:p>
    <w:p>
      <w:pPr>
        <w:pStyle w:val="6"/>
      </w:pPr>
      <w:r>
        <w:rPr>
          <w:highlight w:val="white"/>
        </w:rPr>
        <w:t xml:space="preserve">3.1 </w:t>
      </w:r>
      <w:r>
        <w:rPr>
          <w:rFonts w:hint="eastAsia"/>
          <w:highlight w:val="white"/>
        </w:rPr>
        <w:t>第一个信封初步评审</w:t>
      </w:r>
    </w:p>
    <w:p>
      <w:pPr>
        <w:spacing w:line="400" w:lineRule="atLeast"/>
        <w:ind w:firstLine="420" w:firstLineChars="200"/>
        <w:rPr>
          <w:rFonts w:eastAsia="隶书"/>
          <w:sz w:val="24"/>
        </w:rPr>
      </w:pPr>
      <w:r>
        <w:rPr>
          <w:rFonts w:eastAsia="黑体"/>
          <w:szCs w:val="21"/>
          <w:highlight w:val="white"/>
        </w:rPr>
        <w:t xml:space="preserve">* </w:t>
      </w:r>
      <w:r>
        <w:rPr>
          <w:rFonts w:eastAsia="隶书"/>
          <w:sz w:val="24"/>
          <w:highlight w:val="white"/>
        </w:rPr>
        <w:t xml:space="preserve">3.1.1 </w:t>
      </w:r>
      <w:r>
        <w:rPr>
          <w:rFonts w:hint="eastAsia" w:eastAsia="隶书"/>
          <w:sz w:val="24"/>
          <w:highlight w:val="white"/>
        </w:rPr>
        <w:t>评标委员会可以要求投标人提交第二章“投标人须知”第3.5.1项至第3.5.6项规定的有关证明和证件的原件，以便核验。评标委员会依据本章第2.1款规定的标准对投标文件第一个信封（商务及技术文件）进行初步评审。有一项不符合评审标准的，评标委员会应否决其投标。（适用于未进行资格预审的）</w:t>
      </w:r>
    </w:p>
    <w:p>
      <w:pPr>
        <w:spacing w:line="400" w:lineRule="atLeast"/>
        <w:ind w:firstLine="420" w:firstLineChars="200"/>
        <w:rPr>
          <w:rFonts w:eastAsia="隶书"/>
          <w:sz w:val="24"/>
        </w:rPr>
      </w:pPr>
      <w:r>
        <w:rPr>
          <w:rFonts w:eastAsia="黑体"/>
          <w:szCs w:val="21"/>
          <w:highlight w:val="white"/>
        </w:rPr>
        <w:t xml:space="preserve">* </w:t>
      </w:r>
      <w:r>
        <w:rPr>
          <w:rFonts w:eastAsia="隶书"/>
          <w:sz w:val="24"/>
          <w:highlight w:val="white"/>
        </w:rPr>
        <w:t xml:space="preserve">3.1.1 </w:t>
      </w:r>
      <w:r>
        <w:rPr>
          <w:rFonts w:hint="eastAsia" w:eastAsia="隶书"/>
          <w:sz w:val="24"/>
          <w:highlight w:val="white"/>
        </w:rPr>
        <w:t>评标委员会依据本章第2.1.1项、第2.1.3项规定的评审标准对投标文件第一个信封（商务及技术文件）进行初步评审。有一项不符合评审标准的，评标委员会应否决其投标。当投标人资格预审申请文件的内容发生重大变化时，评标委员会依据本章第2.1.2项规定的标准对其更新资料进行评审。（适用于已进行资格预审的）</w:t>
      </w:r>
    </w:p>
    <w:p>
      <w:pPr>
        <w:pStyle w:val="6"/>
      </w:pPr>
      <w:r>
        <w:rPr>
          <w:highlight w:val="white"/>
        </w:rPr>
        <w:t xml:space="preserve">3.2 </w:t>
      </w:r>
      <w:r>
        <w:rPr>
          <w:rFonts w:hint="eastAsia"/>
          <w:highlight w:val="white"/>
        </w:rPr>
        <w:t>第二个信封开标</w:t>
      </w:r>
    </w:p>
    <w:p>
      <w:pPr>
        <w:spacing w:line="400" w:lineRule="atLeast"/>
        <w:ind w:firstLine="480" w:firstLineChars="200"/>
        <w:rPr>
          <w:rFonts w:eastAsia="隶书"/>
          <w:sz w:val="24"/>
        </w:rPr>
      </w:pPr>
      <w:r>
        <w:rPr>
          <w:rFonts w:hint="eastAsia" w:eastAsia="隶书"/>
          <w:sz w:val="24"/>
          <w:highlight w:val="white"/>
        </w:rPr>
        <w:t>第一个信封（商务及技术文件）评审结束后，招标人将按照第二章“投标人须知”第5.1款规定的时间和地点对通过投标文件第一个信封（商务及技术文件）评审的投标文件第二个信封（报价文件）进行开标。</w:t>
      </w:r>
    </w:p>
    <w:p>
      <w:pPr>
        <w:pStyle w:val="6"/>
      </w:pPr>
      <w:r>
        <w:rPr>
          <w:highlight w:val="white"/>
        </w:rPr>
        <w:t xml:space="preserve">3.3 </w:t>
      </w:r>
      <w:r>
        <w:rPr>
          <w:rFonts w:hint="eastAsia"/>
          <w:highlight w:val="white"/>
        </w:rPr>
        <w:t>第二个信封初步评审</w:t>
      </w:r>
    </w:p>
    <w:p>
      <w:pPr>
        <w:spacing w:line="400" w:lineRule="atLeast"/>
        <w:ind w:firstLine="420" w:firstLineChars="200"/>
        <w:rPr>
          <w:rFonts w:eastAsia="隶书"/>
          <w:sz w:val="24"/>
        </w:rPr>
      </w:pPr>
      <w:r>
        <w:rPr>
          <w:rFonts w:eastAsia="黑体"/>
          <w:szCs w:val="21"/>
          <w:highlight w:val="white"/>
        </w:rPr>
        <w:t xml:space="preserve">* </w:t>
      </w:r>
      <w:r>
        <w:rPr>
          <w:rFonts w:eastAsia="隶书"/>
          <w:sz w:val="24"/>
          <w:highlight w:val="white"/>
        </w:rPr>
        <w:t xml:space="preserve">3.3.1 </w:t>
      </w:r>
      <w:r>
        <w:rPr>
          <w:rFonts w:hint="eastAsia" w:eastAsia="隶书"/>
          <w:sz w:val="24"/>
          <w:highlight w:val="white"/>
        </w:rPr>
        <w:t>评标委员会依据本章第2.1.1项、第2.1.3项规定的评审标准对投标文件第二个信封（报价文件）进行初步评审。有一项不符合评审标准的，评标委员会应否决其投标。</w:t>
      </w:r>
    </w:p>
    <w:p>
      <w:pPr>
        <w:spacing w:line="400" w:lineRule="atLeast"/>
        <w:ind w:firstLine="420" w:firstLineChars="200"/>
        <w:rPr>
          <w:rFonts w:eastAsia="隶书"/>
          <w:sz w:val="24"/>
        </w:rPr>
      </w:pPr>
      <w:r>
        <w:rPr>
          <w:rFonts w:eastAsia="黑体"/>
          <w:szCs w:val="21"/>
          <w:highlight w:val="white"/>
        </w:rPr>
        <w:t xml:space="preserve">* </w:t>
      </w:r>
      <w:r>
        <w:rPr>
          <w:rFonts w:eastAsia="隶书"/>
          <w:sz w:val="24"/>
          <w:highlight w:val="white"/>
        </w:rPr>
        <w:t>3.3.2</w:t>
      </w:r>
      <w:r>
        <w:rPr>
          <w:rFonts w:eastAsia="隶书"/>
          <w:vertAlign w:val="superscript"/>
        </w:rPr>
        <w:footnoteReference w:id="13"/>
      </w:r>
      <w:r>
        <w:rPr>
          <w:rFonts w:hint="eastAsia" w:eastAsia="隶书"/>
          <w:sz w:val="24"/>
          <w:highlight w:val="white"/>
        </w:rPr>
        <w:t xml:space="preserve"> 投标报价有算术错误的，评标委员会按以下原则对投标报价进行修正，修正的价格经投标人书面确认后具有约束力。投标人不接受修正价格的，评标委员会应否决其投标。</w:t>
      </w:r>
    </w:p>
    <w:p>
      <w:pPr>
        <w:spacing w:line="400" w:lineRule="atLeast"/>
        <w:ind w:firstLine="480" w:firstLineChars="200"/>
        <w:rPr>
          <w:rFonts w:eastAsia="隶书"/>
          <w:sz w:val="24"/>
        </w:rPr>
      </w:pPr>
      <w:r>
        <w:rPr>
          <w:rFonts w:hint="eastAsia" w:eastAsia="隶书"/>
          <w:sz w:val="24"/>
          <w:highlight w:val="white"/>
        </w:rPr>
        <w:t>（1）投标文件中的大写金额与小写金额不一致的，以大写金额为准；</w:t>
      </w:r>
    </w:p>
    <w:p>
      <w:pPr>
        <w:spacing w:line="400" w:lineRule="atLeast"/>
        <w:ind w:firstLine="480" w:firstLineChars="200"/>
        <w:rPr>
          <w:rFonts w:eastAsia="隶书"/>
          <w:sz w:val="24"/>
        </w:rPr>
      </w:pPr>
      <w:r>
        <w:rPr>
          <w:rFonts w:hint="eastAsia" w:eastAsia="隶书"/>
          <w:sz w:val="24"/>
          <w:highlight w:val="white"/>
        </w:rPr>
        <w:t>（2）总价金额与依据单价计算出的结果不一致的，以单价金额为准修正总价，但单价金额小数点有明显错误的除外；</w:t>
      </w:r>
    </w:p>
    <w:p>
      <w:pPr>
        <w:spacing w:line="400" w:lineRule="atLeast"/>
        <w:ind w:firstLine="480" w:firstLineChars="200"/>
        <w:rPr>
          <w:rFonts w:eastAsia="隶书"/>
          <w:sz w:val="24"/>
        </w:rPr>
      </w:pPr>
      <w:r>
        <w:rPr>
          <w:rFonts w:hint="eastAsia" w:eastAsia="隶书"/>
          <w:sz w:val="24"/>
          <w:highlight w:val="white"/>
        </w:rPr>
        <w:t>（3）当单价与数量相乘不等于合价时，以单价计算为准，如果单价有明显的小数点位置差错，应以标出的合价为准，同时对单价予以修正；</w:t>
      </w:r>
    </w:p>
    <w:p>
      <w:pPr>
        <w:spacing w:line="400" w:lineRule="atLeast"/>
        <w:ind w:firstLine="480" w:firstLineChars="200"/>
        <w:rPr>
          <w:rFonts w:eastAsia="隶书"/>
          <w:sz w:val="24"/>
        </w:rPr>
      </w:pPr>
      <w:r>
        <w:rPr>
          <w:rFonts w:hint="eastAsia" w:eastAsia="隶书"/>
          <w:sz w:val="24"/>
          <w:highlight w:val="white"/>
        </w:rPr>
        <w:t>（4）当各子目的合价累计不等于总价时，应以各子目合价累计数为准，修正总价。</w:t>
      </w:r>
    </w:p>
    <w:p>
      <w:pPr>
        <w:spacing w:line="400" w:lineRule="atLeast"/>
        <w:ind w:firstLine="420" w:firstLineChars="200"/>
        <w:rPr>
          <w:rFonts w:eastAsia="隶书"/>
          <w:sz w:val="24"/>
        </w:rPr>
      </w:pPr>
      <w:r>
        <w:rPr>
          <w:rFonts w:eastAsia="黑体"/>
          <w:szCs w:val="21"/>
          <w:highlight w:val="white"/>
        </w:rPr>
        <w:t xml:space="preserve">* </w:t>
      </w:r>
      <w:r>
        <w:rPr>
          <w:rFonts w:eastAsia="隶书"/>
          <w:sz w:val="24"/>
          <w:highlight w:val="white"/>
        </w:rPr>
        <w:t xml:space="preserve">3.3.3 </w:t>
      </w:r>
      <w:r>
        <w:rPr>
          <w:rFonts w:hint="eastAsia" w:eastAsia="隶书"/>
          <w:sz w:val="24"/>
          <w:highlight w:val="white"/>
        </w:rPr>
        <w:t>工程量清单中的投标报价有其他错误的，评标委员会按以下原则对投标报价进行修正，修正的价格经投标人书面确认后具有约束力。投标人不接受修正价格的，评标委员会应否决其投标。</w:t>
      </w:r>
    </w:p>
    <w:p>
      <w:pPr>
        <w:spacing w:line="400" w:lineRule="atLeast"/>
        <w:ind w:firstLine="480" w:firstLineChars="200"/>
        <w:rPr>
          <w:rFonts w:eastAsia="隶书"/>
          <w:sz w:val="24"/>
        </w:rPr>
      </w:pPr>
      <w:r>
        <w:rPr>
          <w:rFonts w:hint="eastAsia" w:eastAsia="隶书"/>
          <w:sz w:val="24"/>
          <w:highlight w:val="white"/>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400" w:lineRule="atLeast"/>
        <w:ind w:firstLine="480" w:firstLineChars="200"/>
        <w:rPr>
          <w:rFonts w:eastAsia="隶书"/>
          <w:sz w:val="24"/>
        </w:rPr>
      </w:pPr>
      <w:r>
        <w:rPr>
          <w:rFonts w:hint="eastAsia" w:eastAsia="隶书"/>
          <w:sz w:val="24"/>
          <w:highlight w:val="white"/>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spacing w:line="400" w:lineRule="atLeast"/>
        <w:ind w:firstLine="480" w:firstLineChars="200"/>
        <w:rPr>
          <w:rFonts w:eastAsia="隶书"/>
          <w:sz w:val="24"/>
        </w:rPr>
      </w:pPr>
      <w:r>
        <w:rPr>
          <w:rFonts w:hint="eastAsia" w:eastAsia="隶书"/>
          <w:sz w:val="24"/>
          <w:highlight w:val="white"/>
        </w:rPr>
        <w:t>（3）当单价与数量的乘积与合价（金额）虽然一致，但投标人修改了该子目的工程数量，则其合价按招标人给定的工程数量乘以投标人所报单价予以修正。</w:t>
      </w:r>
    </w:p>
    <w:p>
      <w:pPr>
        <w:spacing w:line="400" w:lineRule="atLeast"/>
        <w:ind w:firstLine="420" w:firstLineChars="200"/>
        <w:rPr>
          <w:rFonts w:eastAsia="隶书"/>
          <w:sz w:val="24"/>
        </w:rPr>
      </w:pPr>
      <w:r>
        <w:rPr>
          <w:rFonts w:eastAsia="黑体"/>
          <w:szCs w:val="21"/>
          <w:highlight w:val="white"/>
        </w:rPr>
        <w:t xml:space="preserve">* </w:t>
      </w:r>
      <w:r>
        <w:rPr>
          <w:rFonts w:eastAsia="隶书"/>
          <w:sz w:val="24"/>
          <w:highlight w:val="white"/>
        </w:rPr>
        <w:t xml:space="preserve">3.3.4 </w:t>
      </w:r>
      <w:r>
        <w:rPr>
          <w:rFonts w:hint="eastAsia" w:eastAsia="隶书"/>
          <w:sz w:val="24"/>
          <w:highlight w:val="white"/>
        </w:rPr>
        <w:t>修正后的最终投标报价若超过最高投标限价（如有），评标委员会应否决其投标。</w:t>
      </w:r>
    </w:p>
    <w:p>
      <w:pPr>
        <w:spacing w:line="400" w:lineRule="atLeast"/>
        <w:ind w:firstLine="480" w:firstLineChars="200"/>
        <w:rPr>
          <w:rFonts w:eastAsia="隶书"/>
          <w:sz w:val="24"/>
        </w:rPr>
      </w:pPr>
      <w:r>
        <w:rPr>
          <w:rFonts w:eastAsia="隶书"/>
          <w:sz w:val="24"/>
          <w:highlight w:val="white"/>
        </w:rPr>
        <w:t xml:space="preserve">3.3.5 </w:t>
      </w:r>
      <w:r>
        <w:rPr>
          <w:rFonts w:hint="eastAsia" w:eastAsia="隶书"/>
          <w:sz w:val="24"/>
          <w:highlight w:val="white"/>
        </w:rPr>
        <w:t>修正后的最终投标报价仅作为签订合同的一个依据，不参与评标价得分的计算。</w:t>
      </w:r>
    </w:p>
    <w:p>
      <w:pPr>
        <w:pStyle w:val="6"/>
      </w:pPr>
      <w:r>
        <w:rPr>
          <w:highlight w:val="white"/>
        </w:rPr>
        <w:t xml:space="preserve">3.4 </w:t>
      </w:r>
      <w:r>
        <w:rPr>
          <w:rFonts w:hint="eastAsia"/>
          <w:highlight w:val="white"/>
        </w:rPr>
        <w:t>第二个信封详细评审</w:t>
      </w:r>
    </w:p>
    <w:p>
      <w:pPr>
        <w:spacing w:line="400" w:lineRule="atLeast"/>
        <w:ind w:firstLine="480" w:firstLineChars="200"/>
        <w:rPr>
          <w:rFonts w:eastAsia="隶书"/>
          <w:sz w:val="24"/>
        </w:rPr>
      </w:pPr>
      <w:r>
        <w:rPr>
          <w:rFonts w:eastAsia="隶书"/>
          <w:sz w:val="24"/>
          <w:highlight w:val="white"/>
        </w:rPr>
        <w:t xml:space="preserve">3.4.1 </w:t>
      </w:r>
      <w:r>
        <w:rPr>
          <w:rFonts w:hint="eastAsia" w:eastAsia="隶书"/>
          <w:sz w:val="24"/>
          <w:highlight w:val="white"/>
        </w:rPr>
        <w:t>评标委员会按本章第2.2款规定的量化因素和分值进行打分，并计算出综合评估得分（即评标价得分）。</w:t>
      </w:r>
    </w:p>
    <w:p>
      <w:pPr>
        <w:spacing w:line="400" w:lineRule="atLeast"/>
        <w:ind w:firstLine="480" w:firstLineChars="200"/>
        <w:rPr>
          <w:rFonts w:eastAsia="隶书"/>
          <w:sz w:val="24"/>
        </w:rPr>
      </w:pPr>
      <w:r>
        <w:rPr>
          <w:rFonts w:eastAsia="隶书"/>
          <w:sz w:val="24"/>
          <w:highlight w:val="white"/>
        </w:rPr>
        <w:t xml:space="preserve">3.4.2 </w:t>
      </w:r>
      <w:r>
        <w:rPr>
          <w:rFonts w:hint="eastAsia" w:eastAsia="隶书"/>
          <w:sz w:val="24"/>
          <w:highlight w:val="white"/>
        </w:rPr>
        <w:t>投标人得分分值计算保留小数点后两位，小数点后第三位“四舍五入”。</w:t>
      </w:r>
    </w:p>
    <w:p>
      <w:pPr>
        <w:spacing w:line="400" w:lineRule="atLeast"/>
        <w:ind w:firstLine="420" w:firstLineChars="200"/>
        <w:rPr>
          <w:rFonts w:eastAsia="隶书"/>
          <w:sz w:val="24"/>
        </w:rPr>
      </w:pPr>
      <w:r>
        <w:rPr>
          <w:rFonts w:eastAsia="黑体"/>
          <w:szCs w:val="21"/>
          <w:highlight w:val="white"/>
        </w:rPr>
        <w:t xml:space="preserve">* </w:t>
      </w:r>
      <w:r>
        <w:rPr>
          <w:rFonts w:eastAsia="隶书"/>
          <w:sz w:val="24"/>
          <w:highlight w:val="white"/>
        </w:rPr>
        <w:t xml:space="preserve">3.4.3 </w:t>
      </w:r>
      <w:r>
        <w:rPr>
          <w:rFonts w:hint="eastAsia" w:eastAsia="隶书"/>
          <w:sz w:val="24"/>
          <w:highlight w:val="white"/>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pStyle w:val="6"/>
      </w:pPr>
      <w:r>
        <w:rPr>
          <w:highlight w:val="white"/>
        </w:rPr>
        <w:t xml:space="preserve">3.5 </w:t>
      </w:r>
      <w:r>
        <w:rPr>
          <w:rFonts w:hint="eastAsia"/>
          <w:highlight w:val="white"/>
        </w:rPr>
        <w:t>投标文件相关信息的核查</w:t>
      </w:r>
    </w:p>
    <w:p>
      <w:pPr>
        <w:spacing w:line="400" w:lineRule="atLeast"/>
        <w:ind w:firstLine="420" w:firstLineChars="200"/>
        <w:rPr>
          <w:rFonts w:eastAsia="隶书"/>
          <w:sz w:val="24"/>
        </w:rPr>
      </w:pPr>
      <w:r>
        <w:rPr>
          <w:rFonts w:eastAsia="黑体"/>
          <w:szCs w:val="21"/>
          <w:highlight w:val="white"/>
        </w:rPr>
        <w:t xml:space="preserve">* </w:t>
      </w:r>
      <w:r>
        <w:rPr>
          <w:rFonts w:eastAsia="隶书"/>
          <w:sz w:val="24"/>
          <w:highlight w:val="white"/>
        </w:rPr>
        <w:t xml:space="preserve">3.5.1 </w:t>
      </w:r>
      <w:r>
        <w:rPr>
          <w:rFonts w:hint="eastAsia" w:eastAsia="隶书"/>
          <w:sz w:val="24"/>
          <w:highlight w:val="white"/>
        </w:rPr>
        <w:t>在评标过程中，评标委员会应查询交通运输主管部门“湖南省公路养护作业单位资信管理系统”及“全国公路建设市场信用信息管理系统”，对投标人的资质、业绩、主要人员资历和目前在岗情况、信用等级等信息进行核实。若投标文件载明的信息与交通运输主管部门“湖南省公路养护作业单位资信管理系统”及“全国公路建设市场信用信息管理系统”发布的信息不符，使得投标人的资格条件不符合招标文件规定的，评标委员会应否决其投标。</w:t>
      </w:r>
    </w:p>
    <w:p>
      <w:pPr>
        <w:spacing w:line="400" w:lineRule="atLeast"/>
        <w:ind w:firstLine="420" w:firstLineChars="200"/>
        <w:rPr>
          <w:rFonts w:eastAsia="隶书"/>
          <w:sz w:val="24"/>
        </w:rPr>
      </w:pPr>
      <w:r>
        <w:rPr>
          <w:rFonts w:eastAsia="黑体"/>
          <w:szCs w:val="21"/>
          <w:highlight w:val="white"/>
        </w:rPr>
        <w:t xml:space="preserve">* </w:t>
      </w:r>
      <w:r>
        <w:rPr>
          <w:rFonts w:eastAsia="隶书"/>
          <w:sz w:val="24"/>
          <w:highlight w:val="white"/>
        </w:rPr>
        <w:t xml:space="preserve">3.5.2 </w:t>
      </w:r>
      <w:r>
        <w:rPr>
          <w:rFonts w:hint="eastAsia" w:eastAsia="隶书"/>
          <w:sz w:val="24"/>
          <w:highlight w:val="white"/>
        </w:rPr>
        <w:t>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400" w:lineRule="atLeast"/>
        <w:ind w:firstLine="480" w:firstLineChars="200"/>
        <w:rPr>
          <w:rFonts w:eastAsia="隶书"/>
          <w:sz w:val="24"/>
        </w:rPr>
      </w:pPr>
      <w:r>
        <w:rPr>
          <w:rFonts w:hint="eastAsia" w:eastAsia="隶书"/>
          <w:sz w:val="24"/>
          <w:highlight w:val="white"/>
        </w:rPr>
        <w:t>（1）有下列情形之一的，属于投标人相互串通投标：</w:t>
      </w:r>
    </w:p>
    <w:p>
      <w:pPr>
        <w:spacing w:line="400" w:lineRule="atLeast"/>
        <w:ind w:firstLine="480" w:firstLineChars="200"/>
        <w:rPr>
          <w:rFonts w:eastAsia="隶书"/>
          <w:sz w:val="24"/>
        </w:rPr>
      </w:pPr>
      <w:r>
        <w:rPr>
          <w:rFonts w:hint="eastAsia" w:eastAsia="隶书"/>
          <w:sz w:val="24"/>
          <w:highlight w:val="white"/>
        </w:rPr>
        <w:t>a.投标人之间协商投标报价等投标文件的实质性内容；</w:t>
      </w:r>
    </w:p>
    <w:p>
      <w:pPr>
        <w:spacing w:line="400" w:lineRule="atLeast"/>
        <w:ind w:firstLine="480" w:firstLineChars="200"/>
        <w:rPr>
          <w:rFonts w:eastAsia="隶书"/>
          <w:sz w:val="24"/>
        </w:rPr>
      </w:pPr>
      <w:r>
        <w:rPr>
          <w:rFonts w:hint="eastAsia" w:eastAsia="隶书"/>
          <w:sz w:val="24"/>
          <w:highlight w:val="white"/>
        </w:rPr>
        <w:t>b.投标人之间约定中标人；</w:t>
      </w:r>
    </w:p>
    <w:p>
      <w:pPr>
        <w:spacing w:line="400" w:lineRule="atLeast"/>
        <w:ind w:firstLine="480" w:firstLineChars="200"/>
        <w:rPr>
          <w:rFonts w:eastAsia="隶书"/>
          <w:sz w:val="24"/>
        </w:rPr>
      </w:pPr>
      <w:r>
        <w:rPr>
          <w:rFonts w:hint="eastAsia" w:eastAsia="隶书"/>
          <w:sz w:val="24"/>
          <w:highlight w:val="white"/>
        </w:rPr>
        <w:t>c.投标人之间约定部分投标人放弃投标或中标；</w:t>
      </w:r>
    </w:p>
    <w:p>
      <w:pPr>
        <w:spacing w:line="400" w:lineRule="atLeast"/>
        <w:ind w:firstLine="480" w:firstLineChars="200"/>
        <w:rPr>
          <w:rFonts w:eastAsia="隶书"/>
          <w:sz w:val="24"/>
        </w:rPr>
      </w:pPr>
      <w:r>
        <w:rPr>
          <w:rFonts w:hint="eastAsia" w:eastAsia="隶书"/>
          <w:sz w:val="24"/>
          <w:highlight w:val="white"/>
        </w:rPr>
        <w:t>d.属于同一集团、协会、商会等组织成员的投标人按照该组织要求协同投标；</w:t>
      </w:r>
    </w:p>
    <w:p>
      <w:pPr>
        <w:spacing w:line="400" w:lineRule="atLeast"/>
        <w:ind w:firstLine="480" w:firstLineChars="200"/>
        <w:rPr>
          <w:rFonts w:eastAsia="隶书"/>
          <w:sz w:val="24"/>
        </w:rPr>
      </w:pPr>
      <w:r>
        <w:rPr>
          <w:rFonts w:hint="eastAsia" w:eastAsia="隶书"/>
          <w:sz w:val="24"/>
          <w:highlight w:val="white"/>
        </w:rPr>
        <w:t>e.投标人之间为谋取中标或排斥特定投标人而采取的其他联合行动。</w:t>
      </w:r>
    </w:p>
    <w:p>
      <w:pPr>
        <w:spacing w:line="400" w:lineRule="atLeast"/>
        <w:ind w:firstLine="480" w:firstLineChars="200"/>
        <w:rPr>
          <w:rFonts w:eastAsia="隶书"/>
          <w:sz w:val="24"/>
        </w:rPr>
      </w:pPr>
      <w:r>
        <w:rPr>
          <w:rFonts w:hint="eastAsia" w:eastAsia="隶书"/>
          <w:sz w:val="24"/>
          <w:highlight w:val="white"/>
        </w:rPr>
        <w:t>（2）有下列情形之一的，视为投标人相互串通投标：</w:t>
      </w:r>
    </w:p>
    <w:p>
      <w:pPr>
        <w:spacing w:line="400" w:lineRule="atLeast"/>
        <w:ind w:firstLine="480" w:firstLineChars="200"/>
        <w:rPr>
          <w:rFonts w:eastAsia="隶书"/>
          <w:sz w:val="24"/>
        </w:rPr>
      </w:pPr>
      <w:r>
        <w:rPr>
          <w:rFonts w:hint="eastAsia" w:eastAsia="隶书"/>
          <w:sz w:val="24"/>
          <w:highlight w:val="white"/>
        </w:rPr>
        <w:t>a.不同投标人的投标文件由同一单位或个人编制；</w:t>
      </w:r>
    </w:p>
    <w:p>
      <w:pPr>
        <w:spacing w:line="400" w:lineRule="atLeast"/>
        <w:ind w:firstLine="480" w:firstLineChars="200"/>
        <w:rPr>
          <w:rFonts w:eastAsia="隶书"/>
          <w:sz w:val="24"/>
        </w:rPr>
      </w:pPr>
      <w:r>
        <w:rPr>
          <w:rFonts w:hint="eastAsia" w:eastAsia="隶书"/>
          <w:sz w:val="24"/>
          <w:highlight w:val="white"/>
        </w:rPr>
        <w:t>b.不同投标人委托同一单位或个人办理投标事宜；</w:t>
      </w:r>
    </w:p>
    <w:p>
      <w:pPr>
        <w:spacing w:line="400" w:lineRule="atLeast"/>
        <w:ind w:firstLine="480" w:firstLineChars="200"/>
        <w:rPr>
          <w:rFonts w:eastAsia="隶书"/>
          <w:sz w:val="24"/>
        </w:rPr>
      </w:pPr>
      <w:r>
        <w:rPr>
          <w:rFonts w:hint="eastAsia" w:eastAsia="隶书"/>
          <w:sz w:val="24"/>
          <w:highlight w:val="white"/>
        </w:rPr>
        <w:t>c.不同投标人的投标文件载明的项目管理成员为同一人；</w:t>
      </w:r>
    </w:p>
    <w:p>
      <w:pPr>
        <w:spacing w:line="400" w:lineRule="atLeast"/>
        <w:ind w:firstLine="480" w:firstLineChars="200"/>
        <w:rPr>
          <w:rFonts w:eastAsia="隶书"/>
          <w:sz w:val="24"/>
        </w:rPr>
      </w:pPr>
      <w:r>
        <w:rPr>
          <w:rFonts w:hint="eastAsia" w:eastAsia="隶书"/>
          <w:sz w:val="24"/>
          <w:highlight w:val="white"/>
        </w:rPr>
        <w:t>d.不同投标人的投标文件异常一致或投标报价呈规律性差异；</w:t>
      </w:r>
    </w:p>
    <w:p>
      <w:pPr>
        <w:spacing w:line="400" w:lineRule="atLeast"/>
        <w:ind w:firstLine="480" w:firstLineChars="200"/>
        <w:rPr>
          <w:rFonts w:eastAsia="隶书"/>
          <w:sz w:val="24"/>
        </w:rPr>
      </w:pPr>
      <w:r>
        <w:rPr>
          <w:rFonts w:hint="eastAsia" w:eastAsia="隶书"/>
          <w:sz w:val="24"/>
          <w:highlight w:val="white"/>
        </w:rPr>
        <w:t>e.不同投标人的投标文件相互混装；</w:t>
      </w:r>
    </w:p>
    <w:p>
      <w:pPr>
        <w:spacing w:line="400" w:lineRule="atLeast"/>
        <w:ind w:firstLine="480" w:firstLineChars="200"/>
        <w:rPr>
          <w:rFonts w:eastAsia="隶书"/>
          <w:sz w:val="24"/>
        </w:rPr>
      </w:pPr>
      <w:r>
        <w:rPr>
          <w:rFonts w:hint="eastAsia" w:eastAsia="隶书"/>
          <w:sz w:val="24"/>
          <w:highlight w:val="white"/>
        </w:rPr>
        <w:t>f.不同投标人的投标保证金从同一单位或个人的账户转出；</w:t>
      </w:r>
    </w:p>
    <w:p>
      <w:pPr>
        <w:spacing w:line="400" w:lineRule="atLeast"/>
        <w:ind w:firstLine="480" w:firstLineChars="200"/>
        <w:rPr>
          <w:rFonts w:eastAsia="隶书"/>
          <w:sz w:val="24"/>
        </w:rPr>
      </w:pPr>
      <w:r>
        <w:rPr>
          <w:rFonts w:eastAsia="隶书"/>
          <w:sz w:val="24"/>
          <w:highlight w:val="white"/>
        </w:rPr>
        <w:t>g.</w:t>
      </w:r>
      <w:r>
        <w:rPr>
          <w:rFonts w:hint="eastAsia" w:eastAsia="隶书"/>
          <w:sz w:val="24"/>
          <w:highlight w:val="white"/>
        </w:rPr>
        <w:t>不同投标人的电子投标文件编制识别码完全一致；</w:t>
      </w:r>
    </w:p>
    <w:p>
      <w:pPr>
        <w:spacing w:line="400" w:lineRule="atLeast"/>
        <w:ind w:firstLine="480" w:firstLineChars="200"/>
        <w:rPr>
          <w:rFonts w:eastAsia="隶书"/>
          <w:sz w:val="24"/>
        </w:rPr>
      </w:pPr>
      <w:r>
        <w:rPr>
          <w:rFonts w:eastAsia="隶书"/>
          <w:sz w:val="24"/>
          <w:highlight w:val="white"/>
        </w:rPr>
        <w:t>h.</w:t>
      </w:r>
      <w:r>
        <w:rPr>
          <w:rFonts w:hint="eastAsia" w:eastAsia="隶书"/>
          <w:sz w:val="24"/>
          <w:highlight w:val="white"/>
        </w:rPr>
        <w:t>不同投标人提交电子投标文件IP地址相同且无法合理说明的；</w:t>
      </w:r>
    </w:p>
    <w:p>
      <w:pPr>
        <w:spacing w:line="400" w:lineRule="atLeast"/>
        <w:ind w:firstLine="480" w:firstLineChars="200"/>
        <w:rPr>
          <w:rFonts w:eastAsia="隶书"/>
          <w:sz w:val="24"/>
        </w:rPr>
      </w:pPr>
      <w:r>
        <w:rPr>
          <w:rFonts w:eastAsia="隶书"/>
          <w:sz w:val="24"/>
          <w:highlight w:val="white"/>
        </w:rPr>
        <w:t>i.</w:t>
      </w:r>
      <w:r>
        <w:rPr>
          <w:rFonts w:hint="eastAsia" w:eastAsia="隶书"/>
          <w:sz w:val="24"/>
          <w:highlight w:val="white"/>
        </w:rPr>
        <w:t>不同投标人提交电子投标文件的IP地址在某一特定区域且无法合理说明的；</w:t>
      </w:r>
    </w:p>
    <w:p>
      <w:pPr>
        <w:spacing w:line="400" w:lineRule="atLeast"/>
        <w:ind w:firstLine="480" w:firstLineChars="200"/>
        <w:rPr>
          <w:rFonts w:eastAsia="隶书"/>
          <w:sz w:val="24"/>
        </w:rPr>
      </w:pPr>
      <w:r>
        <w:rPr>
          <w:rFonts w:eastAsia="隶书"/>
          <w:sz w:val="24"/>
          <w:highlight w:val="white"/>
        </w:rPr>
        <w:t>j.</w:t>
      </w:r>
      <w:r>
        <w:rPr>
          <w:rFonts w:hint="eastAsia" w:eastAsia="隶书"/>
          <w:sz w:val="24"/>
          <w:highlight w:val="white"/>
        </w:rPr>
        <w:t>电子投标文件硬件信息相同且无法合理说明的。</w:t>
      </w:r>
    </w:p>
    <w:p>
      <w:pPr>
        <w:spacing w:line="400" w:lineRule="atLeast"/>
        <w:ind w:firstLine="480" w:firstLineChars="200"/>
        <w:rPr>
          <w:rFonts w:eastAsia="隶书"/>
          <w:sz w:val="24"/>
        </w:rPr>
      </w:pPr>
      <w:r>
        <w:rPr>
          <w:rFonts w:hint="eastAsia" w:eastAsia="隶书"/>
          <w:sz w:val="24"/>
          <w:highlight w:val="white"/>
        </w:rPr>
        <w:t>（3）有下列情形之一的，属于招标人与投标人串通投标：</w:t>
      </w:r>
    </w:p>
    <w:p>
      <w:pPr>
        <w:spacing w:line="400" w:lineRule="atLeast"/>
        <w:ind w:firstLine="480" w:firstLineChars="200"/>
        <w:rPr>
          <w:rFonts w:eastAsia="隶书"/>
          <w:sz w:val="24"/>
        </w:rPr>
      </w:pPr>
      <w:r>
        <w:rPr>
          <w:rFonts w:hint="eastAsia" w:eastAsia="隶书"/>
          <w:sz w:val="24"/>
          <w:highlight w:val="white"/>
        </w:rPr>
        <w:t>a.招标人在开标前开启投标文件并将有关信息泄露给其他投标人;</w:t>
      </w:r>
    </w:p>
    <w:p>
      <w:pPr>
        <w:spacing w:line="400" w:lineRule="atLeast"/>
        <w:ind w:firstLine="480" w:firstLineChars="200"/>
        <w:rPr>
          <w:rFonts w:eastAsia="隶书"/>
          <w:sz w:val="24"/>
        </w:rPr>
      </w:pPr>
      <w:r>
        <w:rPr>
          <w:rFonts w:hint="eastAsia" w:eastAsia="隶书"/>
          <w:sz w:val="24"/>
          <w:highlight w:val="white"/>
        </w:rPr>
        <w:t>b.招标人直接或间接向投标人泄露标底、评标委员会成员等信息；</w:t>
      </w:r>
    </w:p>
    <w:p>
      <w:pPr>
        <w:spacing w:line="400" w:lineRule="atLeast"/>
        <w:ind w:firstLine="480" w:firstLineChars="200"/>
        <w:rPr>
          <w:rFonts w:eastAsia="隶书"/>
          <w:sz w:val="24"/>
        </w:rPr>
      </w:pPr>
      <w:r>
        <w:rPr>
          <w:rFonts w:hint="eastAsia" w:eastAsia="隶书"/>
          <w:sz w:val="24"/>
          <w:highlight w:val="white"/>
        </w:rPr>
        <w:t>c.招标人明示或暗示投标人压低或抬高投标报价；</w:t>
      </w:r>
    </w:p>
    <w:p>
      <w:pPr>
        <w:spacing w:line="400" w:lineRule="atLeast"/>
        <w:ind w:firstLine="480" w:firstLineChars="200"/>
        <w:rPr>
          <w:rFonts w:eastAsia="隶书"/>
          <w:sz w:val="24"/>
        </w:rPr>
      </w:pPr>
      <w:r>
        <w:rPr>
          <w:rFonts w:hint="eastAsia" w:eastAsia="隶书"/>
          <w:sz w:val="24"/>
          <w:highlight w:val="white"/>
        </w:rPr>
        <w:t>d.招标人授意投标人撤换、修改投标文件；</w:t>
      </w:r>
    </w:p>
    <w:p>
      <w:pPr>
        <w:spacing w:line="400" w:lineRule="atLeast"/>
        <w:ind w:firstLine="480" w:firstLineChars="200"/>
        <w:rPr>
          <w:rFonts w:eastAsia="隶书"/>
          <w:sz w:val="24"/>
        </w:rPr>
      </w:pPr>
      <w:r>
        <w:rPr>
          <w:rFonts w:hint="eastAsia" w:eastAsia="隶书"/>
          <w:sz w:val="24"/>
          <w:highlight w:val="white"/>
        </w:rPr>
        <w:t>e.招标人明示或暗示投标人为特定投标人中标提供方便；</w:t>
      </w:r>
    </w:p>
    <w:p>
      <w:pPr>
        <w:spacing w:line="400" w:lineRule="atLeast"/>
        <w:ind w:firstLine="480" w:firstLineChars="200"/>
        <w:rPr>
          <w:rFonts w:eastAsia="隶书"/>
          <w:sz w:val="24"/>
        </w:rPr>
      </w:pPr>
      <w:r>
        <w:rPr>
          <w:rFonts w:hint="eastAsia" w:eastAsia="隶书"/>
          <w:sz w:val="24"/>
          <w:highlight w:val="white"/>
        </w:rPr>
        <w:t>f.招标人与投标人为谋求特定投标人中标而采取的其他串通行为。</w:t>
      </w:r>
    </w:p>
    <w:p>
      <w:pPr>
        <w:spacing w:line="400" w:lineRule="atLeast"/>
        <w:ind w:firstLine="480" w:firstLineChars="200"/>
        <w:rPr>
          <w:rFonts w:eastAsia="隶书"/>
          <w:sz w:val="24"/>
        </w:rPr>
      </w:pPr>
      <w:r>
        <w:rPr>
          <w:rFonts w:hint="eastAsia" w:eastAsia="隶书"/>
          <w:sz w:val="24"/>
          <w:highlight w:val="white"/>
        </w:rPr>
        <w:t>（4）投标人有下列情形之一的，属于弄虚作假的行为：</w:t>
      </w:r>
    </w:p>
    <w:p>
      <w:pPr>
        <w:spacing w:line="400" w:lineRule="atLeast"/>
        <w:ind w:firstLine="480" w:firstLineChars="200"/>
        <w:rPr>
          <w:rFonts w:eastAsia="隶书"/>
          <w:sz w:val="24"/>
        </w:rPr>
      </w:pPr>
      <w:r>
        <w:rPr>
          <w:rFonts w:hint="eastAsia" w:eastAsia="隶书"/>
          <w:sz w:val="24"/>
          <w:highlight w:val="white"/>
        </w:rPr>
        <w:t>a.使用通过受让或租借等方式获取的资格、资质证书投标；</w:t>
      </w:r>
    </w:p>
    <w:p>
      <w:pPr>
        <w:spacing w:line="400" w:lineRule="atLeast"/>
        <w:ind w:firstLine="480" w:firstLineChars="200"/>
        <w:rPr>
          <w:rFonts w:eastAsia="隶书"/>
          <w:sz w:val="24"/>
        </w:rPr>
      </w:pPr>
      <w:r>
        <w:rPr>
          <w:rFonts w:hint="eastAsia" w:eastAsia="隶书"/>
          <w:sz w:val="24"/>
          <w:highlight w:val="white"/>
        </w:rPr>
        <w:t>b.使用伪造、变造的许可证件；</w:t>
      </w:r>
    </w:p>
    <w:p>
      <w:pPr>
        <w:spacing w:line="400" w:lineRule="atLeast"/>
        <w:ind w:firstLine="480" w:firstLineChars="200"/>
        <w:rPr>
          <w:rFonts w:eastAsia="隶书"/>
          <w:sz w:val="24"/>
        </w:rPr>
      </w:pPr>
      <w:r>
        <w:rPr>
          <w:rFonts w:hint="eastAsia" w:eastAsia="隶书"/>
          <w:sz w:val="24"/>
          <w:highlight w:val="white"/>
        </w:rPr>
        <w:t>c.提供虚假的财务状况或业绩；</w:t>
      </w:r>
    </w:p>
    <w:p>
      <w:pPr>
        <w:spacing w:line="400" w:lineRule="atLeast"/>
        <w:ind w:firstLine="480" w:firstLineChars="200"/>
        <w:rPr>
          <w:rFonts w:eastAsia="隶书"/>
          <w:sz w:val="24"/>
        </w:rPr>
      </w:pPr>
      <w:r>
        <w:rPr>
          <w:rFonts w:hint="eastAsia" w:eastAsia="隶书"/>
          <w:sz w:val="24"/>
          <w:highlight w:val="white"/>
        </w:rPr>
        <w:t>d.提供虚假的项目负责人或主要技术人员简历、劳动关系证明；</w:t>
      </w:r>
    </w:p>
    <w:p>
      <w:pPr>
        <w:spacing w:line="400" w:lineRule="atLeast"/>
        <w:ind w:firstLine="480" w:firstLineChars="200"/>
        <w:rPr>
          <w:rFonts w:eastAsia="隶书"/>
          <w:sz w:val="24"/>
        </w:rPr>
      </w:pPr>
      <w:r>
        <w:rPr>
          <w:rFonts w:hint="eastAsia" w:eastAsia="隶书"/>
          <w:sz w:val="24"/>
          <w:highlight w:val="white"/>
        </w:rPr>
        <w:t>e.提供虚假的信用状况；</w:t>
      </w:r>
    </w:p>
    <w:p>
      <w:pPr>
        <w:spacing w:line="400" w:lineRule="atLeast"/>
        <w:ind w:firstLine="480" w:firstLineChars="200"/>
        <w:rPr>
          <w:rFonts w:eastAsia="隶书"/>
          <w:sz w:val="24"/>
        </w:rPr>
      </w:pPr>
      <w:r>
        <w:rPr>
          <w:rFonts w:hint="eastAsia" w:eastAsia="隶书"/>
          <w:sz w:val="24"/>
          <w:highlight w:val="white"/>
        </w:rPr>
        <w:t>f.其他弄虚作假的行为。</w:t>
      </w:r>
    </w:p>
    <w:p>
      <w:pPr>
        <w:pStyle w:val="6"/>
      </w:pPr>
      <w:r>
        <w:rPr>
          <w:highlight w:val="white"/>
        </w:rPr>
        <w:t xml:space="preserve">3.6 </w:t>
      </w:r>
      <w:r>
        <w:rPr>
          <w:rFonts w:hint="eastAsia"/>
          <w:highlight w:val="white"/>
        </w:rPr>
        <w:t>投标文件的澄清和说明</w:t>
      </w:r>
    </w:p>
    <w:p>
      <w:pPr>
        <w:spacing w:line="400" w:lineRule="atLeast"/>
        <w:ind w:firstLine="420" w:firstLineChars="200"/>
        <w:rPr>
          <w:rFonts w:eastAsia="隶书"/>
          <w:sz w:val="24"/>
        </w:rPr>
      </w:pPr>
      <w:r>
        <w:rPr>
          <w:rFonts w:eastAsia="黑体"/>
          <w:szCs w:val="21"/>
          <w:highlight w:val="white"/>
        </w:rPr>
        <w:t xml:space="preserve">* </w:t>
      </w:r>
      <w:r>
        <w:rPr>
          <w:rFonts w:eastAsia="隶书"/>
          <w:sz w:val="24"/>
          <w:highlight w:val="white"/>
        </w:rPr>
        <w:t xml:space="preserve">3.6.1 </w:t>
      </w:r>
      <w:r>
        <w:rPr>
          <w:rFonts w:hint="eastAsia" w:eastAsia="隶书"/>
          <w:sz w:val="24"/>
          <w:highlight w:val="white"/>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spacing w:line="400" w:lineRule="atLeast"/>
        <w:ind w:firstLine="480" w:firstLineChars="200"/>
        <w:rPr>
          <w:rFonts w:eastAsia="隶书"/>
          <w:sz w:val="24"/>
        </w:rPr>
      </w:pPr>
      <w:r>
        <w:rPr>
          <w:rFonts w:eastAsia="隶书"/>
          <w:sz w:val="24"/>
          <w:highlight w:val="white"/>
        </w:rPr>
        <w:t xml:space="preserve">3.6.2 </w:t>
      </w:r>
      <w:r>
        <w:rPr>
          <w:rFonts w:hint="eastAsia" w:eastAsia="隶书"/>
          <w:sz w:val="24"/>
          <w:highlight w:val="white"/>
        </w:rPr>
        <w:t>澄清和说明不得超出投标文件的范围或改变投标文件的实质性内容（算术性错误的修正除外）。投标人的书面澄清、说明属于投标文件的组成部分。</w:t>
      </w:r>
    </w:p>
    <w:p>
      <w:pPr>
        <w:spacing w:line="400" w:lineRule="atLeast"/>
        <w:ind w:firstLine="480" w:firstLineChars="200"/>
        <w:rPr>
          <w:rFonts w:eastAsia="隶书"/>
          <w:sz w:val="24"/>
        </w:rPr>
      </w:pPr>
      <w:r>
        <w:rPr>
          <w:rFonts w:eastAsia="隶书"/>
          <w:sz w:val="24"/>
          <w:highlight w:val="white"/>
        </w:rPr>
        <w:t xml:space="preserve">3.6.3 </w:t>
      </w:r>
      <w:r>
        <w:rPr>
          <w:rFonts w:hint="eastAsia" w:eastAsia="隶书"/>
          <w:sz w:val="24"/>
          <w:highlight w:val="white"/>
        </w:rPr>
        <w:t>评标委员会不得暗示或诱导投标人作出澄清、说明，对投标人提交的澄清、说明有疑问的，可以要求投标人进一步澄清或说明，直至满足评标委员会的要求。</w:t>
      </w:r>
    </w:p>
    <w:p>
      <w:pPr>
        <w:spacing w:line="400" w:lineRule="atLeast"/>
        <w:ind w:firstLine="480" w:firstLineChars="200"/>
        <w:rPr>
          <w:rFonts w:eastAsia="隶书"/>
          <w:sz w:val="24"/>
        </w:rPr>
      </w:pPr>
      <w:r>
        <w:rPr>
          <w:rFonts w:eastAsia="隶书"/>
          <w:sz w:val="24"/>
          <w:highlight w:val="white"/>
        </w:rPr>
        <w:t xml:space="preserve">3.6.4 </w:t>
      </w:r>
      <w:r>
        <w:rPr>
          <w:rFonts w:hint="eastAsia" w:eastAsia="隶书"/>
          <w:sz w:val="24"/>
          <w:highlight w:val="white"/>
        </w:rPr>
        <w:t>凡超出招标文件规定的或给发包人带来未曾要求的利益的变化、偏差或其他因素在评标时不予考虑。</w:t>
      </w:r>
    </w:p>
    <w:p>
      <w:pPr>
        <w:pStyle w:val="6"/>
      </w:pPr>
      <w:r>
        <w:rPr>
          <w:highlight w:val="white"/>
        </w:rPr>
        <w:t xml:space="preserve">3.7 </w:t>
      </w:r>
      <w:r>
        <w:rPr>
          <w:rFonts w:hint="eastAsia"/>
          <w:highlight w:val="white"/>
        </w:rPr>
        <w:t>不得否决投标的情形</w:t>
      </w:r>
    </w:p>
    <w:p>
      <w:pPr>
        <w:spacing w:line="400" w:lineRule="atLeast"/>
        <w:ind w:firstLine="480" w:firstLineChars="200"/>
        <w:rPr>
          <w:rFonts w:eastAsia="隶书"/>
          <w:sz w:val="24"/>
        </w:rPr>
      </w:pPr>
      <w:r>
        <w:rPr>
          <w:rFonts w:hint="eastAsia" w:eastAsia="隶书"/>
          <w:sz w:val="24"/>
          <w:highlight w:val="white"/>
        </w:rPr>
        <w:t>投标文件存在第二章“投标人须知”第1.12.3项所列情形的，均视为细微偏差，评标委员会不得否决投标人的投标，应按照第二章“投标人须知”第1.12.4项规定的原则处理。</w:t>
      </w:r>
    </w:p>
    <w:p>
      <w:pPr>
        <w:pStyle w:val="6"/>
      </w:pPr>
      <w:r>
        <w:rPr>
          <w:highlight w:val="white"/>
        </w:rPr>
        <w:t xml:space="preserve">3.8 </w:t>
      </w:r>
      <w:r>
        <w:rPr>
          <w:rFonts w:hint="eastAsia"/>
          <w:highlight w:val="white"/>
        </w:rPr>
        <w:t>评标结果</w:t>
      </w:r>
    </w:p>
    <w:p>
      <w:pPr>
        <w:spacing w:line="400" w:lineRule="atLeast"/>
        <w:ind w:firstLine="480" w:firstLineChars="200"/>
        <w:rPr>
          <w:rFonts w:eastAsia="隶书"/>
          <w:sz w:val="24"/>
        </w:rPr>
      </w:pPr>
      <w:r>
        <w:rPr>
          <w:rFonts w:eastAsia="隶书"/>
          <w:sz w:val="24"/>
          <w:highlight w:val="white"/>
        </w:rPr>
        <w:t xml:space="preserve">3.8.1 </w:t>
      </w:r>
      <w:r>
        <w:rPr>
          <w:rFonts w:hint="eastAsia" w:eastAsia="隶书"/>
          <w:sz w:val="24"/>
          <w:highlight w:val="white"/>
        </w:rPr>
        <w:t>除第二章“投标人须知”前附表授权直接确定中标人外，评标委员会按照得分由高到低的顺序推荐中标候选人，并标明排序。</w:t>
      </w:r>
    </w:p>
    <w:p>
      <w:pPr>
        <w:rPr>
          <w:rStyle w:val="18"/>
          <w:rFonts w:hint="eastAsia" w:ascii="Times New Roman" w:hAnsi="Times New Roman" w:eastAsia="黑体" w:cs="Times New Roman"/>
          <w:szCs w:val="24"/>
        </w:rPr>
      </w:pPr>
      <w:r>
        <w:rPr>
          <w:rFonts w:eastAsia="隶书"/>
          <w:sz w:val="24"/>
          <w:highlight w:val="white"/>
        </w:rPr>
        <w:t xml:space="preserve">3.8.2 </w:t>
      </w:r>
      <w:r>
        <w:rPr>
          <w:rFonts w:hint="eastAsia" w:eastAsia="隶书"/>
          <w:sz w:val="24"/>
          <w:highlight w:val="white"/>
        </w:rPr>
        <w:t>评标委员会完成评标后，应向招标人提交书面评标报告。</w:t>
      </w:r>
    </w:p>
    <w:p>
      <w:pPr>
        <w:pStyle w:val="34"/>
        <w:rPr>
          <w:rFonts w:hint="eastAsia"/>
        </w:rPr>
      </w:pPr>
    </w:p>
    <w:p>
      <w:pPr>
        <w:spacing w:line="440" w:lineRule="atLeast"/>
        <w:ind w:firstLine="640" w:firstLineChars="200"/>
        <w:jc w:val="center"/>
        <w:rPr>
          <w:rStyle w:val="18"/>
          <w:rFonts w:hint="eastAsia" w:ascii="黑体" w:hAnsi="黑体" w:eastAsia="黑体" w:cs="黑体"/>
          <w:color w:val="auto"/>
          <w:kern w:val="2"/>
          <w:sz w:val="32"/>
          <w:szCs w:val="32"/>
          <w:highlight w:val="none"/>
          <w:u w:val="none"/>
          <w:lang w:val="en-US" w:eastAsia="zh-CN" w:bidi="ar-SA"/>
        </w:rPr>
      </w:pP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8">
    <w:p>
      <w:r>
        <w:separator/>
      </w:r>
    </w:p>
  </w:footnote>
  <w:footnote w:type="continuationSeparator" w:id="29">
    <w:p>
      <w:r>
        <w:continuationSeparator/>
      </w:r>
    </w:p>
  </w:footnote>
  <w:footnote w:id="0">
    <w:p>
      <w:pPr>
        <w:pStyle w:val="43"/>
        <w:spacing w:line="240" w:lineRule="auto"/>
        <w:ind w:firstLine="0"/>
        <w:rPr>
          <w:rStyle w:val="18"/>
          <w:rFonts w:ascii="黑体" w:hAnsi="黑体" w:eastAsia="黑体" w:cs="黑体"/>
        </w:rPr>
      </w:pPr>
      <w:r>
        <w:rPr>
          <w:rStyle w:val="31"/>
          <w:rFonts w:ascii="黑体" w:hAnsi="黑体" w:eastAsia="黑体" w:cs="Times New Roman"/>
          <w:sz w:val="21"/>
          <w:szCs w:val="18"/>
        </w:rPr>
        <w:footnoteRef/>
      </w:r>
      <w:r>
        <w:rPr>
          <w:rStyle w:val="18"/>
          <w:rFonts w:ascii="Times New Roman" w:hAnsi="Times New Roman" w:eastAsia="宋体" w:cs="Times New Roman"/>
          <w:szCs w:val="18"/>
          <w:lang w:val="en-US"/>
        </w:rPr>
        <w:t xml:space="preserve"> </w:t>
      </w:r>
      <w:r>
        <w:rPr>
          <w:rStyle w:val="18"/>
          <w:rFonts w:hint="eastAsia" w:ascii="黑体" w:hAnsi="黑体" w:eastAsia="黑体" w:cs="黑体"/>
          <w:lang w:val="en-US"/>
        </w:rPr>
        <w:t>招标人在填写招标工程类别时也可以进一步明确养护内容并以此细化类别，如桥梁工程修复养护（大修、中修）。</w:t>
      </w:r>
    </w:p>
  </w:footnote>
  <w:footnote w:id="1">
    <w:p>
      <w:pPr>
        <w:pStyle w:val="43"/>
        <w:spacing w:line="240" w:lineRule="auto"/>
        <w:ind w:firstLine="0"/>
        <w:rPr>
          <w:rStyle w:val="18"/>
          <w:rFonts w:ascii="黑体" w:hAnsi="黑体" w:eastAsia="黑体" w:cs="黑体"/>
        </w:rPr>
      </w:pPr>
      <w:r>
        <w:rPr>
          <w:rStyle w:val="31"/>
          <w:rFonts w:hint="eastAsia" w:ascii="华文新魏" w:hAnsi="黑体" w:eastAsia="华文新魏" w:cs="黑体"/>
        </w:rPr>
        <w:footnoteRef/>
      </w:r>
      <w:r>
        <w:rPr>
          <w:rStyle w:val="18"/>
          <w:rFonts w:hint="eastAsia" w:ascii="华文新魏" w:hAnsi="黑体" w:eastAsia="华文新魏" w:cs="黑体"/>
        </w:rPr>
        <w:t xml:space="preserve"> </w:t>
      </w:r>
      <w:r>
        <w:rPr>
          <w:rStyle w:val="18"/>
          <w:rFonts w:hint="eastAsia" w:ascii="黑体" w:hAnsi="黑体" w:eastAsia="黑体" w:cs="黑体"/>
        </w:rPr>
        <w:t>单位负责人，是指单位法定代表人或者法律、行政法规规定代表单位行使职权的主要负责人。（招标文件中所列“单位负责人”均作本条解释）。</w:t>
      </w:r>
    </w:p>
  </w:footnote>
  <w:footnote w:id="2">
    <w:p>
      <w:pPr>
        <w:pStyle w:val="43"/>
        <w:spacing w:line="240" w:lineRule="auto"/>
        <w:ind w:firstLine="0"/>
        <w:rPr>
          <w:rStyle w:val="18"/>
          <w:rFonts w:ascii="黑体" w:hAnsi="黑体" w:eastAsia="黑体" w:cs="黑体"/>
        </w:rPr>
      </w:pPr>
      <w:r>
        <w:rPr>
          <w:rStyle w:val="31"/>
          <w:rFonts w:ascii="黑体" w:hAnsi="黑体" w:eastAsia="黑体" w:cs="黑体"/>
        </w:rPr>
        <w:footnoteRef/>
      </w:r>
      <w:r>
        <w:rPr>
          <w:rStyle w:val="18"/>
          <w:rFonts w:ascii="黑体" w:hAnsi="黑体" w:eastAsia="黑体" w:cs="黑体"/>
        </w:rPr>
        <w:t xml:space="preserve"> 控股，是指出资额（持股）占股本总额50%以上或虽不足50%，但依出资额或所持股份所享有的表决权足以对股东会、股东大会的决议产生重大影响的，或者国有企事业单位通过投资关系、协议或者其他安排，能够实际支配公司行为的。（招标文件中所列“控股”均作本条解释）</w:t>
      </w:r>
      <w:r>
        <w:rPr>
          <w:rStyle w:val="18"/>
          <w:rFonts w:hint="eastAsia" w:ascii="黑体" w:hAnsi="黑体" w:eastAsia="黑体" w:cs="黑体"/>
        </w:rPr>
        <w:t>。</w:t>
      </w:r>
    </w:p>
  </w:footnote>
  <w:footnote w:id="3">
    <w:p>
      <w:pPr>
        <w:pStyle w:val="43"/>
        <w:spacing w:line="240" w:lineRule="auto"/>
        <w:ind w:firstLine="0"/>
        <w:rPr>
          <w:rStyle w:val="18"/>
          <w:rFonts w:ascii="华文新魏" w:hAnsi="黑体" w:eastAsia="华文新魏" w:cs="黑体"/>
        </w:rPr>
      </w:pPr>
      <w:r>
        <w:rPr>
          <w:rStyle w:val="31"/>
          <w:rFonts w:ascii="黑体" w:hAnsi="黑体" w:eastAsia="黑体" w:cs="黑体"/>
        </w:rPr>
        <w:footnoteRef/>
      </w:r>
      <w:r>
        <w:rPr>
          <w:rStyle w:val="18"/>
          <w:rFonts w:ascii="黑体" w:hAnsi="黑体" w:eastAsia="黑体" w:cs="黑体"/>
        </w:rPr>
        <w:t xml:space="preserve"> 管理，是指不具有出资持股关系的其他单位之间存在的管理与被管理关系。（招标文件中所列“管理”均作本条解释）</w:t>
      </w:r>
      <w:r>
        <w:rPr>
          <w:rStyle w:val="18"/>
          <w:rFonts w:hint="eastAsia" w:ascii="黑体" w:hAnsi="黑体" w:eastAsia="黑体" w:cs="黑体"/>
        </w:rPr>
        <w:t>。</w:t>
      </w:r>
    </w:p>
  </w:footnote>
  <w:footnote w:id="4">
    <w:p>
      <w:pPr>
        <w:pStyle w:val="44"/>
        <w:spacing w:line="240" w:lineRule="auto"/>
        <w:ind w:firstLine="0"/>
        <w:rPr>
          <w:rStyle w:val="18"/>
          <w:rFonts w:ascii="华文新魏" w:eastAsia="华文新魏"/>
          <w:lang w:eastAsia="zh-CN"/>
        </w:rPr>
      </w:pPr>
      <w:r>
        <w:rPr>
          <w:rStyle w:val="46"/>
          <w:rFonts w:hint="eastAsia" w:ascii="华文新魏" w:eastAsia="华文新魏"/>
        </w:rPr>
        <w:footnoteRef/>
      </w:r>
      <w:r>
        <w:rPr>
          <w:rStyle w:val="18"/>
          <w:rFonts w:hint="eastAsia" w:ascii="华文新魏" w:eastAsia="华文新魏"/>
        </w:rPr>
        <w:t xml:space="preserve"> </w:t>
      </w:r>
      <w:r>
        <w:rPr>
          <w:rStyle w:val="18"/>
          <w:rFonts w:hint="eastAsia" w:ascii="黑体" w:hAnsi="黑体" w:eastAsia="黑体"/>
          <w:lang w:eastAsia="zh-CN"/>
        </w:rPr>
        <w:t>省属项目按省交通运输厅评价执行，市州在农村公路招投标过程中，市州交通运输局组织开展并发布的农村公路的信用评价等级结果在该市州范围内适用。对无该市农村公路信用评价等级的施工企业，应适用省厅发布的信用等级。</w:t>
      </w:r>
    </w:p>
  </w:footnote>
  <w:footnote w:id="5">
    <w:p>
      <w:pPr>
        <w:pStyle w:val="47"/>
        <w:spacing w:line="240" w:lineRule="auto"/>
        <w:ind w:firstLine="0"/>
        <w:rPr>
          <w:rStyle w:val="18"/>
          <w:rFonts w:hint="eastAsia" w:ascii="黑体" w:hAnsi="黑体" w:eastAsia="黑体" w:cs="黑体"/>
        </w:rPr>
      </w:pPr>
      <w:r>
        <w:rPr>
          <w:rStyle w:val="48"/>
          <w:rFonts w:hint="eastAsia" w:ascii="黑体" w:hAnsi="黑体" w:eastAsia="黑体" w:cs="黑体"/>
        </w:rPr>
        <w:footnoteRef/>
      </w:r>
      <w:r>
        <w:rPr>
          <w:rStyle w:val="18"/>
          <w:rFonts w:hint="eastAsia" w:ascii="黑体" w:hAnsi="黑体" w:eastAsia="黑体" w:cs="黑体"/>
        </w:rPr>
        <w:t xml:space="preserve"> 专业担保公司是指与银行签订合作协议，并取得银行一定额度授信的担保机构。</w:t>
      </w:r>
    </w:p>
  </w:footnote>
  <w:footnote w:id="6">
    <w:p>
      <w:pPr>
        <w:pStyle w:val="47"/>
        <w:spacing w:line="240" w:lineRule="auto"/>
        <w:ind w:firstLine="0"/>
        <w:rPr>
          <w:rStyle w:val="18"/>
          <w:rFonts w:hint="eastAsia" w:ascii="黑体" w:hAnsi="黑体" w:eastAsia="黑体" w:cs="黑体"/>
        </w:rPr>
      </w:pPr>
      <w:r>
        <w:rPr>
          <w:rStyle w:val="48"/>
          <w:rFonts w:hint="eastAsia" w:ascii="黑体" w:hAnsi="黑体" w:eastAsia="黑体" w:cs="黑体"/>
        </w:rPr>
        <w:footnoteRef/>
      </w:r>
      <w:r>
        <w:rPr>
          <w:rStyle w:val="18"/>
          <w:rFonts w:hint="eastAsia" w:ascii="黑体" w:hAnsi="黑体" w:eastAsia="黑体" w:cs="黑体"/>
        </w:rPr>
        <w:t xml:space="preserve"> 保险公司是指经银保监会批准设立，经营范围包含保证保险的财产保险公司。</w:t>
      </w:r>
    </w:p>
  </w:footnote>
  <w:footnote w:id="7">
    <w:p>
      <w:pPr>
        <w:pStyle w:val="7"/>
        <w:spacing w:line="320" w:lineRule="atLeast"/>
        <w:ind w:firstLine="0"/>
        <w:rPr>
          <w:szCs w:val="18"/>
        </w:rPr>
      </w:pPr>
    </w:p>
  </w:footnote>
  <w:footnote w:id="8">
    <w:p>
      <w:pPr>
        <w:pStyle w:val="7"/>
        <w:spacing w:line="240" w:lineRule="auto"/>
        <w:ind w:firstLine="0"/>
        <w:rPr>
          <w:szCs w:val="18"/>
        </w:rPr>
      </w:pPr>
    </w:p>
  </w:footnote>
  <w:footnote w:id="9">
    <w:p>
      <w:pPr>
        <w:pStyle w:val="7"/>
        <w:spacing w:line="240" w:lineRule="auto"/>
        <w:ind w:firstLine="0"/>
        <w:rPr>
          <w:szCs w:val="18"/>
        </w:rPr>
      </w:pPr>
    </w:p>
  </w:footnote>
  <w:footnote w:id="10">
    <w:p>
      <w:pPr>
        <w:pStyle w:val="7"/>
        <w:spacing w:line="320" w:lineRule="atLeast"/>
        <w:ind w:left="180" w:hanging="180" w:hangingChars="100"/>
        <w:rPr>
          <w:kern w:val="2"/>
          <w:sz w:val="21"/>
          <w:szCs w:val="21"/>
        </w:rPr>
      </w:pPr>
      <w:r>
        <w:rPr>
          <w:rStyle w:val="19"/>
        </w:rPr>
        <w:footnoteRef/>
      </w:r>
      <w:r>
        <w:rPr>
          <w:highlight w:val="white"/>
        </w:rPr>
        <w:t xml:space="preserve"> </w:t>
      </w:r>
      <w:r>
        <w:rPr>
          <w:rFonts w:hint="eastAsia" w:ascii="黑体" w:hAnsi="黑体" w:eastAsia="黑体"/>
          <w:highlight w:val="white"/>
        </w:rPr>
        <w:t>所有否决投标的条款标明</w:t>
      </w:r>
      <w:r>
        <w:rPr>
          <w:rFonts w:ascii="黑体" w:hAnsi="黑体" w:eastAsia="黑体"/>
          <w:highlight w:val="white"/>
        </w:rPr>
        <w:t>*号。未标明*</w:t>
      </w:r>
      <w:r>
        <w:rPr>
          <w:rFonts w:hint="eastAsia" w:ascii="黑体" w:hAnsi="黑体" w:eastAsia="黑体"/>
          <w:highlight w:val="white"/>
        </w:rPr>
        <w:t>号的条款不得作为否决投标的条款。</w:t>
      </w:r>
    </w:p>
  </w:footnote>
  <w:footnote w:id="11">
    <w:p>
      <w:pPr>
        <w:pStyle w:val="7"/>
        <w:spacing w:line="320" w:lineRule="atLeast"/>
        <w:ind w:left="180" w:hanging="180" w:hangingChars="100"/>
        <w:jc w:val="both"/>
        <w:rPr>
          <w:rFonts w:eastAsia="黑体"/>
          <w:szCs w:val="18"/>
        </w:rPr>
      </w:pPr>
      <w:r>
        <w:rPr>
          <w:rStyle w:val="19"/>
          <w:szCs w:val="18"/>
        </w:rPr>
        <w:footnoteRef/>
      </w:r>
      <w:r>
        <w:rPr>
          <w:rFonts w:hint="eastAsia"/>
          <w:szCs w:val="18"/>
          <w:highlight w:val="white"/>
        </w:rPr>
        <w:t xml:space="preserve"> </w:t>
      </w:r>
      <w:r>
        <w:rPr>
          <w:rFonts w:hint="eastAsia" w:ascii="黑体" w:hAnsi="黑体" w:eastAsia="黑体"/>
          <w:szCs w:val="18"/>
          <w:highlight w:val="white"/>
        </w:rPr>
        <w:t>“分类资审随机分配合理低价法”是综合评估法的评分因素中评标价得分为</w:t>
      </w:r>
      <w:r>
        <w:rPr>
          <w:rFonts w:ascii="黑体" w:hAnsi="黑体" w:eastAsia="黑体"/>
          <w:szCs w:val="18"/>
          <w:highlight w:val="white"/>
        </w:rPr>
        <w:t>99</w:t>
      </w:r>
      <w:r>
        <w:rPr>
          <w:rFonts w:hint="eastAsia" w:ascii="黑体" w:hAnsi="黑体" w:eastAsia="黑体"/>
          <w:szCs w:val="18"/>
          <w:highlight w:val="white"/>
        </w:rPr>
        <w:t>分、信用评价分值为</w:t>
      </w:r>
      <w:r>
        <w:rPr>
          <w:rFonts w:ascii="黑体" w:hAnsi="黑体" w:eastAsia="黑体"/>
          <w:szCs w:val="18"/>
          <w:highlight w:val="white"/>
        </w:rPr>
        <w:t>1</w:t>
      </w:r>
      <w:r>
        <w:rPr>
          <w:rFonts w:hint="eastAsia" w:ascii="黑体" w:hAnsi="黑体" w:eastAsia="黑体"/>
          <w:szCs w:val="18"/>
          <w:highlight w:val="white"/>
        </w:rPr>
        <w:t>分的特例。“分类资审随机分配合理低价法”中，第一个信封（商务及技术文件）的评审应采用合格制，第二信封按通过第一信封评审的投标人摇号随机抽取确定的标段进行开封（</w:t>
      </w:r>
      <w:r>
        <w:rPr>
          <w:rFonts w:hint="eastAsia" w:ascii="黑体" w:hAnsi="黑体" w:eastAsia="黑体"/>
          <w:szCs w:val="18"/>
          <w:highlight w:val="white"/>
          <w:lang w:val="en-US"/>
        </w:rPr>
        <w:t>仅一个标段时无需随机抽取</w:t>
      </w:r>
      <w:r>
        <w:rPr>
          <w:rFonts w:hint="eastAsia" w:ascii="黑体" w:hAnsi="黑体" w:eastAsia="黑体"/>
          <w:szCs w:val="18"/>
          <w:highlight w:val="white"/>
        </w:rPr>
        <w:t>）。</w:t>
      </w:r>
    </w:p>
  </w:footnote>
  <w:footnote w:id="12">
    <w:p>
      <w:pPr>
        <w:pStyle w:val="7"/>
        <w:spacing w:line="320" w:lineRule="atLeast"/>
        <w:ind w:left="180" w:hanging="180" w:hangingChars="100"/>
        <w:jc w:val="both"/>
        <w:rPr>
          <w:szCs w:val="18"/>
        </w:rPr>
      </w:pPr>
      <w:r>
        <w:rPr>
          <w:rStyle w:val="19"/>
          <w:szCs w:val="18"/>
        </w:rPr>
        <w:footnoteRef/>
      </w:r>
      <w:r>
        <w:rPr>
          <w:szCs w:val="18"/>
          <w:highlight w:val="white"/>
        </w:rPr>
        <w:t xml:space="preserve"> </w:t>
      </w:r>
      <w:r>
        <w:rPr>
          <w:rFonts w:hint="eastAsia"/>
          <w:szCs w:val="18"/>
          <w:highlight w:val="white"/>
        </w:rPr>
        <w:t>“评标办法前附表”用于明确评标的方法、因素、标准和程序。招标人应根据招标项目具体特点和实际需要，详细列明全部评审因素、标准，没有列明的因素和标准不得作为评标的依据。</w:t>
      </w:r>
    </w:p>
    <w:p>
      <w:pPr>
        <w:pStyle w:val="7"/>
        <w:spacing w:line="320" w:lineRule="atLeast"/>
        <w:ind w:left="180" w:hanging="180" w:hangingChars="100"/>
        <w:jc w:val="both"/>
        <w:rPr>
          <w:szCs w:val="18"/>
        </w:rPr>
      </w:pPr>
      <w:r>
        <w:rPr>
          <w:rStyle w:val="19"/>
          <w:rFonts w:hint="eastAsia"/>
          <w:highlight w:val="white"/>
        </w:rPr>
        <w:t>④</w:t>
      </w:r>
      <w:r>
        <w:rPr>
          <w:szCs w:val="18"/>
          <w:highlight w:val="white"/>
          <w:vertAlign w:val="superscript"/>
        </w:rPr>
        <w:t xml:space="preserve"> </w:t>
      </w:r>
      <w:r>
        <w:rPr>
          <w:rFonts w:hint="eastAsia" w:ascii="黑体" w:hAnsi="黑体" w:eastAsia="黑体"/>
          <w:szCs w:val="18"/>
          <w:highlight w:val="white"/>
        </w:rPr>
        <w:t>湖南省及交通运输部信用等级的评分均仅以养护工程信用评价结果为准。</w:t>
      </w:r>
    </w:p>
  </w:footnote>
  <w:footnote w:id="13">
    <w:p>
      <w:pPr>
        <w:pStyle w:val="7"/>
        <w:spacing w:line="320" w:lineRule="atLeast"/>
        <w:ind w:left="180" w:hanging="180" w:hangingChars="100"/>
        <w:rPr>
          <w:rStyle w:val="19"/>
          <w:szCs w:val="18"/>
        </w:rPr>
      </w:pPr>
      <w:r>
        <w:rPr>
          <w:rStyle w:val="19"/>
          <w:szCs w:val="18"/>
        </w:rPr>
        <w:footnoteRef/>
      </w:r>
      <w:r>
        <w:rPr>
          <w:rFonts w:hint="eastAsia"/>
          <w:szCs w:val="18"/>
          <w:highlight w:val="white"/>
        </w:rPr>
        <w:t xml:space="preserve"> 如</w:t>
      </w:r>
      <w:r>
        <w:rPr>
          <w:rStyle w:val="19"/>
          <w:szCs w:val="18"/>
          <w:highlight w:val="white"/>
          <w:vertAlign w:val="baseline"/>
        </w:rPr>
        <w:t>本项目招标</w:t>
      </w:r>
      <w:r>
        <w:rPr>
          <w:rStyle w:val="19"/>
          <w:rFonts w:hint="eastAsia"/>
          <w:szCs w:val="18"/>
          <w:highlight w:val="white"/>
          <w:vertAlign w:val="baseline"/>
        </w:rPr>
        <w:t>由投标人按照招标人提供的</w:t>
      </w:r>
      <w:r>
        <w:rPr>
          <w:szCs w:val="18"/>
          <w:highlight w:val="white"/>
        </w:rPr>
        <w:t>书面</w:t>
      </w:r>
      <w:r>
        <w:rPr>
          <w:rStyle w:val="19"/>
          <w:rFonts w:hint="eastAsia"/>
          <w:szCs w:val="18"/>
          <w:highlight w:val="white"/>
          <w:vertAlign w:val="baseline"/>
        </w:rPr>
        <w:t>工程量清单填写</w:t>
      </w:r>
      <w:r>
        <w:rPr>
          <w:rStyle w:val="19"/>
          <w:szCs w:val="18"/>
          <w:highlight w:val="white"/>
          <w:vertAlign w:val="baseline"/>
        </w:rPr>
        <w:t>本合同各工程子目的单价、合价和总额价</w:t>
      </w:r>
      <w:r>
        <w:rPr>
          <w:rStyle w:val="19"/>
          <w:rFonts w:hint="eastAsia"/>
          <w:szCs w:val="18"/>
          <w:highlight w:val="white"/>
          <w:vertAlign w:val="baseline"/>
        </w:rPr>
        <w:t>，则</w:t>
      </w:r>
      <w:r>
        <w:rPr>
          <w:rStyle w:val="19"/>
          <w:szCs w:val="18"/>
          <w:highlight w:val="white"/>
          <w:vertAlign w:val="baseline"/>
        </w:rPr>
        <w:t>评标委员会按照</w:t>
      </w:r>
      <w:r>
        <w:rPr>
          <w:rStyle w:val="19"/>
          <w:rFonts w:hint="eastAsia"/>
          <w:szCs w:val="18"/>
          <w:highlight w:val="white"/>
          <w:vertAlign w:val="baseline"/>
        </w:rPr>
        <w:t>本</w:t>
      </w:r>
      <w:r>
        <w:rPr>
          <w:rStyle w:val="19"/>
          <w:szCs w:val="18"/>
          <w:highlight w:val="white"/>
          <w:vertAlign w:val="baseline"/>
        </w:rPr>
        <w:t>章</w:t>
      </w:r>
      <w:r>
        <w:rPr>
          <w:rStyle w:val="19"/>
          <w:rFonts w:hint="eastAsia"/>
          <w:szCs w:val="18"/>
          <w:highlight w:val="white"/>
          <w:vertAlign w:val="baseline"/>
        </w:rPr>
        <w:t>第3.3.2项和第3</w:t>
      </w:r>
      <w:r>
        <w:rPr>
          <w:rFonts w:hint="eastAsia"/>
          <w:szCs w:val="18"/>
          <w:highlight w:val="white"/>
        </w:rPr>
        <w:t>.3.3项</w:t>
      </w:r>
      <w:r>
        <w:rPr>
          <w:rStyle w:val="19"/>
          <w:rFonts w:hint="eastAsia"/>
          <w:szCs w:val="18"/>
          <w:highlight w:val="white"/>
          <w:vertAlign w:val="baseline"/>
        </w:rPr>
        <w:t>的</w:t>
      </w:r>
      <w:r>
        <w:rPr>
          <w:rStyle w:val="19"/>
          <w:szCs w:val="18"/>
          <w:highlight w:val="white"/>
          <w:vertAlign w:val="baseline"/>
        </w:rPr>
        <w:t>规定</w:t>
      </w:r>
      <w:r>
        <w:rPr>
          <w:rStyle w:val="19"/>
          <w:rFonts w:hint="eastAsia"/>
          <w:szCs w:val="18"/>
          <w:highlight w:val="white"/>
          <w:vertAlign w:val="baseline"/>
        </w:rPr>
        <w:t>对投标人的投标报价进行修正。</w:t>
      </w:r>
      <w:r>
        <w:rPr>
          <w:rFonts w:hint="eastAsia"/>
          <w:szCs w:val="18"/>
          <w:highlight w:val="white"/>
        </w:rPr>
        <w:t>如</w:t>
      </w:r>
      <w:r>
        <w:rPr>
          <w:rStyle w:val="19"/>
          <w:szCs w:val="18"/>
          <w:highlight w:val="white"/>
          <w:vertAlign w:val="baseline"/>
        </w:rPr>
        <w:t>本项目招标</w:t>
      </w:r>
      <w:r>
        <w:rPr>
          <w:rStyle w:val="19"/>
          <w:rFonts w:hint="eastAsia"/>
          <w:szCs w:val="18"/>
          <w:highlight w:val="white"/>
          <w:vertAlign w:val="baseline"/>
        </w:rPr>
        <w:t>由</w:t>
      </w:r>
      <w:r>
        <w:rPr>
          <w:rFonts w:hint="eastAsia"/>
          <w:szCs w:val="18"/>
          <w:highlight w:val="white"/>
        </w:rPr>
        <w:t>投标人按照招标人提供的</w:t>
      </w:r>
      <w:r>
        <w:rPr>
          <w:szCs w:val="18"/>
          <w:highlight w:val="white"/>
        </w:rPr>
        <w:t>工程量固化清单</w:t>
      </w:r>
      <w:r>
        <w:rPr>
          <w:rFonts w:hint="eastAsia"/>
          <w:szCs w:val="18"/>
          <w:highlight w:val="white"/>
        </w:rPr>
        <w:t>电子文件填写工程量清单，无须按照本章第3.3.2项和第3.3.3项的规定对投标报价进行修正，第3.3.2项至第3.3.5项内容不适用。</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8"/>
    <w:footnote w:id="29"/>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mYjZhNzMwYzA4MjM0ZWNlMDEzMWU0MzU2MmU1NWQifQ=="/>
    <w:docVar w:name="KSO_WPS_MARK_KEY" w:val="5eb1a86b-68dd-49a8-8a91-e7d13d5a92ce"/>
  </w:docVars>
  <w:rsids>
    <w:rsidRoot w:val="62656CCB"/>
    <w:rsid w:val="0AE24753"/>
    <w:rsid w:val="1B723200"/>
    <w:rsid w:val="24BE4D5C"/>
    <w:rsid w:val="37A03831"/>
    <w:rsid w:val="3CC33464"/>
    <w:rsid w:val="40F1300C"/>
    <w:rsid w:val="545D0B38"/>
    <w:rsid w:val="62656CCB"/>
    <w:rsid w:val="71AD1A11"/>
    <w:rsid w:val="72D16161"/>
    <w:rsid w:val="74275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4"/>
    <w:qFormat/>
    <w:uiPriority w:val="0"/>
    <w:pPr>
      <w:keepNext/>
      <w:keepLines/>
      <w:spacing w:before="260" w:after="260"/>
      <w:jc w:val="center"/>
      <w:outlineLvl w:val="1"/>
    </w:pPr>
    <w:rPr>
      <w:rFonts w:ascii="宋体" w:hAnsi="宋体" w:eastAsia="黑体"/>
      <w:b/>
      <w:bCs/>
      <w:iCs/>
      <w:sz w:val="52"/>
      <w:szCs w:val="20"/>
      <w:lang w:val="zh-CN"/>
    </w:rPr>
  </w:style>
  <w:style w:type="paragraph" w:styleId="5">
    <w:name w:val="heading 3"/>
    <w:basedOn w:val="1"/>
    <w:next w:val="4"/>
    <w:link w:val="49"/>
    <w:qFormat/>
    <w:uiPriority w:val="0"/>
    <w:pPr>
      <w:keepNext/>
      <w:keepLines/>
      <w:widowControl/>
      <w:spacing w:before="120" w:after="120"/>
      <w:jc w:val="left"/>
      <w:outlineLvl w:val="2"/>
    </w:pPr>
    <w:rPr>
      <w:rFonts w:eastAsia="黑体"/>
      <w:b/>
      <w:kern w:val="0"/>
      <w:sz w:val="28"/>
      <w:szCs w:val="20"/>
      <w:lang w:val="zh-CN"/>
    </w:rPr>
  </w:style>
  <w:style w:type="paragraph" w:styleId="6">
    <w:name w:val="heading 4"/>
    <w:basedOn w:val="1"/>
    <w:next w:val="4"/>
    <w:qFormat/>
    <w:uiPriority w:val="0"/>
    <w:pPr>
      <w:keepNext/>
      <w:adjustRightInd w:val="0"/>
      <w:jc w:val="left"/>
      <w:textAlignment w:val="baseline"/>
      <w:outlineLvl w:val="3"/>
    </w:pPr>
    <w:rPr>
      <w:rFonts w:eastAsia="黑体"/>
      <w:b/>
      <w:kern w:val="0"/>
      <w:sz w:val="24"/>
      <w:szCs w:val="20"/>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7">
    <w:name w:val="footnote text"/>
    <w:basedOn w:val="1"/>
    <w:qFormat/>
    <w:uiPriority w:val="0"/>
    <w:pPr>
      <w:adjustRightInd w:val="0"/>
      <w:snapToGrid w:val="0"/>
      <w:spacing w:line="420" w:lineRule="atLeast"/>
      <w:ind w:firstLine="454"/>
      <w:jc w:val="left"/>
      <w:textAlignment w:val="baseline"/>
    </w:pPr>
    <w:rPr>
      <w:kern w:val="0"/>
      <w:sz w:val="18"/>
      <w:szCs w:val="20"/>
      <w:lang w:val="zh-CN"/>
    </w:rPr>
  </w:style>
  <w:style w:type="paragraph" w:styleId="8">
    <w:name w:val="Body Text First Indent 2"/>
    <w:basedOn w:val="9"/>
    <w:qFormat/>
    <w:uiPriority w:val="0"/>
    <w:pPr>
      <w:ind w:firstLine="420" w:firstLineChars="200"/>
    </w:pPr>
  </w:style>
  <w:style w:type="paragraph" w:customStyle="1" w:styleId="9">
    <w:name w:val="正文文本缩进_0"/>
    <w:basedOn w:val="10"/>
    <w:qFormat/>
    <w:uiPriority w:val="0"/>
    <w:pPr>
      <w:spacing w:after="120"/>
      <w:ind w:left="420" w:leftChars="200"/>
    </w:pPr>
    <w:rPr>
      <w:rFonts w:ascii="Times New Roman" w:hAnsi="Times New Roman" w:eastAsia="宋体" w:cs="Times New Roman"/>
      <w:szCs w:val="24"/>
    </w:rPr>
  </w:style>
  <w:style w:type="paragraph" w:customStyle="1" w:styleId="10">
    <w:name w:val="正文_0_0_0_0"/>
    <w:basedOn w:val="11"/>
    <w:next w:val="8"/>
    <w:qFormat/>
    <w:uiPriority w:val="0"/>
    <w:pPr>
      <w:widowControl w:val="0"/>
      <w:jc w:val="both"/>
    </w:pPr>
    <w:rPr>
      <w:rFonts w:ascii="Times New Roman" w:hAnsi="Times New Roman"/>
      <w:kern w:val="2"/>
      <w:sz w:val="21"/>
      <w:szCs w:val="22"/>
      <w:lang w:val="en-US" w:eastAsia="zh-CN" w:bidi="ar-SA"/>
    </w:rPr>
  </w:style>
  <w:style w:type="paragraph" w:customStyle="1" w:styleId="11">
    <w:name w:val="正文_1_0_0"/>
    <w:basedOn w:val="12"/>
    <w:next w:val="1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
    <w:name w:val="正文_2_0_0_0_0"/>
    <w:basedOn w:val="13"/>
    <w:qFormat/>
    <w:uiPriority w:val="0"/>
    <w:rPr>
      <w:rFonts w:cs="Calibri"/>
      <w:szCs w:val="21"/>
    </w:rPr>
  </w:style>
  <w:style w:type="paragraph" w:customStyle="1" w:styleId="13">
    <w:name w:val="正文_2_2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
    <w:name w:val="正文首行缩进 2_1_0_0_0"/>
    <w:basedOn w:val="15"/>
    <w:qFormat/>
    <w:uiPriority w:val="0"/>
    <w:pPr>
      <w:ind w:firstLine="420" w:firstLineChars="200"/>
    </w:pPr>
  </w:style>
  <w:style w:type="paragraph" w:customStyle="1" w:styleId="15">
    <w:name w:val="正文文本缩进_1_0_0_0"/>
    <w:basedOn w:val="16"/>
    <w:qFormat/>
    <w:uiPriority w:val="0"/>
    <w:pPr>
      <w:spacing w:after="120"/>
      <w:ind w:left="420" w:leftChars="200"/>
    </w:pPr>
    <w:rPr>
      <w:rFonts w:ascii="Calibri" w:hAnsi="Calibri"/>
      <w:szCs w:val="24"/>
    </w:rPr>
  </w:style>
  <w:style w:type="paragraph" w:customStyle="1" w:styleId="16">
    <w:name w:val="正文_2_0_2_0_0"/>
    <w:basedOn w:val="13"/>
    <w:qFormat/>
    <w:uiPriority w:val="0"/>
    <w:rPr>
      <w:rFonts w:cs="Calibri"/>
      <w:szCs w:val="21"/>
    </w:rPr>
  </w:style>
  <w:style w:type="character" w:styleId="19">
    <w:name w:val="footnote reference"/>
    <w:qFormat/>
    <w:uiPriority w:val="0"/>
    <w:rPr>
      <w:vertAlign w:val="superscript"/>
    </w:rPr>
  </w:style>
  <w:style w:type="paragraph" w:customStyle="1" w:styleId="20">
    <w:name w:val="正文_1"/>
    <w:next w:val="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正文文本_0"/>
    <w:basedOn w:val="20"/>
    <w:qFormat/>
    <w:uiPriority w:val="0"/>
    <w:pPr>
      <w:spacing w:after="120"/>
    </w:pPr>
  </w:style>
  <w:style w:type="paragraph" w:customStyle="1" w:styleId="22">
    <w:name w:val="标题 3_0"/>
    <w:basedOn w:val="20"/>
    <w:next w:val="23"/>
    <w:qFormat/>
    <w:uiPriority w:val="0"/>
    <w:pPr>
      <w:keepNext/>
      <w:keepLines/>
      <w:widowControl/>
      <w:spacing w:before="120" w:after="120" w:line="240" w:lineRule="auto"/>
      <w:jc w:val="left"/>
      <w:outlineLvl w:val="2"/>
    </w:pPr>
    <w:rPr>
      <w:rFonts w:eastAsia="黑体"/>
      <w:b/>
      <w:kern w:val="0"/>
      <w:sz w:val="28"/>
      <w:szCs w:val="20"/>
      <w:lang w:val="zh-CN"/>
    </w:rPr>
  </w:style>
  <w:style w:type="paragraph" w:customStyle="1" w:styleId="23">
    <w:name w:val="正文缩进_0"/>
    <w:basedOn w:val="20"/>
    <w:qFormat/>
    <w:uiPriority w:val="0"/>
    <w:pPr>
      <w:ind w:firstLine="420" w:firstLineChars="200"/>
    </w:pPr>
  </w:style>
  <w:style w:type="paragraph" w:customStyle="1" w:styleId="24">
    <w:name w:val="正文_0_0_0"/>
    <w:basedOn w:val="25"/>
    <w:next w:val="8"/>
    <w:qFormat/>
    <w:uiPriority w:val="0"/>
    <w:pPr>
      <w:widowControl w:val="0"/>
      <w:jc w:val="both"/>
    </w:pPr>
    <w:rPr>
      <w:rFonts w:ascii="Times New Roman" w:hAnsi="Times New Roman"/>
      <w:kern w:val="2"/>
      <w:sz w:val="21"/>
      <w:szCs w:val="22"/>
      <w:lang w:val="en-US" w:eastAsia="zh-CN" w:bidi="ar-SA"/>
    </w:rPr>
  </w:style>
  <w:style w:type="paragraph" w:customStyle="1" w:styleId="25">
    <w:name w:val="正文_1_0"/>
    <w:basedOn w:val="26"/>
    <w:next w:val="2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
    <w:name w:val="正文_2_0_0_0"/>
    <w:basedOn w:val="27"/>
    <w:qFormat/>
    <w:uiPriority w:val="0"/>
    <w:rPr>
      <w:rFonts w:cs="Calibri"/>
      <w:szCs w:val="21"/>
    </w:rPr>
  </w:style>
  <w:style w:type="paragraph" w:customStyle="1" w:styleId="27">
    <w:name w:val="正文_2_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
    <w:name w:val="正文首行缩进 2_1_0_0"/>
    <w:basedOn w:val="29"/>
    <w:qFormat/>
    <w:uiPriority w:val="0"/>
    <w:pPr>
      <w:ind w:firstLine="420" w:firstLineChars="200"/>
    </w:pPr>
  </w:style>
  <w:style w:type="paragraph" w:customStyle="1" w:styleId="29">
    <w:name w:val="正文文本缩进_1_0_0"/>
    <w:basedOn w:val="30"/>
    <w:qFormat/>
    <w:uiPriority w:val="0"/>
    <w:pPr>
      <w:spacing w:after="120"/>
      <w:ind w:left="420" w:leftChars="200"/>
    </w:pPr>
    <w:rPr>
      <w:rFonts w:ascii="Calibri" w:hAnsi="Calibri"/>
      <w:szCs w:val="24"/>
    </w:rPr>
  </w:style>
  <w:style w:type="paragraph" w:customStyle="1" w:styleId="30">
    <w:name w:val="正文_2_0_2_0"/>
    <w:basedOn w:val="27"/>
    <w:qFormat/>
    <w:uiPriority w:val="0"/>
    <w:rPr>
      <w:rFonts w:cs="Calibri"/>
      <w:szCs w:val="21"/>
    </w:rPr>
  </w:style>
  <w:style w:type="character" w:customStyle="1" w:styleId="31">
    <w:name w:val="脚注引用_0"/>
    <w:qFormat/>
    <w:uiPriority w:val="0"/>
    <w:rPr>
      <w:vertAlign w:val="superscript"/>
    </w:rPr>
  </w:style>
  <w:style w:type="paragraph" w:customStyle="1" w:styleId="32">
    <w:name w:val="正文_0_2"/>
    <w:basedOn w:val="33"/>
    <w:qFormat/>
    <w:uiPriority w:val="0"/>
    <w:pPr>
      <w:widowControl w:val="0"/>
      <w:jc w:val="both"/>
    </w:pPr>
    <w:rPr>
      <w:rFonts w:ascii="Calibri" w:hAnsi="Calibri"/>
      <w:kern w:val="2"/>
      <w:sz w:val="21"/>
      <w:szCs w:val="22"/>
      <w:lang w:val="en-US" w:eastAsia="zh-CN" w:bidi="ar-SA"/>
    </w:rPr>
  </w:style>
  <w:style w:type="paragraph" w:customStyle="1" w:styleId="33">
    <w:name w:val="正文_1_1"/>
    <w:next w:val="3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文本_0_0"/>
    <w:basedOn w:val="33"/>
    <w:semiHidden/>
    <w:qFormat/>
    <w:uiPriority w:val="0"/>
    <w:pPr>
      <w:spacing w:before="100" w:beforeAutospacing="1" w:after="120"/>
    </w:pPr>
    <w:rPr>
      <w:rFonts w:ascii="Times New Roman" w:hAnsi="Times New Roman"/>
      <w:kern w:val="0"/>
      <w:sz w:val="20"/>
      <w:szCs w:val="20"/>
    </w:rPr>
  </w:style>
  <w:style w:type="character" w:customStyle="1" w:styleId="35">
    <w:name w:val="10"/>
    <w:qFormat/>
    <w:uiPriority w:val="0"/>
    <w:rPr>
      <w:rFonts w:hint="default" w:ascii="Times New Roman" w:hAnsi="Times New Roman" w:cs="Times New Roman"/>
    </w:rPr>
  </w:style>
  <w:style w:type="paragraph" w:customStyle="1" w:styleId="36">
    <w:name w:val="正文文本 3_0"/>
    <w:basedOn w:val="20"/>
    <w:qFormat/>
    <w:uiPriority w:val="0"/>
    <w:rPr>
      <w:rFonts w:ascii="宋体"/>
      <w:sz w:val="24"/>
      <w:szCs w:val="20"/>
    </w:rPr>
  </w:style>
  <w:style w:type="paragraph" w:customStyle="1" w:styleId="37">
    <w:name w:val="正文_0_0"/>
    <w:next w:val="3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正文_0_0_1"/>
    <w:next w:val="39"/>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正文缩进_0_0_0"/>
    <w:basedOn w:val="40"/>
    <w:unhideWhenUsed/>
    <w:qFormat/>
    <w:uiPriority w:val="99"/>
    <w:pPr>
      <w:ind w:firstLine="420" w:firstLineChars="200"/>
    </w:pPr>
    <w:rPr>
      <w:rFonts w:ascii="Times New Roman" w:hAnsi="Times New Roman" w:eastAsia="宋体" w:cs="Times New Roman"/>
      <w:szCs w:val="24"/>
    </w:rPr>
  </w:style>
  <w:style w:type="paragraph" w:customStyle="1" w:styleId="40">
    <w:name w:val="正文_70"/>
    <w:basedOn w:val="41"/>
    <w:qFormat/>
    <w:uiPriority w:val="0"/>
    <w:rPr>
      <w:szCs w:val="21"/>
    </w:rPr>
  </w:style>
  <w:style w:type="paragraph" w:customStyle="1" w:styleId="41">
    <w:name w:val="正文_2"/>
    <w:next w:val="4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页眉_1"/>
    <w:basedOn w:val="4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脚注文本_0"/>
    <w:basedOn w:val="20"/>
    <w:qFormat/>
    <w:uiPriority w:val="0"/>
    <w:pPr>
      <w:adjustRightInd w:val="0"/>
      <w:snapToGrid w:val="0"/>
      <w:spacing w:line="420" w:lineRule="atLeast"/>
      <w:ind w:firstLine="454"/>
      <w:jc w:val="left"/>
      <w:textAlignment w:val="baseline"/>
    </w:pPr>
    <w:rPr>
      <w:kern w:val="0"/>
      <w:sz w:val="18"/>
      <w:szCs w:val="20"/>
      <w:lang w:val="zh-CN"/>
    </w:rPr>
  </w:style>
  <w:style w:type="paragraph" w:customStyle="1" w:styleId="44">
    <w:name w:val="脚注文本_0_0"/>
    <w:basedOn w:val="45"/>
    <w:qFormat/>
    <w:uiPriority w:val="0"/>
    <w:pPr>
      <w:adjustRightInd w:val="0"/>
      <w:snapToGrid w:val="0"/>
      <w:spacing w:line="420" w:lineRule="atLeast"/>
      <w:ind w:firstLine="454"/>
      <w:jc w:val="left"/>
      <w:textAlignment w:val="baseline"/>
    </w:pPr>
    <w:rPr>
      <w:kern w:val="0"/>
      <w:sz w:val="18"/>
      <w:szCs w:val="20"/>
      <w:lang w:val="zh-CN"/>
    </w:rPr>
  </w:style>
  <w:style w:type="paragraph" w:customStyle="1" w:styleId="4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6">
    <w:name w:val="脚注引用_0_0"/>
    <w:qFormat/>
    <w:uiPriority w:val="0"/>
    <w:rPr>
      <w:vertAlign w:val="superscript"/>
    </w:rPr>
  </w:style>
  <w:style w:type="paragraph" w:customStyle="1" w:styleId="47">
    <w:name w:val="脚注文本_0_0_0"/>
    <w:basedOn w:val="24"/>
    <w:qFormat/>
    <w:uiPriority w:val="0"/>
    <w:pPr>
      <w:adjustRightInd w:val="0"/>
      <w:snapToGrid w:val="0"/>
      <w:spacing w:line="420" w:lineRule="atLeast"/>
      <w:ind w:firstLine="454"/>
      <w:jc w:val="left"/>
      <w:textAlignment w:val="baseline"/>
    </w:pPr>
    <w:rPr>
      <w:rFonts w:ascii="Times New Roman" w:hAnsi="Times New Roman" w:eastAsia="宋体" w:cs="Times New Roman"/>
      <w:kern w:val="0"/>
      <w:sz w:val="18"/>
      <w:szCs w:val="20"/>
    </w:rPr>
  </w:style>
  <w:style w:type="character" w:customStyle="1" w:styleId="48">
    <w:name w:val="脚注引用_0_0_0"/>
    <w:qFormat/>
    <w:uiPriority w:val="0"/>
    <w:rPr>
      <w:rFonts w:ascii="Times New Roman" w:hAnsi="Times New Roman"/>
      <w:vertAlign w:val="superscript"/>
    </w:rPr>
  </w:style>
  <w:style w:type="character" w:customStyle="1" w:styleId="49">
    <w:name w:val="标题 3 Char"/>
    <w:link w:val="5"/>
    <w:qFormat/>
    <w:uiPriority w:val="0"/>
    <w:rPr>
      <w:rFonts w:eastAsia="黑体"/>
      <w:b/>
      <w:kern w:val="0"/>
      <w:sz w:val="28"/>
      <w:szCs w:val="20"/>
      <w:lang w:val="zh-CN"/>
    </w:rPr>
  </w:style>
  <w:style w:type="paragraph" w:customStyle="1" w:styleId="50">
    <w:name w:val="Normal_0"/>
    <w:qFormat/>
    <w:uiPriority w:val="0"/>
    <w:rPr>
      <w:rFonts w:ascii="Times New Roman" w:hAnsi="Times New Roman" w:eastAsia="Times New Roman" w:cs="Times New Roman"/>
      <w:sz w:val="24"/>
      <w:szCs w:val="24"/>
    </w:rPr>
  </w:style>
  <w:style w:type="paragraph" w:customStyle="1" w:styleId="51">
    <w:name w:val="Normal_1"/>
    <w:qFormat/>
    <w:uiPriority w:val="0"/>
    <w:rPr>
      <w:rFonts w:ascii="Times New Roman" w:hAnsi="Times New Roman" w:eastAsia="Times New Roman" w:cs="Times New Roman"/>
      <w:sz w:val="24"/>
      <w:szCs w:val="24"/>
    </w:rPr>
  </w:style>
  <w:style w:type="paragraph" w:customStyle="1" w:styleId="52">
    <w:name w:val="Normal_2"/>
    <w:qFormat/>
    <w:uiPriority w:val="0"/>
    <w:rPr>
      <w:rFonts w:ascii="Times New Roman" w:hAnsi="Times New Roman" w:eastAsia="Times New Roman" w:cs="Times New Roman"/>
      <w:sz w:val="24"/>
      <w:szCs w:val="24"/>
    </w:rPr>
  </w:style>
  <w:style w:type="paragraph" w:customStyle="1" w:styleId="53">
    <w:name w:val="Normal_3"/>
    <w:qFormat/>
    <w:uiPriority w:val="0"/>
    <w:rPr>
      <w:rFonts w:ascii="Times New Roman" w:hAnsi="Times New Roman" w:eastAsia="Times New Roman" w:cs="Times New Roman"/>
      <w:sz w:val="24"/>
      <w:szCs w:val="24"/>
    </w:rPr>
  </w:style>
  <w:style w:type="paragraph" w:customStyle="1" w:styleId="54">
    <w:name w:val="Normal_4"/>
    <w:qFormat/>
    <w:uiPriority w:val="0"/>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14041</Words>
  <Characters>15072</Characters>
  <Lines>0</Lines>
  <Paragraphs>0</Paragraphs>
  <TotalTime>33</TotalTime>
  <ScaleCrop>false</ScaleCrop>
  <LinksUpToDate>false</LinksUpToDate>
  <CharactersWithSpaces>15977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2024-10-25T05:16:00Z</dcterms:created>
  <dc:creator>Administrator</dc:creator>
  <cp:lastModifiedBy>郭聪</cp:lastModifiedBy>
  <dcterms:modified xsi:type="dcterms:W3CDTF">2024-10-25T07:58:55Z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94CEE0BE76824348AECC30D608FE43B9</vt:lpwstr>
  </property>
</Properties>
</file>