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440" w:lineRule="exact"/>
        <w:jc w:val="center"/>
        <w:rPr>
          <w:rStyle w:val="11"/>
          <w:rFonts w:eastAsia="黑体" w:cs="Times New Roman"/>
          <w:b/>
          <w:bCs/>
          <w:sz w:val="28"/>
          <w:szCs w:val="28"/>
          <w:highlight w:val="white"/>
        </w:rPr>
      </w:pPr>
      <w:r>
        <w:rPr>
          <w:rStyle w:val="11"/>
          <w:rFonts w:hint="eastAsia" w:eastAsia="黑体" w:cs="Times New Roman"/>
          <w:b/>
          <w:bCs/>
          <w:sz w:val="28"/>
          <w:szCs w:val="28"/>
          <w:highlight w:val="white"/>
        </w:rPr>
        <w:t>湖南省长沙绕城高速西南段2024-2026年度养护工程第1</w:t>
      </w:r>
    </w:p>
    <w:p>
      <w:pPr>
        <w:pStyle w:val="13"/>
        <w:spacing w:line="440" w:lineRule="exact"/>
        <w:jc w:val="center"/>
        <w:rPr>
          <w:rStyle w:val="11"/>
          <w:rFonts w:eastAsia="黑体" w:cs="Times New Roman"/>
          <w:b/>
          <w:bCs/>
          <w:sz w:val="28"/>
          <w:szCs w:val="28"/>
        </w:rPr>
      </w:pPr>
      <w:r>
        <w:rPr>
          <w:rStyle w:val="11"/>
          <w:rFonts w:hint="eastAsia" w:eastAsia="黑体" w:cs="Times New Roman"/>
          <w:b/>
          <w:bCs/>
          <w:sz w:val="28"/>
          <w:szCs w:val="28"/>
          <w:highlight w:val="white"/>
        </w:rPr>
        <w:t>标段施工招标公告</w:t>
      </w:r>
    </w:p>
    <w:p>
      <w:pPr>
        <w:pStyle w:val="13"/>
        <w:rPr>
          <w:rStyle w:val="11"/>
          <w:rFonts w:ascii="黑体" w:hAnsi="黑体" w:eastAsia="黑体" w:cs="Times New Roman"/>
          <w:sz w:val="28"/>
          <w:szCs w:val="28"/>
        </w:rPr>
      </w:pPr>
      <w:r>
        <w:rPr>
          <w:rStyle w:val="11"/>
          <w:rFonts w:ascii="黑体" w:hAnsi="黑体" w:eastAsia="黑体" w:cs="Times New Roman"/>
          <w:sz w:val="28"/>
          <w:szCs w:val="28"/>
          <w:highlight w:val="white"/>
        </w:rPr>
        <w:t xml:space="preserve">1. </w:t>
      </w:r>
      <w:r>
        <w:rPr>
          <w:rStyle w:val="11"/>
          <w:rFonts w:hint="eastAsia" w:ascii="黑体" w:hAnsi="黑体" w:eastAsia="黑体" w:cs="Times New Roman"/>
          <w:sz w:val="28"/>
          <w:szCs w:val="28"/>
          <w:highlight w:val="white"/>
        </w:rPr>
        <w:t>招标条件</w:t>
      </w:r>
    </w:p>
    <w:p>
      <w:pPr>
        <w:pStyle w:val="13"/>
        <w:spacing w:line="400" w:lineRule="atLeast"/>
        <w:ind w:firstLine="420" w:firstLineChars="200"/>
        <w:rPr>
          <w:rStyle w:val="11"/>
          <w:rFonts w:eastAsia="宋体" w:cs="Times New Roman"/>
          <w:szCs w:val="24"/>
        </w:rPr>
      </w:pPr>
      <w:r>
        <w:rPr>
          <w:rStyle w:val="11"/>
          <w:rFonts w:hint="eastAsia" w:eastAsia="宋体" w:cs="Times New Roman"/>
          <w:highlight w:val="white"/>
        </w:rPr>
        <w:t>本招标项目</w:t>
      </w:r>
      <w:r>
        <w:rPr>
          <w:rStyle w:val="11"/>
          <w:rFonts w:hint="eastAsia" w:eastAsia="宋体" w:cs="Times New Roman"/>
          <w:highlight w:val="white"/>
          <w:u w:val="single"/>
        </w:rPr>
        <w:t>湖南省长沙绕城高速西南段2024-2026年度养护工程</w:t>
      </w:r>
      <w:r>
        <w:rPr>
          <w:rStyle w:val="11"/>
          <w:rFonts w:hint="eastAsia" w:eastAsia="宋体" w:cs="Times New Roman"/>
          <w:highlight w:val="white"/>
        </w:rPr>
        <w:t>已由</w:t>
      </w:r>
      <w:r>
        <w:rPr>
          <w:rStyle w:val="11"/>
          <w:rFonts w:hint="eastAsia" w:eastAsia="宋体" w:cs="Times New Roman"/>
          <w:highlight w:val="white"/>
          <w:u w:val="single"/>
        </w:rPr>
        <w:t>湖南投资集团股份有限公</w:t>
      </w:r>
      <w:r>
        <w:rPr>
          <w:rStyle w:val="11"/>
          <w:rFonts w:hint="eastAsia" w:eastAsia="宋体" w:cs="Times New Roman"/>
          <w:highlight w:val="none"/>
          <w:u w:val="single"/>
        </w:rPr>
        <w:t>司</w:t>
      </w:r>
      <w:r>
        <w:rPr>
          <w:rStyle w:val="11"/>
          <w:rFonts w:hint="eastAsia" w:eastAsia="宋体" w:cs="Times New Roman"/>
          <w:highlight w:val="none"/>
        </w:rPr>
        <w:t>以</w:t>
      </w:r>
      <w:r>
        <w:rPr>
          <w:rStyle w:val="11"/>
          <w:rFonts w:hint="eastAsia" w:eastAsia="宋体" w:cs="Times New Roman"/>
          <w:highlight w:val="none"/>
          <w:u w:val="single"/>
          <w:lang w:val="en-US" w:eastAsia="zh-CN"/>
        </w:rPr>
        <w:t xml:space="preserve">    /</w:t>
      </w:r>
      <w:r>
        <w:rPr>
          <w:rStyle w:val="11"/>
          <w:rFonts w:hint="eastAsia" w:eastAsia="宋体" w:cs="Times New Roman"/>
          <w:highlight w:val="none"/>
          <w:u w:val="single"/>
        </w:rPr>
        <w:t xml:space="preserve"> </w:t>
      </w:r>
      <w:r>
        <w:rPr>
          <w:rStyle w:val="11"/>
          <w:rFonts w:hint="eastAsia" w:eastAsia="宋体" w:cs="Times New Roman"/>
          <w:highlight w:val="none"/>
          <w:u w:val="single"/>
          <w:lang w:val="en-US" w:eastAsia="zh-CN"/>
        </w:rPr>
        <w:t xml:space="preserve">    </w:t>
      </w:r>
      <w:r>
        <w:rPr>
          <w:rStyle w:val="11"/>
          <w:rFonts w:hint="eastAsia" w:eastAsia="宋体" w:cs="Times New Roman"/>
          <w:highlight w:val="none"/>
          <w:u w:val="single"/>
        </w:rPr>
        <w:t xml:space="preserve"> </w:t>
      </w:r>
      <w:r>
        <w:rPr>
          <w:rStyle w:val="11"/>
          <w:rFonts w:hint="eastAsia" w:eastAsia="宋体" w:cs="Times New Roman"/>
          <w:highlight w:val="none"/>
        </w:rPr>
        <w:t>号文批准建设，项目业主为</w:t>
      </w:r>
      <w:r>
        <w:rPr>
          <w:rStyle w:val="11"/>
          <w:rFonts w:hint="eastAsia" w:eastAsia="宋体" w:cs="Times New Roman"/>
          <w:highlight w:val="none"/>
          <w:u w:val="single"/>
        </w:rPr>
        <w:t>湖南投资集团股份有限公司绕城公路西南段分公司</w:t>
      </w:r>
      <w:r>
        <w:rPr>
          <w:rStyle w:val="11"/>
          <w:rFonts w:hint="eastAsia" w:eastAsia="宋体" w:cs="Times New Roman"/>
          <w:highlight w:val="none"/>
        </w:rPr>
        <w:t>，养护资金来自</w:t>
      </w:r>
      <w:bookmarkStart w:id="0" w:name="EBf50efb4f8bea4d5286cab70b0becfcbc"/>
      <w:r>
        <w:rPr>
          <w:rStyle w:val="11"/>
          <w:rFonts w:hint="eastAsia" w:eastAsia="宋体" w:cs="Times New Roman"/>
          <w:highlight w:val="none"/>
          <w:u w:val="single"/>
        </w:rPr>
        <w:t>企业自筹</w:t>
      </w:r>
      <w:bookmarkEnd w:id="0"/>
      <w:r>
        <w:rPr>
          <w:rStyle w:val="11"/>
          <w:rFonts w:hint="eastAsia" w:eastAsia="宋体" w:cs="Times New Roman"/>
          <w:highlight w:val="none"/>
        </w:rPr>
        <w:t>，出资比例为</w:t>
      </w:r>
      <w:bookmarkStart w:id="1" w:name="EB0d214189c60e46549e148222150276e7"/>
      <w:r>
        <w:rPr>
          <w:rStyle w:val="11"/>
          <w:rFonts w:hint="eastAsia" w:eastAsia="宋体" w:cs="Times New Roman"/>
          <w:highlight w:val="none"/>
          <w:u w:val="single"/>
        </w:rPr>
        <w:t>1</w:t>
      </w:r>
      <w:r>
        <w:rPr>
          <w:rStyle w:val="11"/>
          <w:rFonts w:hint="eastAsia" w:eastAsia="宋体" w:cs="Times New Roman"/>
          <w:highlight w:val="white"/>
          <w:u w:val="single"/>
        </w:rPr>
        <w:t>00</w:t>
      </w:r>
      <w:r>
        <w:rPr>
          <w:rStyle w:val="11"/>
          <w:rFonts w:hint="eastAsia" w:eastAsia="宋体" w:cs="Times New Roman"/>
          <w:highlight w:val="white"/>
        </w:rPr>
        <w:t>%</w:t>
      </w:r>
      <w:bookmarkEnd w:id="1"/>
      <w:r>
        <w:rPr>
          <w:rStyle w:val="11"/>
          <w:rFonts w:hint="eastAsia" w:eastAsia="宋体" w:cs="Times New Roman"/>
          <w:highlight w:val="white"/>
        </w:rPr>
        <w:t>，招标人为</w:t>
      </w:r>
      <w:r>
        <w:rPr>
          <w:rStyle w:val="11"/>
          <w:rFonts w:hint="eastAsia" w:eastAsia="宋体" w:cs="Times New Roman"/>
          <w:highlight w:val="white"/>
          <w:u w:val="single"/>
        </w:rPr>
        <w:t>湖南投资集团股份有限公司绕城公路西南段分公司</w:t>
      </w:r>
      <w:r>
        <w:rPr>
          <w:rStyle w:val="11"/>
          <w:rFonts w:hint="eastAsia" w:eastAsia="宋体" w:cs="Times New Roman"/>
          <w:highlight w:val="white"/>
        </w:rPr>
        <w:t>，招标代理为</w:t>
      </w:r>
      <w:r>
        <w:rPr>
          <w:rStyle w:val="11"/>
          <w:rFonts w:hint="eastAsia" w:eastAsia="宋体" w:cs="Times New Roman"/>
          <w:highlight w:val="white"/>
          <w:u w:val="single"/>
        </w:rPr>
        <w:t>中技建设咨询有限公司</w:t>
      </w:r>
      <w:r>
        <w:rPr>
          <w:rStyle w:val="11"/>
          <w:rFonts w:hint="eastAsia" w:eastAsia="宋体" w:cs="Times New Roman"/>
          <w:highlight w:val="white"/>
        </w:rPr>
        <w:t xml:space="preserve">。项目已具备招标条件，现对该项目的施工进行公开招标，并对投标人进行资格后审。 </w:t>
      </w:r>
    </w:p>
    <w:p>
      <w:pPr>
        <w:pStyle w:val="13"/>
        <w:rPr>
          <w:rStyle w:val="11"/>
          <w:rFonts w:ascii="黑体" w:hAnsi="黑体" w:eastAsia="黑体" w:cs="Times New Roman"/>
          <w:sz w:val="28"/>
          <w:szCs w:val="28"/>
          <w:highlight w:val="white"/>
        </w:rPr>
      </w:pPr>
      <w:r>
        <w:rPr>
          <w:rStyle w:val="11"/>
          <w:rFonts w:ascii="黑体" w:hAnsi="黑体" w:eastAsia="黑体" w:cs="Times New Roman"/>
          <w:sz w:val="28"/>
          <w:szCs w:val="28"/>
          <w:highlight w:val="white"/>
        </w:rPr>
        <w:t xml:space="preserve">2. </w:t>
      </w:r>
      <w:r>
        <w:rPr>
          <w:rStyle w:val="11"/>
          <w:rFonts w:hint="eastAsia" w:ascii="黑体" w:hAnsi="黑体" w:eastAsia="黑体" w:cs="Times New Roman"/>
          <w:sz w:val="28"/>
          <w:szCs w:val="28"/>
          <w:highlight w:val="white"/>
        </w:rPr>
        <w:t>项目概况与招标范围</w:t>
      </w:r>
    </w:p>
    <w:p>
      <w:pPr>
        <w:pStyle w:val="13"/>
        <w:spacing w:line="400" w:lineRule="atLeast"/>
        <w:ind w:firstLine="420" w:firstLineChars="200"/>
        <w:rPr>
          <w:rStyle w:val="11"/>
          <w:rFonts w:eastAsia="黑体" w:cs="Times New Roman"/>
          <w:szCs w:val="24"/>
        </w:rPr>
      </w:pPr>
      <w:r>
        <w:rPr>
          <w:rStyle w:val="11"/>
          <w:rFonts w:eastAsia="黑体" w:cs="Times New Roman"/>
          <w:highlight w:val="white"/>
        </w:rPr>
        <w:t xml:space="preserve">2.1 </w:t>
      </w:r>
      <w:r>
        <w:rPr>
          <w:rStyle w:val="11"/>
          <w:rFonts w:hint="eastAsia" w:eastAsia="黑体" w:cs="Times New Roman"/>
          <w:highlight w:val="white"/>
        </w:rPr>
        <w:t>建设地点：</w:t>
      </w:r>
      <w:r>
        <w:rPr>
          <w:rStyle w:val="11"/>
          <w:rFonts w:hint="eastAsia" w:ascii="Times New Roman" w:hAnsi="Times New Roman" w:eastAsia="宋体" w:cs="Times New Roman"/>
          <w:highlight w:val="white"/>
        </w:rPr>
        <w:t>湖南省长沙市境内。</w:t>
      </w:r>
    </w:p>
    <w:p>
      <w:pPr>
        <w:pStyle w:val="13"/>
        <w:spacing w:line="400" w:lineRule="atLeast"/>
        <w:ind w:firstLine="420" w:firstLineChars="200"/>
        <w:rPr>
          <w:rStyle w:val="11"/>
          <w:rFonts w:eastAsia="黑体" w:cs="Times New Roman"/>
        </w:rPr>
      </w:pPr>
      <w:r>
        <w:rPr>
          <w:rStyle w:val="11"/>
          <w:rFonts w:eastAsia="黑体" w:cs="Times New Roman"/>
          <w:highlight w:val="white"/>
        </w:rPr>
        <w:t xml:space="preserve">2.2 </w:t>
      </w:r>
      <w:r>
        <w:rPr>
          <w:rStyle w:val="11"/>
          <w:rFonts w:hint="eastAsia" w:eastAsia="黑体" w:cs="Times New Roman"/>
          <w:highlight w:val="white"/>
        </w:rPr>
        <w:t>项目建设规模及招标范围：</w:t>
      </w:r>
    </w:p>
    <w:p>
      <w:pPr>
        <w:pStyle w:val="13"/>
        <w:spacing w:line="400" w:lineRule="atLeast"/>
        <w:ind w:firstLine="420" w:firstLineChars="200"/>
        <w:rPr>
          <w:rStyle w:val="11"/>
          <w:rFonts w:eastAsia="宋体" w:cs="Times New Roman"/>
          <w:highlight w:val="white"/>
        </w:rPr>
      </w:pPr>
      <w:r>
        <w:rPr>
          <w:rStyle w:val="11"/>
          <w:rFonts w:hint="eastAsia" w:eastAsia="宋体" w:cs="Times New Roman"/>
          <w:highlight w:val="white"/>
        </w:rPr>
        <w:t>长沙绕城高速西南段主线全长28.091km，路基宽 26m，路面宽22.5m，为沥青碎路面结构，共设有互通式立交 7 处，收费站 6 个自 2004年 5月通车，运营至今已有 19 年。</w:t>
      </w:r>
    </w:p>
    <w:p>
      <w:pPr>
        <w:pStyle w:val="13"/>
        <w:spacing w:line="400" w:lineRule="atLeast"/>
        <w:ind w:firstLine="420" w:firstLineChars="200"/>
        <w:rPr>
          <w:rStyle w:val="11"/>
          <w:rFonts w:eastAsia="宋体" w:cs="Times New Roman"/>
          <w:highlight w:val="white"/>
        </w:rPr>
      </w:pPr>
      <w:r>
        <w:rPr>
          <w:rStyle w:val="11"/>
          <w:rFonts w:hint="eastAsia" w:eastAsia="宋体" w:cs="Times New Roman"/>
          <w:highlight w:val="white"/>
        </w:rPr>
        <w:t>本次招标范围为湖南省长沙绕城高速西南段日常保洁与保养、路基、路面、桥涵、隧道沿线设施、绿化补植、房建、计日工及专项交通组织等。具体详见工程量清单。</w:t>
      </w:r>
    </w:p>
    <w:p>
      <w:pPr>
        <w:pStyle w:val="13"/>
        <w:spacing w:line="400" w:lineRule="atLeast"/>
        <w:ind w:firstLine="472" w:firstLineChars="225"/>
        <w:rPr>
          <w:rStyle w:val="11"/>
          <w:rFonts w:eastAsia="黑体" w:cs="Times New Roman"/>
        </w:rPr>
      </w:pPr>
      <w:r>
        <w:rPr>
          <w:rStyle w:val="11"/>
          <w:rFonts w:hint="eastAsia" w:eastAsia="黑体" w:cs="Times New Roman"/>
          <w:highlight w:val="white"/>
        </w:rPr>
        <w:t>本次招标工程共分为</w:t>
      </w:r>
      <w:bookmarkStart w:id="2" w:name="EB16fb2ad1ecd8436e952b234956d62331"/>
      <w:r>
        <w:rPr>
          <w:rStyle w:val="11"/>
          <w:rFonts w:hint="eastAsia" w:eastAsia="黑体" w:cs="Times New Roman"/>
          <w:highlight w:val="white"/>
        </w:rPr>
        <w:t>1</w:t>
      </w:r>
      <w:bookmarkEnd w:id="2"/>
      <w:r>
        <w:rPr>
          <w:rStyle w:val="11"/>
          <w:rFonts w:hint="eastAsia" w:eastAsia="黑体" w:cs="Times New Roman"/>
          <w:highlight w:val="white"/>
        </w:rPr>
        <w:t>个标段。其类别划分、工程内容等见下表。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280"/>
        <w:gridCol w:w="1523"/>
        <w:gridCol w:w="1523"/>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67"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eastAsia="宋体" w:cs="Times New Roman"/>
              </w:rPr>
            </w:pPr>
            <w:r>
              <w:rPr>
                <w:rStyle w:val="11"/>
                <w:rFonts w:hint="eastAsia" w:eastAsia="宋体" w:cs="Times New Roman"/>
              </w:rPr>
              <w:t>招标工程类别</w:t>
            </w:r>
          </w:p>
        </w:tc>
        <w:tc>
          <w:tcPr>
            <w:tcW w:w="711"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eastAsia="宋体" w:cs="Times New Roman"/>
              </w:rPr>
            </w:pPr>
            <w:r>
              <w:rPr>
                <w:rStyle w:val="11"/>
                <w:rFonts w:hint="eastAsia" w:eastAsia="宋体" w:cs="Times New Roman"/>
              </w:rPr>
              <w:t>标段号</w:t>
            </w:r>
          </w:p>
        </w:tc>
        <w:tc>
          <w:tcPr>
            <w:tcW w:w="846"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hint="eastAsia" w:eastAsia="宋体" w:cs="Times New Roman"/>
                <w:lang w:val="en-US" w:eastAsia="zh-CN"/>
              </w:rPr>
            </w:pPr>
            <w:r>
              <w:rPr>
                <w:rStyle w:val="11"/>
                <w:rFonts w:hint="eastAsia" w:eastAsia="宋体" w:cs="Times New Roman"/>
                <w:lang w:val="en-US" w:eastAsia="zh-CN"/>
              </w:rPr>
              <w:t>桩号</w:t>
            </w:r>
          </w:p>
        </w:tc>
        <w:tc>
          <w:tcPr>
            <w:tcW w:w="846"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eastAsia="宋体" w:cs="Times New Roman"/>
              </w:rPr>
            </w:pPr>
            <w:r>
              <w:rPr>
                <w:rStyle w:val="11"/>
                <w:rFonts w:hint="eastAsia" w:eastAsia="宋体" w:cs="Times New Roman"/>
              </w:rPr>
              <w:t>长度（</w:t>
            </w:r>
            <w:r>
              <w:rPr>
                <w:rStyle w:val="11"/>
                <w:rFonts w:eastAsia="宋体" w:cs="Times New Roman"/>
              </w:rPr>
              <w:t>Km</w:t>
            </w:r>
            <w:r>
              <w:rPr>
                <w:rStyle w:val="11"/>
                <w:rFonts w:hint="eastAsia" w:eastAsia="宋体" w:cs="Times New Roman"/>
              </w:rPr>
              <w:t>）</w:t>
            </w:r>
          </w:p>
        </w:tc>
        <w:tc>
          <w:tcPr>
            <w:tcW w:w="2128"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eastAsia="宋体" w:cs="Times New Roman"/>
              </w:rPr>
            </w:pPr>
            <w:r>
              <w:rPr>
                <w:rStyle w:val="11"/>
                <w:rFonts w:hint="eastAsia" w:eastAsia="宋体" w:cs="Times New Roman"/>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67"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eastAsia="宋体" w:cs="Times New Roman"/>
                <w:highlight w:val="none"/>
              </w:rPr>
            </w:pPr>
            <w:r>
              <w:rPr>
                <w:rStyle w:val="11"/>
                <w:rFonts w:hint="eastAsia" w:eastAsia="宋体" w:cs="Times New Roman"/>
                <w:highlight w:val="none"/>
              </w:rPr>
              <w:t>养护工程</w:t>
            </w:r>
          </w:p>
        </w:tc>
        <w:tc>
          <w:tcPr>
            <w:tcW w:w="711"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eastAsia="宋体" w:cs="Times New Roman"/>
                <w:highlight w:val="none"/>
              </w:rPr>
            </w:pPr>
            <w:r>
              <w:rPr>
                <w:rStyle w:val="11"/>
                <w:rFonts w:hint="eastAsia" w:ascii="Times New Roman" w:hAnsi="Times New Roman" w:eastAsia="宋体" w:cs="Times New Roman"/>
                <w:highlight w:val="none"/>
              </w:rPr>
              <w:t>CSRCYH01</w:t>
            </w:r>
          </w:p>
        </w:tc>
        <w:tc>
          <w:tcPr>
            <w:tcW w:w="846"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hint="eastAsia" w:ascii="Times New Roman" w:hAnsi="Times New Roman" w:eastAsia="宋体" w:cs="Times New Roman"/>
                <w:highlight w:val="none"/>
                <w:lang w:val="en-US" w:eastAsia="zh-CN"/>
              </w:rPr>
            </w:pPr>
            <w:r>
              <w:rPr>
                <w:rStyle w:val="11"/>
                <w:rFonts w:hint="eastAsia" w:ascii="Times New Roman" w:hAnsi="Times New Roman" w:eastAsia="宋体" w:cs="Times New Roman"/>
                <w:highlight w:val="none"/>
                <w:lang w:val="en-US" w:eastAsia="zh-CN"/>
              </w:rPr>
              <w:t>全线</w:t>
            </w:r>
          </w:p>
        </w:tc>
        <w:tc>
          <w:tcPr>
            <w:tcW w:w="846"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eastAsia="宋体" w:cs="Times New Roman"/>
                <w:highlight w:val="none"/>
              </w:rPr>
            </w:pPr>
            <w:r>
              <w:rPr>
                <w:rStyle w:val="11"/>
                <w:rFonts w:hint="eastAsia" w:eastAsia="宋体" w:cs="Times New Roman"/>
                <w:highlight w:val="none"/>
              </w:rPr>
              <w:t>28.091</w:t>
            </w:r>
          </w:p>
        </w:tc>
        <w:tc>
          <w:tcPr>
            <w:tcW w:w="2128" w:type="pct"/>
            <w:tcBorders>
              <w:top w:val="single" w:color="auto" w:sz="4" w:space="0"/>
              <w:left w:val="single" w:color="auto" w:sz="4" w:space="0"/>
              <w:bottom w:val="single" w:color="auto" w:sz="4" w:space="0"/>
              <w:right w:val="single" w:color="auto" w:sz="4" w:space="0"/>
            </w:tcBorders>
            <w:noWrap w:val="0"/>
            <w:vAlign w:val="center"/>
          </w:tcPr>
          <w:p>
            <w:pPr>
              <w:pStyle w:val="13"/>
              <w:jc w:val="center"/>
              <w:rPr>
                <w:rStyle w:val="11"/>
                <w:rFonts w:eastAsia="宋体" w:cs="Times New Roman"/>
                <w:highlight w:val="none"/>
              </w:rPr>
            </w:pPr>
            <w:r>
              <w:rPr>
                <w:rStyle w:val="11"/>
                <w:rFonts w:hint="eastAsia" w:eastAsia="宋体" w:cs="Times New Roman"/>
                <w:highlight w:val="none"/>
              </w:rPr>
              <w:t>包括日常保洁与保养、路基、路面、桥涵、隧道沿线设施、绿化补植、房建、计日工及专项交通组织等</w:t>
            </w:r>
          </w:p>
        </w:tc>
      </w:tr>
    </w:tbl>
    <w:p>
      <w:pPr>
        <w:pStyle w:val="13"/>
        <w:spacing w:after="120" w:afterLines="50" w:line="400" w:lineRule="atLeast"/>
        <w:ind w:firstLine="422" w:firstLineChars="200"/>
        <w:rPr>
          <w:rStyle w:val="11"/>
          <w:rFonts w:ascii="Times New Roman" w:hAnsi="Times New Roman" w:eastAsia="宋体" w:cs="Times New Roman"/>
          <w:b/>
          <w:bCs/>
          <w:highlight w:val="none"/>
        </w:rPr>
      </w:pPr>
      <w:r>
        <w:rPr>
          <w:rStyle w:val="11"/>
          <w:rFonts w:hint="eastAsia" w:ascii="Times New Roman" w:hAnsi="Times New Roman" w:eastAsia="宋体" w:cs="Times New Roman"/>
          <w:b/>
          <w:bCs/>
          <w:highlight w:val="none"/>
        </w:rPr>
        <w:t>长沙绕城高速西南段养护工程计划工期</w:t>
      </w:r>
      <w:r>
        <w:rPr>
          <w:rStyle w:val="11"/>
          <w:rFonts w:hint="eastAsia" w:ascii="Times New Roman" w:hAnsi="Times New Roman" w:eastAsia="宋体" w:cs="Times New Roman"/>
          <w:b/>
          <w:bCs/>
          <w:highlight w:val="none"/>
          <w:lang w:val="en-US" w:eastAsia="zh-CN"/>
        </w:rPr>
        <w:t>1095</w:t>
      </w:r>
      <w:r>
        <w:rPr>
          <w:rStyle w:val="11"/>
          <w:rFonts w:hint="eastAsia" w:ascii="Times New Roman" w:hAnsi="Times New Roman" w:eastAsia="宋体" w:cs="Times New Roman"/>
          <w:b/>
          <w:bCs/>
          <w:highlight w:val="none"/>
        </w:rPr>
        <w:t>日历天，预计</w:t>
      </w:r>
      <w:r>
        <w:rPr>
          <w:rStyle w:val="11"/>
          <w:rFonts w:hint="eastAsia" w:ascii="Times New Roman" w:hAnsi="Times New Roman" w:eastAsia="宋体" w:cs="Times New Roman"/>
          <w:b/>
          <w:bCs/>
          <w:highlight w:val="none"/>
          <w:lang w:val="en-US" w:eastAsia="zh-CN"/>
        </w:rPr>
        <w:t>2024</w:t>
      </w:r>
      <w:r>
        <w:rPr>
          <w:rStyle w:val="11"/>
          <w:rFonts w:hint="eastAsia" w:ascii="Times New Roman" w:hAnsi="Times New Roman" w:eastAsia="宋体" w:cs="Times New Roman"/>
          <w:b/>
          <w:bCs/>
          <w:highlight w:val="none"/>
        </w:rPr>
        <w:t>年</w:t>
      </w:r>
      <w:r>
        <w:rPr>
          <w:rStyle w:val="11"/>
          <w:rFonts w:hint="eastAsia" w:ascii="Times New Roman" w:hAnsi="Times New Roman" w:eastAsia="宋体" w:cs="Times New Roman"/>
          <w:b/>
          <w:bCs/>
          <w:highlight w:val="none"/>
          <w:lang w:val="en-US" w:eastAsia="zh-CN"/>
        </w:rPr>
        <w:t>1</w:t>
      </w:r>
      <w:r>
        <w:rPr>
          <w:rStyle w:val="11"/>
          <w:rFonts w:hint="eastAsia" w:ascii="Times New Roman" w:hAnsi="Times New Roman" w:eastAsia="宋体" w:cs="Times New Roman"/>
          <w:b/>
          <w:bCs/>
          <w:highlight w:val="none"/>
        </w:rPr>
        <w:t>月</w:t>
      </w:r>
      <w:r>
        <w:rPr>
          <w:rStyle w:val="11"/>
          <w:rFonts w:hint="eastAsia" w:ascii="Times New Roman" w:hAnsi="Times New Roman" w:eastAsia="宋体" w:cs="Times New Roman"/>
          <w:b/>
          <w:bCs/>
          <w:highlight w:val="none"/>
          <w:lang w:val="en-US" w:eastAsia="zh-CN"/>
        </w:rPr>
        <w:t>1</w:t>
      </w:r>
      <w:r>
        <w:rPr>
          <w:rStyle w:val="11"/>
          <w:rFonts w:hint="eastAsia" w:ascii="Times New Roman" w:hAnsi="Times New Roman" w:eastAsia="宋体" w:cs="Times New Roman"/>
          <w:b/>
          <w:bCs/>
          <w:highlight w:val="none"/>
        </w:rPr>
        <w:t>日至</w:t>
      </w:r>
      <w:r>
        <w:rPr>
          <w:rStyle w:val="11"/>
          <w:rFonts w:hint="eastAsia" w:ascii="Times New Roman" w:hAnsi="Times New Roman" w:eastAsia="宋体" w:cs="Times New Roman"/>
          <w:b/>
          <w:bCs/>
          <w:highlight w:val="none"/>
          <w:lang w:val="en-US" w:eastAsia="zh-CN"/>
        </w:rPr>
        <w:t>2026</w:t>
      </w:r>
      <w:r>
        <w:rPr>
          <w:rStyle w:val="11"/>
          <w:rFonts w:hint="eastAsia" w:ascii="Times New Roman" w:hAnsi="Times New Roman" w:eastAsia="宋体" w:cs="Times New Roman"/>
          <w:b/>
          <w:bCs/>
          <w:highlight w:val="none"/>
        </w:rPr>
        <w:t>年</w:t>
      </w:r>
      <w:r>
        <w:rPr>
          <w:rStyle w:val="11"/>
          <w:rFonts w:hint="eastAsia" w:ascii="Times New Roman" w:hAnsi="Times New Roman" w:eastAsia="宋体" w:cs="Times New Roman"/>
          <w:b/>
          <w:bCs/>
          <w:highlight w:val="none"/>
          <w:lang w:val="en-US" w:eastAsia="zh-CN"/>
        </w:rPr>
        <w:t>12</w:t>
      </w:r>
      <w:r>
        <w:rPr>
          <w:rStyle w:val="11"/>
          <w:rFonts w:hint="eastAsia" w:ascii="Times New Roman" w:hAnsi="Times New Roman" w:eastAsia="宋体" w:cs="Times New Roman"/>
          <w:b/>
          <w:bCs/>
          <w:highlight w:val="none"/>
        </w:rPr>
        <w:t>月</w:t>
      </w:r>
      <w:r>
        <w:rPr>
          <w:rStyle w:val="11"/>
          <w:rFonts w:hint="eastAsia" w:ascii="Times New Roman" w:hAnsi="Times New Roman" w:eastAsia="宋体" w:cs="Times New Roman"/>
          <w:b/>
          <w:bCs/>
          <w:highlight w:val="none"/>
          <w:lang w:val="en-US" w:eastAsia="zh-CN"/>
        </w:rPr>
        <w:t>31</w:t>
      </w:r>
      <w:r>
        <w:rPr>
          <w:rStyle w:val="11"/>
          <w:rFonts w:hint="eastAsia" w:ascii="Times New Roman" w:hAnsi="Times New Roman" w:eastAsia="宋体" w:cs="Times New Roman"/>
          <w:b/>
          <w:bCs/>
          <w:highlight w:val="none"/>
        </w:rPr>
        <w:t>日。缺陷责任期为自工程实际竣工日期起计算24个月，房建工程保修期自竣工之日起按住房和城乡建设部《房屋建筑工程质量保修办法》执行。</w:t>
      </w:r>
    </w:p>
    <w:p>
      <w:pPr>
        <w:pStyle w:val="13"/>
        <w:rPr>
          <w:rStyle w:val="11"/>
          <w:rFonts w:ascii="黑体" w:hAnsi="黑体" w:eastAsia="黑体" w:cs="Times New Roman"/>
          <w:sz w:val="28"/>
          <w:szCs w:val="28"/>
          <w:highlight w:val="none"/>
        </w:rPr>
      </w:pPr>
      <w:r>
        <w:rPr>
          <w:rStyle w:val="11"/>
          <w:rFonts w:ascii="黑体" w:hAnsi="黑体" w:eastAsia="黑体" w:cs="Times New Roman"/>
          <w:sz w:val="28"/>
          <w:szCs w:val="28"/>
          <w:highlight w:val="none"/>
        </w:rPr>
        <w:t xml:space="preserve">3. </w:t>
      </w:r>
      <w:r>
        <w:rPr>
          <w:rStyle w:val="11"/>
          <w:rFonts w:hint="eastAsia" w:ascii="黑体" w:hAnsi="黑体" w:eastAsia="黑体" w:cs="Times New Roman"/>
          <w:sz w:val="28"/>
          <w:szCs w:val="28"/>
          <w:highlight w:val="none"/>
        </w:rPr>
        <w:t>投标人资格要求</w:t>
      </w:r>
    </w:p>
    <w:p>
      <w:pPr>
        <w:pStyle w:val="13"/>
        <w:spacing w:line="400" w:lineRule="atLeast"/>
        <w:ind w:firstLine="420" w:firstLineChars="200"/>
        <w:rPr>
          <w:rStyle w:val="11"/>
          <w:rFonts w:eastAsia="宋体" w:cs="Times New Roman"/>
          <w:szCs w:val="24"/>
        </w:rPr>
      </w:pPr>
      <w:r>
        <w:rPr>
          <w:rStyle w:val="11"/>
          <w:rFonts w:eastAsia="宋体" w:cs="Times New Roman"/>
          <w:highlight w:val="white"/>
        </w:rPr>
        <w:t>3.1</w:t>
      </w:r>
      <w:r>
        <w:rPr>
          <w:rStyle w:val="11"/>
          <w:rFonts w:hint="eastAsia" w:eastAsia="宋体" w:cs="Times New Roman"/>
          <w:highlight w:val="white"/>
        </w:rPr>
        <w:t>本次招标要求投标人须具备</w:t>
      </w:r>
      <w:r>
        <w:rPr>
          <w:rStyle w:val="11"/>
          <w:rFonts w:hint="eastAsia" w:eastAsia="宋体" w:cs="Times New Roman"/>
          <w:highlight w:val="white"/>
          <w:u w:val="single"/>
        </w:rPr>
        <w:t xml:space="preserve">投标人须知附录 </w:t>
      </w:r>
      <w:r>
        <w:rPr>
          <w:rStyle w:val="11"/>
          <w:rFonts w:eastAsia="宋体" w:cs="Times New Roman"/>
          <w:highlight w:val="white"/>
          <w:u w:val="single"/>
        </w:rPr>
        <w:t xml:space="preserve">1 </w:t>
      </w:r>
      <w:r>
        <w:rPr>
          <w:rStyle w:val="11"/>
          <w:rFonts w:hint="eastAsia" w:eastAsia="宋体" w:cs="Times New Roman"/>
          <w:highlight w:val="white"/>
          <w:u w:val="single"/>
        </w:rPr>
        <w:t>要求</w:t>
      </w:r>
      <w:r>
        <w:rPr>
          <w:rStyle w:val="11"/>
          <w:rFonts w:hint="eastAsia" w:eastAsia="宋体" w:cs="Times New Roman"/>
          <w:highlight w:val="white"/>
        </w:rPr>
        <w:t>资质、</w:t>
      </w:r>
      <w:r>
        <w:rPr>
          <w:rStyle w:val="11"/>
          <w:rFonts w:hint="eastAsia" w:eastAsia="宋体" w:cs="Times New Roman"/>
          <w:highlight w:val="white"/>
          <w:u w:val="single"/>
        </w:rPr>
        <w:t>投标人须知附录</w:t>
      </w:r>
      <w:r>
        <w:rPr>
          <w:rStyle w:val="11"/>
          <w:rFonts w:eastAsia="宋体" w:cs="Times New Roman"/>
          <w:highlight w:val="white"/>
          <w:u w:val="single"/>
        </w:rPr>
        <w:t>3</w:t>
      </w:r>
      <w:r>
        <w:rPr>
          <w:rStyle w:val="11"/>
          <w:rFonts w:hint="eastAsia" w:eastAsia="宋体" w:cs="Times New Roman"/>
          <w:highlight w:val="white"/>
          <w:u w:val="single"/>
        </w:rPr>
        <w:t>要求</w:t>
      </w:r>
      <w:r>
        <w:rPr>
          <w:rStyle w:val="11"/>
          <w:rFonts w:hint="eastAsia" w:eastAsia="宋体" w:cs="Times New Roman"/>
          <w:highlight w:val="white"/>
        </w:rPr>
        <w:t xml:space="preserve">业绩，并在人员、设备、资金等方面具有相应的施工能力。 </w:t>
      </w:r>
    </w:p>
    <w:p>
      <w:pPr>
        <w:pStyle w:val="13"/>
        <w:spacing w:line="420" w:lineRule="exact"/>
        <w:ind w:firstLine="420" w:firstLineChars="200"/>
        <w:rPr>
          <w:rStyle w:val="11"/>
          <w:rFonts w:eastAsia="宋体" w:cs="Times New Roman"/>
          <w:szCs w:val="20"/>
        </w:rPr>
      </w:pPr>
      <w:r>
        <w:rPr>
          <w:rStyle w:val="11"/>
          <w:rFonts w:eastAsia="宋体" w:cs="Times New Roman"/>
          <w:szCs w:val="20"/>
          <w:highlight w:val="white"/>
        </w:rPr>
        <w:t xml:space="preserve">3.2 </w:t>
      </w:r>
      <w:r>
        <w:rPr>
          <w:rStyle w:val="11"/>
          <w:rFonts w:hint="eastAsia" w:eastAsia="宋体" w:cs="Times New Roman"/>
          <w:highlight w:val="white"/>
        </w:rPr>
        <w:t>本次招标</w:t>
      </w:r>
      <w:bookmarkStart w:id="3" w:name="EB8220544a50074b418c4bb0bd2b09f880"/>
      <w:r>
        <w:rPr>
          <w:rStyle w:val="11"/>
          <w:rFonts w:hint="eastAsia" w:eastAsia="宋体" w:cs="Times New Roman"/>
          <w:highlight w:val="white"/>
          <w:u w:val="single"/>
        </w:rPr>
        <w:t>不接受</w:t>
      </w:r>
      <w:bookmarkEnd w:id="3"/>
      <w:r>
        <w:rPr>
          <w:rStyle w:val="11"/>
          <w:rFonts w:hint="eastAsia" w:eastAsia="宋体" w:cs="Times New Roman"/>
          <w:highlight w:val="white"/>
        </w:rPr>
        <w:t>联合体投标。</w:t>
      </w:r>
    </w:p>
    <w:p>
      <w:pPr>
        <w:pStyle w:val="13"/>
        <w:spacing w:line="400" w:lineRule="atLeast"/>
        <w:ind w:firstLine="420" w:firstLineChars="200"/>
        <w:rPr>
          <w:rStyle w:val="11"/>
          <w:rFonts w:ascii="Times New Roman" w:hAnsi="Times New Roman" w:eastAsia="宋体" w:cs="Times New Roman"/>
          <w:highlight w:val="white"/>
        </w:rPr>
      </w:pPr>
      <w:r>
        <w:rPr>
          <w:rStyle w:val="11"/>
          <w:rFonts w:ascii="Times New Roman" w:hAnsi="Times New Roman" w:eastAsia="宋体" w:cs="Times New Roman"/>
          <w:highlight w:val="white"/>
        </w:rPr>
        <w:t>3.3 每个投标人可在本次招标中对 1 个标段投标，被湖南省交通运输厅评为 AA 级的投标人，可在本次招标中给予增加 1 个标段投标的奖励，奖励后的可投标段数不得超过本次招标工程类别的标段总数。每个投标人允许中 1 个标。被湖南省交通运输厅评为 C 级的投标人，减少 1 个标段中标的机会（项目招标仅 1 个标段的除外）。对投标人信用等级的认定条件为：湖南省交通运输厅 2022 年度（最新年度）发布的湖南省公路养护从业单位信用评价结果信用等级。</w:t>
      </w:r>
    </w:p>
    <w:p>
      <w:pPr>
        <w:pStyle w:val="13"/>
        <w:spacing w:line="400" w:lineRule="atLeast"/>
        <w:ind w:firstLine="420" w:firstLineChars="200"/>
        <w:rPr>
          <w:rStyle w:val="11"/>
          <w:rFonts w:ascii="Times New Roman" w:hAnsi="Times New Roman" w:eastAsia="宋体" w:cs="Times New Roman"/>
          <w:highlight w:val="white"/>
        </w:rPr>
      </w:pPr>
      <w:r>
        <w:rPr>
          <w:rStyle w:val="11"/>
          <w:rFonts w:ascii="Times New Roman" w:hAnsi="Times New Roman" w:eastAsia="宋体" w:cs="Times New Roman"/>
          <w:highlight w:val="white"/>
        </w:rPr>
        <w:t>3.4 与招标人存在利害关系且可能影响招标公正性的单位，不得参加投标。单位负责人</w:t>
      </w:r>
      <w:r>
        <w:rPr>
          <w:rStyle w:val="11"/>
          <w:rFonts w:ascii="Times New Roman" w:hAnsi="Times New Roman" w:eastAsia="宋体" w:cs="Times New Roman"/>
          <w:highlight w:val="white"/>
        </w:rPr>
        <w:footnoteReference w:id="0"/>
      </w:r>
      <w:r>
        <w:rPr>
          <w:rStyle w:val="11"/>
          <w:rFonts w:ascii="Times New Roman" w:hAnsi="Times New Roman" w:eastAsia="宋体" w:cs="Times New Roman"/>
          <w:highlight w:val="white"/>
        </w:rPr>
        <w:t>为同一人或者存在控股</w:t>
      </w:r>
      <w:r>
        <w:rPr>
          <w:rStyle w:val="11"/>
          <w:rFonts w:ascii="Times New Roman" w:hAnsi="Times New Roman" w:eastAsia="宋体" w:cs="Times New Roman"/>
          <w:highlight w:val="white"/>
        </w:rPr>
        <w:footnoteReference w:id="1"/>
      </w:r>
      <w:r>
        <w:rPr>
          <w:rStyle w:val="11"/>
          <w:rFonts w:ascii="Times New Roman" w:hAnsi="Times New Roman" w:eastAsia="宋体" w:cs="Times New Roman"/>
          <w:highlight w:val="white"/>
        </w:rPr>
        <w:t>、管理</w:t>
      </w:r>
      <w:r>
        <w:rPr>
          <w:rStyle w:val="11"/>
          <w:rFonts w:ascii="Times New Roman" w:hAnsi="Times New Roman" w:eastAsia="宋体" w:cs="Times New Roman"/>
          <w:highlight w:val="white"/>
        </w:rPr>
        <w:footnoteReference w:id="2"/>
      </w:r>
      <w:r>
        <w:rPr>
          <w:rStyle w:val="11"/>
          <w:rFonts w:ascii="Times New Roman" w:hAnsi="Times New Roman" w:eastAsia="宋体" w:cs="Times New Roman"/>
          <w:highlight w:val="white"/>
        </w:rPr>
        <w:t>关系的不同单位，不得参加同一标段投标，否则，相关投标均无效。</w:t>
      </w:r>
    </w:p>
    <w:p>
      <w:pPr>
        <w:pStyle w:val="13"/>
        <w:spacing w:line="400" w:lineRule="atLeast"/>
        <w:ind w:firstLine="420" w:firstLineChars="200"/>
        <w:rPr>
          <w:rStyle w:val="11"/>
          <w:rFonts w:ascii="Times New Roman" w:hAnsi="Times New Roman" w:eastAsia="宋体" w:cs="Times New Roman"/>
          <w:highlight w:val="white"/>
        </w:rPr>
      </w:pPr>
      <w:r>
        <w:rPr>
          <w:rStyle w:val="11"/>
          <w:rFonts w:ascii="Times New Roman" w:hAnsi="Times New Roman" w:eastAsia="宋体" w:cs="Times New Roman"/>
          <w:highlight w:val="white"/>
        </w:rPr>
        <w:t>3.4 与招标人存在利害关系且可能影响招标公正性的单位，不得参加投标。单位负责人为同一人或者存在控股、管理关系的不同单位，参与同一招标工程类别投标的标段总数量（含奖励增加数量）不得超过该招标工程类别的标段总数，否则，相关投标均无效。</w:t>
      </w:r>
      <w:r>
        <w:rPr>
          <w:rStyle w:val="11"/>
          <w:rFonts w:ascii="Times New Roman" w:hAnsi="Times New Roman" w:eastAsia="宋体" w:cs="Times New Roman"/>
          <w:highlight w:val="white"/>
        </w:rPr>
        <w:footnoteReference w:id="3"/>
      </w:r>
    </w:p>
    <w:p>
      <w:pPr>
        <w:pStyle w:val="13"/>
        <w:spacing w:line="400" w:lineRule="atLeast"/>
        <w:ind w:firstLine="420" w:firstLineChars="200"/>
        <w:rPr>
          <w:rStyle w:val="11"/>
          <w:rFonts w:ascii="Times New Roman" w:hAnsi="Times New Roman" w:eastAsia="宋体" w:cs="Times New Roman"/>
          <w:highlight w:val="white"/>
        </w:rPr>
      </w:pPr>
      <w:r>
        <w:rPr>
          <w:rStyle w:val="11"/>
          <w:rFonts w:ascii="Times New Roman" w:hAnsi="Times New Roman" w:eastAsia="宋体" w:cs="Times New Roman"/>
          <w:highlight w:val="white"/>
        </w:rPr>
        <w:t>3.5 招标人不接受被湖南省交通运输厅</w:t>
      </w:r>
      <w:r>
        <w:rPr>
          <w:rStyle w:val="11"/>
          <w:rFonts w:ascii="Times New Roman" w:hAnsi="Times New Roman" w:eastAsia="黑体" w:cs="Times New Roman"/>
          <w:highlight w:val="white"/>
        </w:rPr>
        <w:footnoteReference w:id="4"/>
      </w:r>
      <w:r>
        <w:rPr>
          <w:rStyle w:val="11"/>
          <w:rFonts w:ascii="Times New Roman" w:hAnsi="Times New Roman" w:eastAsia="宋体" w:cs="Times New Roman"/>
          <w:highlight w:val="white"/>
        </w:rPr>
        <w:t>评为最近第一年度D级、连续三年（最近第二年和最近第一年）评为C级的投标人投标。</w:t>
      </w:r>
    </w:p>
    <w:p>
      <w:pPr>
        <w:pStyle w:val="13"/>
        <w:spacing w:line="400" w:lineRule="atLeast"/>
        <w:ind w:firstLine="420" w:firstLineChars="200"/>
        <w:rPr>
          <w:rStyle w:val="11"/>
          <w:rFonts w:ascii="Times New Roman" w:hAnsi="Times New Roman" w:eastAsia="宋体" w:cs="Times New Roman"/>
          <w:highlight w:val="white"/>
        </w:rPr>
      </w:pPr>
      <w:r>
        <w:rPr>
          <w:rStyle w:val="11"/>
          <w:rFonts w:ascii="Times New Roman" w:hAnsi="Times New Roman" w:eastAsia="宋体" w:cs="Times New Roman"/>
          <w:highlight w:val="white"/>
        </w:rPr>
        <w:t>3.6 招标人不接受在全国企业信用信息公示系统（http://www.gsxt.gov.cn）中被列入严重违法失信企业名单的或在“信用中国”网站（www.creditchina.gov.cn）中被列入失信被执行人名单的投标人投标。</w:t>
      </w:r>
    </w:p>
    <w:p>
      <w:pPr>
        <w:pStyle w:val="13"/>
        <w:rPr>
          <w:rStyle w:val="11"/>
          <w:rFonts w:ascii="黑体" w:hAnsi="黑体" w:eastAsia="黑体" w:cs="Times New Roman"/>
          <w:sz w:val="28"/>
          <w:szCs w:val="28"/>
          <w:highlight w:val="white"/>
        </w:rPr>
      </w:pPr>
      <w:r>
        <w:rPr>
          <w:rStyle w:val="11"/>
          <w:rFonts w:ascii="黑体" w:hAnsi="黑体" w:eastAsia="黑体" w:cs="Times New Roman"/>
          <w:sz w:val="28"/>
          <w:szCs w:val="28"/>
          <w:highlight w:val="white"/>
        </w:rPr>
        <w:t xml:space="preserve">4. </w:t>
      </w:r>
      <w:r>
        <w:rPr>
          <w:rStyle w:val="11"/>
          <w:rFonts w:hint="eastAsia" w:ascii="黑体" w:hAnsi="黑体" w:eastAsia="黑体" w:cs="Times New Roman"/>
          <w:sz w:val="28"/>
          <w:szCs w:val="28"/>
          <w:highlight w:val="white"/>
        </w:rPr>
        <w:t>招标文件的获取</w:t>
      </w:r>
    </w:p>
    <w:p>
      <w:pPr>
        <w:pStyle w:val="13"/>
        <w:widowControl/>
        <w:spacing w:line="400" w:lineRule="atLeast"/>
        <w:ind w:firstLine="420" w:firstLineChars="200"/>
        <w:rPr>
          <w:rStyle w:val="11"/>
          <w:rFonts w:ascii="Times New Roman" w:hAnsi="Times New Roman" w:eastAsia="宋体" w:cs="Times New Roman"/>
          <w:highlight w:val="white"/>
        </w:rPr>
      </w:pPr>
      <w:r>
        <w:rPr>
          <w:rStyle w:val="11"/>
          <w:rFonts w:ascii="Times New Roman" w:hAnsi="Times New Roman" w:eastAsia="宋体" w:cs="Times New Roman"/>
          <w:highlight w:val="white"/>
        </w:rPr>
        <w:t>4.1根据规定，本项目只接受网上获取招标文件。凡有意参加投标者，请登录“湖南省公路养护作业单位资信管理系统”（网址：http://113.246.57.32:8088/#/）中注册、完善、公开本单位信息，并在湖南省公共资源交易中心办理 CA 数字证书（具体流程参见网址：http://www.hunca.com.cn/servicePlatform.html）。投标人在办理 CA 数字证书时，自行填写利益相关企业，由电子招投标系统根据投标人填写的利益相关企业情况，在网上获取招标文件时自动提醒利益相关企业已获取招标文件（如利益相关企业获取招标文件数超过可投标段数的，自动禁止再获取招标文件），随机分配标段时自动规避利益相关企业，如因企业未如实填写利益相关企业导致利益相关企业自动分配到同一标段的，按否决其投标处理。</w:t>
      </w:r>
    </w:p>
    <w:p>
      <w:pPr>
        <w:pStyle w:val="13"/>
        <w:widowControl/>
        <w:spacing w:line="400" w:lineRule="atLeast"/>
        <w:ind w:firstLine="420" w:firstLineChars="200"/>
        <w:rPr>
          <w:rStyle w:val="11"/>
          <w:rFonts w:ascii="Times New Roman" w:hAnsi="Times New Roman" w:eastAsia="宋体" w:cs="Times New Roman"/>
          <w:highlight w:val="white"/>
        </w:rPr>
      </w:pPr>
      <w:r>
        <w:rPr>
          <w:rStyle w:val="11"/>
          <w:rFonts w:ascii="Times New Roman" w:hAnsi="Times New Roman" w:eastAsia="宋体" w:cs="Times New Roman"/>
          <w:highlight w:val="white"/>
        </w:rPr>
        <w:t>4.2办理完成 CA 数字认证后，请于</w:t>
      </w:r>
      <w:r>
        <w:rPr>
          <w:rStyle w:val="11"/>
          <w:rFonts w:hint="eastAsia" w:ascii="Times New Roman" w:hAnsi="Times New Roman" w:cs="Times New Roman"/>
          <w:highlight w:val="white"/>
          <w:lang w:val="en-US" w:eastAsia="zh-CN"/>
        </w:rPr>
        <w:t>2023年12月26日</w:t>
      </w:r>
      <w:r>
        <w:rPr>
          <w:rStyle w:val="11"/>
          <w:rFonts w:ascii="Times New Roman" w:hAnsi="Times New Roman" w:eastAsia="宋体" w:cs="Times New Roman"/>
          <w:highlight w:val="white"/>
        </w:rPr>
        <w:t>至</w:t>
      </w:r>
      <w:r>
        <w:rPr>
          <w:rStyle w:val="11"/>
          <w:rFonts w:hint="eastAsia" w:ascii="Times New Roman" w:hAnsi="Times New Roman" w:cs="Times New Roman"/>
          <w:highlight w:val="white"/>
          <w:lang w:val="en-US" w:eastAsia="zh-CN"/>
        </w:rPr>
        <w:t>2024年1月15日23：59</w:t>
      </w:r>
      <w:r>
        <w:rPr>
          <w:rStyle w:val="11"/>
          <w:rFonts w:ascii="Times New Roman" w:hAnsi="Times New Roman" w:eastAsia="宋体" w:cs="Times New Roman"/>
          <w:highlight w:val="white"/>
        </w:rPr>
        <w:t xml:space="preserve">（北京时间，下同），通过互联网使用 CA 数字证书登录湖南省公共资源交易中心进场交易系统（以下简称：“电子交易平台”，网址：http://222.240.80.75/tpbidder），进行报名后下载招标文件等相关资料完成报名。网上下载的招标文件与书面招标文件具有同等法律效力。凡超过招标文件下载时间将被拒绝。 </w:t>
      </w:r>
    </w:p>
    <w:p>
      <w:pPr>
        <w:pStyle w:val="13"/>
        <w:widowControl/>
        <w:spacing w:line="400" w:lineRule="atLeast"/>
        <w:ind w:firstLine="420" w:firstLineChars="200"/>
        <w:rPr>
          <w:rStyle w:val="11"/>
          <w:rFonts w:eastAsia="黑体" w:cs="Times New Roman"/>
          <w:highlight w:val="white"/>
        </w:rPr>
      </w:pPr>
      <w:r>
        <w:rPr>
          <w:rStyle w:val="11"/>
          <w:rFonts w:ascii="Times New Roman" w:hAnsi="Times New Roman" w:eastAsia="宋体" w:cs="Times New Roman"/>
          <w:highlight w:val="white"/>
        </w:rPr>
        <w:t>4.3本次招标所有的招标文件下载、澄清、补遗、异议等均通过“电子交易平台” 进行。投标人应及时关注网上相关招标信息，如有遗漏招标人概不负责，所造成的投标失败或损失由投标人自行负责。未按规定从湖南省公共资源交易中心进场交易系统下载招标文件的，招标人将拒收其投标。</w:t>
      </w:r>
      <w:r>
        <w:rPr>
          <w:rStyle w:val="11"/>
          <w:rFonts w:hint="eastAsia" w:eastAsia="黑体" w:cs="Times New Roman"/>
          <w:highlight w:val="white"/>
        </w:rPr>
        <w:t xml:space="preserve"> </w:t>
      </w:r>
    </w:p>
    <w:p>
      <w:pPr>
        <w:pStyle w:val="13"/>
        <w:rPr>
          <w:rStyle w:val="11"/>
          <w:rFonts w:ascii="黑体" w:hAnsi="黑体" w:eastAsia="黑体" w:cs="Times New Roman"/>
          <w:sz w:val="28"/>
          <w:szCs w:val="28"/>
          <w:highlight w:val="white"/>
        </w:rPr>
      </w:pPr>
      <w:r>
        <w:rPr>
          <w:rStyle w:val="11"/>
          <w:rFonts w:ascii="黑体" w:hAnsi="黑体" w:eastAsia="黑体" w:cs="Times New Roman"/>
          <w:sz w:val="28"/>
          <w:szCs w:val="28"/>
          <w:highlight w:val="white"/>
        </w:rPr>
        <w:t xml:space="preserve">5. </w:t>
      </w:r>
      <w:r>
        <w:rPr>
          <w:rStyle w:val="11"/>
          <w:rFonts w:hint="eastAsia" w:ascii="黑体" w:hAnsi="黑体" w:eastAsia="黑体" w:cs="Times New Roman"/>
          <w:sz w:val="28"/>
          <w:szCs w:val="28"/>
          <w:highlight w:val="white"/>
        </w:rPr>
        <w:t>投标文件的递交及相关事宜</w:t>
      </w:r>
    </w:p>
    <w:p>
      <w:pPr>
        <w:pStyle w:val="13"/>
        <w:spacing w:line="400" w:lineRule="atLeast"/>
        <w:ind w:firstLine="420" w:firstLineChars="200"/>
        <w:rPr>
          <w:rStyle w:val="11"/>
          <w:rFonts w:eastAsia="宋体" w:cs="Times New Roman"/>
          <w:highlight w:val="white"/>
        </w:rPr>
      </w:pPr>
      <w:r>
        <w:rPr>
          <w:rStyle w:val="11"/>
          <w:rFonts w:eastAsia="宋体" w:cs="Times New Roman"/>
          <w:highlight w:val="white"/>
        </w:rPr>
        <w:t>5.1招标人不组织现场踏勘并召开投标预备会，投标人自行踏勘现场并自行负责所有因踏勘现场而产生的费用。</w:t>
      </w:r>
    </w:p>
    <w:p>
      <w:pPr>
        <w:pStyle w:val="13"/>
        <w:autoSpaceDE w:val="0"/>
        <w:autoSpaceDN w:val="0"/>
        <w:adjustRightInd w:val="0"/>
        <w:spacing w:line="400" w:lineRule="exact"/>
        <w:ind w:firstLine="480"/>
        <w:rPr>
          <w:rStyle w:val="11"/>
          <w:rFonts w:eastAsia="宋体" w:cs="Times New Roman"/>
          <w:highlight w:val="white"/>
        </w:rPr>
      </w:pPr>
      <w:r>
        <w:rPr>
          <w:rStyle w:val="11"/>
          <w:rFonts w:eastAsia="宋体" w:cs="Times New Roman"/>
          <w:highlight w:val="white"/>
        </w:rPr>
        <w:t>5.2</w:t>
      </w:r>
      <w:r>
        <w:rPr>
          <w:rStyle w:val="11"/>
          <w:rFonts w:hint="eastAsia" w:eastAsia="宋体" w:cs="Times New Roman"/>
          <w:highlight w:val="white"/>
        </w:rPr>
        <w:t xml:space="preserve">投标文件递交截止时间（投标截止时间，下同）为 </w:t>
      </w:r>
      <w:r>
        <w:rPr>
          <w:rStyle w:val="11"/>
          <w:rFonts w:eastAsia="宋体" w:cs="Times New Roman"/>
          <w:highlight w:val="white"/>
        </w:rPr>
        <w:t>202</w:t>
      </w:r>
      <w:r>
        <w:rPr>
          <w:rStyle w:val="11"/>
          <w:rFonts w:hint="eastAsia" w:cs="Times New Roman"/>
          <w:highlight w:val="white"/>
          <w:lang w:val="en-US" w:eastAsia="zh-CN"/>
        </w:rPr>
        <w:t>4</w:t>
      </w:r>
      <w:r>
        <w:rPr>
          <w:rStyle w:val="11"/>
          <w:rFonts w:hint="eastAsia" w:eastAsia="宋体" w:cs="Times New Roman"/>
          <w:highlight w:val="white"/>
        </w:rPr>
        <w:t>年</w:t>
      </w:r>
      <w:r>
        <w:rPr>
          <w:rStyle w:val="11"/>
          <w:rFonts w:hint="eastAsia" w:cs="Times New Roman"/>
          <w:highlight w:val="white"/>
          <w:lang w:val="en-US" w:eastAsia="zh-CN"/>
        </w:rPr>
        <w:t>1</w:t>
      </w:r>
      <w:r>
        <w:rPr>
          <w:rStyle w:val="11"/>
          <w:rFonts w:hint="eastAsia" w:eastAsia="宋体" w:cs="Times New Roman"/>
          <w:highlight w:val="white"/>
        </w:rPr>
        <w:t>月</w:t>
      </w:r>
      <w:r>
        <w:rPr>
          <w:rStyle w:val="11"/>
          <w:rFonts w:hint="eastAsia" w:cs="Times New Roman"/>
          <w:highlight w:val="white"/>
          <w:lang w:val="en-US" w:eastAsia="zh-CN"/>
        </w:rPr>
        <w:t>16</w:t>
      </w:r>
      <w:r>
        <w:rPr>
          <w:rStyle w:val="11"/>
          <w:rFonts w:hint="eastAsia" w:eastAsia="宋体" w:cs="Times New Roman"/>
          <w:highlight w:val="white"/>
        </w:rPr>
        <w:t xml:space="preserve">日 </w:t>
      </w:r>
      <w:r>
        <w:rPr>
          <w:rStyle w:val="11"/>
          <w:rFonts w:eastAsia="宋体" w:cs="Times New Roman"/>
          <w:highlight w:val="white"/>
        </w:rPr>
        <w:t xml:space="preserve">9 </w:t>
      </w:r>
      <w:r>
        <w:rPr>
          <w:rStyle w:val="11"/>
          <w:rFonts w:hint="eastAsia" w:eastAsia="宋体" w:cs="Times New Roman"/>
          <w:highlight w:val="white"/>
        </w:rPr>
        <w:t xml:space="preserve">时 </w:t>
      </w:r>
      <w:r>
        <w:rPr>
          <w:rStyle w:val="11"/>
          <w:rFonts w:eastAsia="宋体" w:cs="Times New Roman"/>
          <w:highlight w:val="white"/>
        </w:rPr>
        <w:t>0</w:t>
      </w:r>
      <w:r>
        <w:rPr>
          <w:rStyle w:val="11"/>
          <w:rFonts w:hint="eastAsia" w:eastAsia="宋体" w:cs="Times New Roman"/>
          <w:highlight w:val="white"/>
        </w:rPr>
        <w:t xml:space="preserve">0 分（详见外网公告），投标人应当在投标截止时间前，通过互联网使用 </w:t>
      </w:r>
      <w:r>
        <w:rPr>
          <w:rStyle w:val="11"/>
          <w:rFonts w:eastAsia="宋体" w:cs="Times New Roman"/>
          <w:highlight w:val="white"/>
        </w:rPr>
        <w:t xml:space="preserve">CA </w:t>
      </w:r>
      <w:r>
        <w:rPr>
          <w:rStyle w:val="11"/>
          <w:rFonts w:hint="eastAsia" w:eastAsia="宋体" w:cs="Times New Roman"/>
          <w:highlight w:val="white"/>
        </w:rPr>
        <w:t xml:space="preserve">数字证书登录“电子交易平台”，将加密的电子投标文件上传，并保存上传成功后系统自动生成的电子签收凭证，递交时间即为电子签收凭证时间。逾期未完成上传或未按规定加密的电子投标文件，招标人将拒收。以联合体形式投标的，由联合体牵头人完成投标文件的加密、上传。 </w:t>
      </w:r>
    </w:p>
    <w:p>
      <w:pPr>
        <w:pStyle w:val="13"/>
        <w:autoSpaceDE w:val="0"/>
        <w:autoSpaceDN w:val="0"/>
        <w:adjustRightInd w:val="0"/>
        <w:spacing w:line="400" w:lineRule="exact"/>
        <w:ind w:firstLine="480"/>
        <w:rPr>
          <w:rStyle w:val="11"/>
          <w:rFonts w:ascii="Times New Roman" w:hAnsi="Times New Roman" w:eastAsia="宋体" w:cs="Times New Roman"/>
          <w:highlight w:val="white"/>
        </w:rPr>
      </w:pPr>
      <w:r>
        <w:rPr>
          <w:rStyle w:val="11"/>
          <w:rFonts w:hint="eastAsia" w:ascii="Times New Roman" w:hAnsi="Times New Roman" w:eastAsia="宋体" w:cs="Times New Roman"/>
          <w:highlight w:val="white"/>
        </w:rPr>
        <w:t>5.3 投标保证金的递交：</w:t>
      </w:r>
    </w:p>
    <w:p>
      <w:pPr>
        <w:pStyle w:val="13"/>
        <w:autoSpaceDE w:val="0"/>
        <w:autoSpaceDN w:val="0"/>
        <w:adjustRightInd w:val="0"/>
        <w:spacing w:line="400" w:lineRule="exact"/>
        <w:ind w:firstLine="480"/>
        <w:rPr>
          <w:rStyle w:val="11"/>
          <w:rFonts w:ascii="Times New Roman" w:hAnsi="Times New Roman" w:eastAsia="宋体" w:cs="Times New Roman"/>
          <w:highlight w:val="white"/>
        </w:rPr>
      </w:pPr>
      <w:r>
        <w:rPr>
          <w:rStyle w:val="11"/>
          <w:rFonts w:hint="eastAsia" w:ascii="Times New Roman" w:hAnsi="Times New Roman" w:eastAsia="宋体" w:cs="Times New Roman"/>
          <w:highlight w:val="white"/>
        </w:rPr>
        <w:t>投标保证金的</w:t>
      </w:r>
      <w:r>
        <w:rPr>
          <w:rStyle w:val="11"/>
          <w:rFonts w:hint="eastAsia" w:ascii="Times New Roman" w:hAnsi="Times New Roman" w:eastAsia="宋体" w:cs="Times New Roman"/>
          <w:highlight w:val="none"/>
        </w:rPr>
        <w:t>金额：</w:t>
      </w:r>
      <w:r>
        <w:rPr>
          <w:rStyle w:val="11"/>
          <w:rFonts w:hint="eastAsia" w:ascii="Times New Roman" w:hAnsi="Times New Roman" w:eastAsia="宋体" w:cs="Times New Roman"/>
          <w:highlight w:val="none"/>
          <w:u w:val="single"/>
        </w:rPr>
        <w:t>CSRCYH01</w:t>
      </w:r>
      <w:r>
        <w:rPr>
          <w:rStyle w:val="11"/>
          <w:rFonts w:hint="eastAsia" w:ascii="Times New Roman" w:hAnsi="Times New Roman" w:eastAsia="宋体" w:cs="Times New Roman"/>
          <w:highlight w:val="none"/>
        </w:rPr>
        <w:t>标段</w:t>
      </w:r>
      <w:r>
        <w:rPr>
          <w:rStyle w:val="11"/>
          <w:rFonts w:hint="eastAsia" w:ascii="Times New Roman" w:hAnsi="Times New Roman" w:eastAsia="宋体" w:cs="Times New Roman"/>
          <w:highlight w:val="none"/>
          <w:u w:val="single"/>
        </w:rPr>
        <w:t>50</w:t>
      </w:r>
      <w:r>
        <w:rPr>
          <w:rStyle w:val="11"/>
          <w:rFonts w:hint="eastAsia" w:ascii="Times New Roman" w:hAnsi="Times New Roman" w:eastAsia="宋体" w:cs="Times New Roman"/>
          <w:highlight w:val="none"/>
        </w:rPr>
        <w:t>万元</w:t>
      </w:r>
    </w:p>
    <w:p>
      <w:pPr>
        <w:pStyle w:val="13"/>
        <w:autoSpaceDE w:val="0"/>
        <w:autoSpaceDN w:val="0"/>
        <w:adjustRightInd w:val="0"/>
        <w:spacing w:line="400" w:lineRule="exact"/>
        <w:ind w:firstLine="480"/>
        <w:rPr>
          <w:rStyle w:val="11"/>
          <w:rFonts w:ascii="Times New Roman" w:hAnsi="Times New Roman" w:eastAsia="宋体" w:cs="Times New Roman"/>
          <w:highlight w:val="white"/>
        </w:rPr>
      </w:pPr>
      <w:r>
        <w:rPr>
          <w:rStyle w:val="11"/>
          <w:rFonts w:hint="eastAsia" w:ascii="Times New Roman" w:hAnsi="Times New Roman" w:eastAsia="宋体" w:cs="Times New Roman"/>
          <w:highlight w:val="white"/>
        </w:rPr>
        <w:t xml:space="preserve">（1））投标人采用现金或者支票形式提交的投标保证金应当从其基本账户转出，投标人应在投标截止时间前以转账、电汇、网银方式从投标人基本账户一次性划款到以下指定投标保证金专用账号上（以到账时间为准）。 </w:t>
      </w:r>
    </w:p>
    <w:p>
      <w:pPr>
        <w:pStyle w:val="13"/>
        <w:autoSpaceDE w:val="0"/>
        <w:autoSpaceDN w:val="0"/>
        <w:adjustRightInd w:val="0"/>
        <w:spacing w:line="400" w:lineRule="exact"/>
        <w:ind w:firstLine="480"/>
        <w:rPr>
          <w:rStyle w:val="11"/>
          <w:rFonts w:ascii="Times New Roman" w:hAnsi="Times New Roman" w:eastAsia="宋体" w:cs="Times New Roman"/>
          <w:highlight w:val="white"/>
        </w:rPr>
      </w:pPr>
      <w:r>
        <w:rPr>
          <w:rStyle w:val="11"/>
          <w:rFonts w:hint="eastAsia" w:ascii="Times New Roman" w:hAnsi="Times New Roman" w:eastAsia="宋体" w:cs="Times New Roman"/>
          <w:highlight w:val="white"/>
        </w:rPr>
        <w:t>户    名： 湖南省公共资源交易中心工程建设保证户</w:t>
      </w:r>
    </w:p>
    <w:p>
      <w:pPr>
        <w:pStyle w:val="13"/>
        <w:autoSpaceDE w:val="0"/>
        <w:autoSpaceDN w:val="0"/>
        <w:adjustRightInd w:val="0"/>
        <w:spacing w:line="400" w:lineRule="exact"/>
        <w:ind w:firstLine="480"/>
        <w:rPr>
          <w:rStyle w:val="11"/>
          <w:rFonts w:ascii="Times New Roman" w:hAnsi="Times New Roman" w:eastAsia="宋体" w:cs="Times New Roman"/>
          <w:highlight w:val="white"/>
        </w:rPr>
      </w:pPr>
      <w:r>
        <w:rPr>
          <w:rStyle w:val="11"/>
          <w:rFonts w:hint="eastAsia" w:ascii="Times New Roman" w:hAnsi="Times New Roman" w:eastAsia="宋体" w:cs="Times New Roman"/>
          <w:highlight w:val="white"/>
        </w:rPr>
        <w:t>开户银行： 中国农业银行股份有限公司长沙芙蓉区支行</w:t>
      </w:r>
    </w:p>
    <w:p>
      <w:pPr>
        <w:pStyle w:val="13"/>
        <w:autoSpaceDE w:val="0"/>
        <w:autoSpaceDN w:val="0"/>
        <w:adjustRightInd w:val="0"/>
        <w:spacing w:line="400" w:lineRule="exact"/>
        <w:ind w:firstLine="480"/>
        <w:rPr>
          <w:rStyle w:val="11"/>
          <w:rFonts w:hint="default" w:ascii="Times New Roman" w:hAnsi="Times New Roman" w:eastAsia="宋体" w:cs="Times New Roman"/>
          <w:color w:val="auto"/>
          <w:highlight w:val="white"/>
          <w:lang w:val="en-US" w:eastAsia="zh-CN"/>
        </w:rPr>
      </w:pPr>
      <w:r>
        <w:rPr>
          <w:rStyle w:val="11"/>
          <w:rFonts w:hint="eastAsia" w:ascii="Times New Roman" w:hAnsi="Times New Roman" w:eastAsia="宋体" w:cs="Times New Roman"/>
          <w:color w:val="auto"/>
          <w:highlight w:val="white"/>
        </w:rPr>
        <w:t>账    号：</w:t>
      </w:r>
      <w:r>
        <w:rPr>
          <w:rStyle w:val="11"/>
          <w:rFonts w:hint="eastAsia" w:ascii="Times New Roman" w:hAnsi="Times New Roman" w:eastAsia="宋体" w:cs="Times New Roman"/>
          <w:color w:val="auto"/>
          <w:highlight w:val="white"/>
          <w:lang w:val="en-US" w:eastAsia="zh-CN"/>
        </w:rPr>
        <w:t xml:space="preserve"> 180619010400118220010000569</w:t>
      </w:r>
    </w:p>
    <w:p>
      <w:pPr>
        <w:pStyle w:val="13"/>
        <w:autoSpaceDE w:val="0"/>
        <w:autoSpaceDN w:val="0"/>
        <w:adjustRightInd w:val="0"/>
        <w:spacing w:line="400" w:lineRule="exact"/>
        <w:ind w:firstLine="480"/>
        <w:rPr>
          <w:rStyle w:val="11"/>
          <w:rFonts w:ascii="Times New Roman" w:hAnsi="Times New Roman" w:eastAsia="宋体" w:cs="Times New Roman"/>
          <w:highlight w:val="white"/>
        </w:rPr>
      </w:pPr>
      <w:r>
        <w:rPr>
          <w:rStyle w:val="11"/>
          <w:rFonts w:hint="eastAsia" w:ascii="Times New Roman" w:hAnsi="Times New Roman" w:eastAsia="宋体" w:cs="Times New Roman"/>
          <w:color w:val="auto"/>
          <w:highlight w:val="white"/>
        </w:rPr>
        <w:t>（2）采用线下开具</w:t>
      </w:r>
      <w:r>
        <w:rPr>
          <w:rStyle w:val="11"/>
          <w:rFonts w:hint="eastAsia" w:ascii="Times New Roman" w:hAnsi="Times New Roman" w:eastAsia="宋体" w:cs="Times New Roman"/>
          <w:highlight w:val="white"/>
        </w:rPr>
        <w:t xml:space="preserve">的银行保函时，应由投标人的基本账户的银行出具保函，与银行查询授权书原件一并在投标截止时间前交招标人。 </w:t>
      </w:r>
    </w:p>
    <w:p>
      <w:pPr>
        <w:pStyle w:val="13"/>
        <w:rPr>
          <w:rStyle w:val="11"/>
          <w:rFonts w:ascii="黑体" w:hAnsi="黑体" w:eastAsia="黑体" w:cs="Times New Roman"/>
          <w:sz w:val="28"/>
          <w:szCs w:val="28"/>
          <w:highlight w:val="white"/>
        </w:rPr>
      </w:pPr>
      <w:r>
        <w:rPr>
          <w:rStyle w:val="11"/>
          <w:rFonts w:ascii="黑体" w:hAnsi="黑体" w:eastAsia="黑体" w:cs="Times New Roman"/>
          <w:sz w:val="28"/>
          <w:szCs w:val="28"/>
          <w:highlight w:val="white"/>
        </w:rPr>
        <w:t>6</w:t>
      </w:r>
      <w:r>
        <w:rPr>
          <w:rStyle w:val="11"/>
          <w:rFonts w:hint="eastAsia" w:ascii="黑体" w:hAnsi="黑体" w:eastAsia="黑体" w:cs="Times New Roman"/>
          <w:sz w:val="28"/>
          <w:szCs w:val="28"/>
          <w:highlight w:val="white"/>
        </w:rPr>
        <w:t>．评标办法</w:t>
      </w:r>
    </w:p>
    <w:p>
      <w:pPr>
        <w:pStyle w:val="14"/>
        <w:topLinePunct/>
        <w:spacing w:line="400" w:lineRule="atLeast"/>
        <w:ind w:firstLine="315" w:firstLineChars="150"/>
        <w:rPr>
          <w:rStyle w:val="11"/>
          <w:rFonts w:ascii="Times New Roman"/>
          <w:sz w:val="21"/>
          <w:szCs w:val="22"/>
          <w:highlight w:val="white"/>
        </w:rPr>
      </w:pPr>
      <w:r>
        <w:rPr>
          <w:rStyle w:val="11"/>
          <w:rFonts w:hint="eastAsia" w:ascii="Times New Roman"/>
          <w:sz w:val="21"/>
          <w:szCs w:val="22"/>
          <w:highlight w:val="white"/>
        </w:rPr>
        <w:t>本项目评标办法采用</w:t>
      </w:r>
      <w:bookmarkStart w:id="4" w:name="EBcc4b8e441a6343c5ba0af49c3c7d8405"/>
      <w:r>
        <w:rPr>
          <w:rStyle w:val="11"/>
          <w:rFonts w:hint="eastAsia" w:ascii="Times New Roman"/>
          <w:sz w:val="21"/>
          <w:szCs w:val="22"/>
          <w:highlight w:val="white"/>
          <w:u w:val="single"/>
        </w:rPr>
        <w:t>合理低价法</w:t>
      </w:r>
      <w:bookmarkEnd w:id="4"/>
      <w:r>
        <w:rPr>
          <w:rStyle w:val="11"/>
          <w:rFonts w:hint="eastAsia" w:ascii="Times New Roman"/>
          <w:sz w:val="21"/>
          <w:szCs w:val="22"/>
          <w:highlight w:val="white"/>
        </w:rPr>
        <w:t>。</w:t>
      </w:r>
    </w:p>
    <w:p>
      <w:pPr>
        <w:pStyle w:val="13"/>
        <w:rPr>
          <w:rStyle w:val="11"/>
          <w:rFonts w:ascii="黑体" w:hAnsi="黑体" w:eastAsia="黑体" w:cs="Times New Roman"/>
          <w:sz w:val="28"/>
          <w:szCs w:val="28"/>
          <w:highlight w:val="white"/>
        </w:rPr>
      </w:pPr>
      <w:r>
        <w:rPr>
          <w:rStyle w:val="11"/>
          <w:rFonts w:ascii="黑体" w:hAnsi="黑体" w:eastAsia="黑体" w:cs="Times New Roman"/>
          <w:sz w:val="28"/>
          <w:szCs w:val="28"/>
          <w:highlight w:val="white"/>
        </w:rPr>
        <w:t xml:space="preserve">7. </w:t>
      </w:r>
      <w:r>
        <w:rPr>
          <w:rStyle w:val="11"/>
          <w:rFonts w:hint="eastAsia" w:ascii="黑体" w:hAnsi="黑体" w:eastAsia="黑体" w:cs="Times New Roman"/>
          <w:sz w:val="28"/>
          <w:szCs w:val="28"/>
          <w:highlight w:val="white"/>
        </w:rPr>
        <w:t>随机分配标段</w:t>
      </w:r>
    </w:p>
    <w:p>
      <w:pPr>
        <w:pStyle w:val="13"/>
        <w:autoSpaceDE w:val="0"/>
        <w:autoSpaceDN w:val="0"/>
        <w:adjustRightInd w:val="0"/>
        <w:spacing w:line="400" w:lineRule="exact"/>
        <w:ind w:firstLine="480"/>
        <w:rPr>
          <w:rStyle w:val="11"/>
          <w:rFonts w:ascii="Times New Roman" w:hAnsi="Times New Roman" w:eastAsia="宋体" w:cs="Times New Roman"/>
          <w:highlight w:val="white"/>
        </w:rPr>
      </w:pPr>
      <w:r>
        <w:rPr>
          <w:rStyle w:val="11"/>
          <w:rFonts w:hint="eastAsia" w:ascii="Times New Roman" w:hAnsi="Times New Roman" w:eastAsia="宋体" w:cs="Times New Roman"/>
          <w:highlight w:val="white"/>
        </w:rPr>
        <w:t>本次招标只有一个标段，不适用。</w:t>
      </w:r>
    </w:p>
    <w:p>
      <w:pPr>
        <w:pStyle w:val="13"/>
        <w:rPr>
          <w:rStyle w:val="11"/>
          <w:rFonts w:ascii="黑体" w:hAnsi="黑体" w:eastAsia="黑体" w:cs="Times New Roman"/>
          <w:sz w:val="28"/>
          <w:szCs w:val="28"/>
          <w:highlight w:val="white"/>
        </w:rPr>
      </w:pPr>
      <w:r>
        <w:rPr>
          <w:rStyle w:val="11"/>
          <w:rFonts w:ascii="黑体" w:hAnsi="黑体" w:eastAsia="黑体" w:cs="Times New Roman"/>
          <w:sz w:val="28"/>
          <w:szCs w:val="28"/>
          <w:highlight w:val="white"/>
        </w:rPr>
        <w:t xml:space="preserve">8. </w:t>
      </w:r>
      <w:r>
        <w:rPr>
          <w:rStyle w:val="11"/>
          <w:rFonts w:hint="eastAsia" w:ascii="黑体" w:hAnsi="黑体" w:eastAsia="黑体" w:cs="Times New Roman"/>
          <w:sz w:val="28"/>
          <w:szCs w:val="28"/>
          <w:highlight w:val="white"/>
        </w:rPr>
        <w:t>发布公告的媒介</w:t>
      </w:r>
    </w:p>
    <w:p>
      <w:pPr>
        <w:pStyle w:val="14"/>
        <w:topLinePunct/>
        <w:spacing w:line="400" w:lineRule="atLeast"/>
        <w:ind w:firstLine="420" w:firstLineChars="200"/>
        <w:rPr>
          <w:rStyle w:val="11"/>
          <w:rFonts w:ascii="Times New Roman"/>
          <w:sz w:val="21"/>
          <w:szCs w:val="22"/>
          <w:highlight w:val="white"/>
        </w:rPr>
      </w:pPr>
      <w:r>
        <w:rPr>
          <w:rStyle w:val="11"/>
          <w:rFonts w:hint="eastAsia" w:ascii="Times New Roman"/>
          <w:sz w:val="21"/>
          <w:szCs w:val="22"/>
          <w:highlight w:val="white"/>
        </w:rPr>
        <w:t>本次招标公告同时在湖南省招标投标监管网(http://bidding.fgw.hunan.gov.cn/)，湖南省交通运输厅网站（http://jtt.hunan.gov.cn/）、湖南省公共资源交易网(http://ggzy.hunan.gov.cn/)、上发布。</w:t>
      </w:r>
    </w:p>
    <w:p>
      <w:pPr>
        <w:pStyle w:val="13"/>
        <w:rPr>
          <w:rStyle w:val="11"/>
          <w:rFonts w:ascii="黑体" w:hAnsi="黑体" w:eastAsia="黑体" w:cs="Times New Roman"/>
          <w:sz w:val="28"/>
          <w:szCs w:val="28"/>
          <w:highlight w:val="white"/>
        </w:rPr>
      </w:pPr>
      <w:r>
        <w:rPr>
          <w:rStyle w:val="11"/>
          <w:rFonts w:ascii="黑体" w:hAnsi="黑体" w:eastAsia="黑体" w:cs="Times New Roman"/>
          <w:sz w:val="28"/>
          <w:szCs w:val="28"/>
          <w:highlight w:val="white"/>
        </w:rPr>
        <w:t xml:space="preserve">9. </w:t>
      </w:r>
      <w:r>
        <w:rPr>
          <w:rStyle w:val="11"/>
          <w:rFonts w:hint="eastAsia" w:ascii="黑体" w:hAnsi="黑体" w:eastAsia="黑体" w:cs="Times New Roman"/>
          <w:sz w:val="28"/>
          <w:szCs w:val="28"/>
          <w:highlight w:val="white"/>
        </w:rPr>
        <w:t>附件</w:t>
      </w:r>
    </w:p>
    <w:p>
      <w:pPr>
        <w:pStyle w:val="14"/>
        <w:widowControl/>
        <w:shd w:val="clear" w:color="auto" w:fill="FFFFFF"/>
        <w:topLinePunct/>
        <w:spacing w:line="400" w:lineRule="atLeast"/>
        <w:ind w:firstLine="420" w:firstLineChars="200"/>
        <w:rPr>
          <w:rStyle w:val="11"/>
          <w:rFonts w:ascii="Times New Roman" w:hAnsi="宋体" w:cs="宋体"/>
          <w:color w:val="000000"/>
          <w:sz w:val="21"/>
          <w:szCs w:val="22"/>
          <w:highlight w:val="white"/>
        </w:rPr>
      </w:pPr>
      <w:r>
        <w:rPr>
          <w:rStyle w:val="11"/>
          <w:rFonts w:hint="eastAsia" w:ascii="Times New Roman" w:hAnsi="宋体" w:cs="黑体"/>
          <w:color w:val="000000"/>
          <w:sz w:val="21"/>
          <w:szCs w:val="22"/>
          <w:highlight w:val="white"/>
          <w:shd w:val="clear" w:color="auto" w:fill="FFFFFF"/>
        </w:rPr>
        <w:t>附件</w:t>
      </w:r>
      <w:r>
        <w:rPr>
          <w:rStyle w:val="11"/>
          <w:rFonts w:hint="eastAsia" w:ascii="Times New Roman" w:hAnsi="宋体" w:cs="宋体"/>
          <w:color w:val="000000"/>
          <w:sz w:val="21"/>
          <w:szCs w:val="22"/>
          <w:highlight w:val="white"/>
          <w:shd w:val="clear" w:color="auto" w:fill="FFFFFF"/>
        </w:rPr>
        <w:t>1</w:t>
      </w:r>
      <w:r>
        <w:rPr>
          <w:rStyle w:val="11"/>
          <w:rFonts w:hint="eastAsia" w:ascii="Times New Roman" w:hAnsi="宋体" w:cs="黑体"/>
          <w:color w:val="000000"/>
          <w:sz w:val="21"/>
          <w:szCs w:val="22"/>
          <w:highlight w:val="white"/>
          <w:shd w:val="clear" w:color="auto" w:fill="FFFFFF"/>
        </w:rPr>
        <w:t>：资格审查条件要求（附</w:t>
      </w:r>
      <w:r>
        <w:rPr>
          <w:rStyle w:val="11"/>
          <w:rFonts w:hint="eastAsia" w:ascii="Times New Roman" w:hAnsi="宋体" w:cs="宋体"/>
          <w:color w:val="000000"/>
          <w:sz w:val="21"/>
          <w:szCs w:val="22"/>
          <w:highlight w:val="white"/>
          <w:shd w:val="clear" w:color="auto" w:fill="FFFFFF"/>
        </w:rPr>
        <w:t> </w:t>
      </w:r>
      <w:r>
        <w:rPr>
          <w:rStyle w:val="11"/>
          <w:rFonts w:hint="eastAsia" w:ascii="Times New Roman" w:hAnsi="宋体" w:cs="黑体"/>
          <w:color w:val="000000"/>
          <w:sz w:val="21"/>
          <w:szCs w:val="22"/>
          <w:highlight w:val="white"/>
          <w:shd w:val="clear" w:color="auto" w:fill="FFFFFF"/>
        </w:rPr>
        <w:t>投标人须知之附录）</w:t>
      </w:r>
      <w:bookmarkStart w:id="20" w:name="_GoBack"/>
      <w:bookmarkEnd w:id="20"/>
    </w:p>
    <w:p>
      <w:pPr>
        <w:pStyle w:val="14"/>
        <w:widowControl/>
        <w:shd w:val="clear" w:color="auto" w:fill="FFFFFF"/>
        <w:topLinePunct/>
        <w:spacing w:line="400" w:lineRule="atLeast"/>
        <w:ind w:firstLine="420" w:firstLineChars="200"/>
        <w:rPr>
          <w:rStyle w:val="11"/>
          <w:rFonts w:ascii="Times New Roman" w:hAnsi="宋体" w:cs="宋体"/>
          <w:color w:val="000000"/>
          <w:sz w:val="21"/>
          <w:szCs w:val="22"/>
          <w:highlight w:val="white"/>
        </w:rPr>
      </w:pPr>
      <w:r>
        <w:rPr>
          <w:rStyle w:val="11"/>
          <w:rFonts w:hint="eastAsia" w:ascii="Times New Roman" w:hAnsi="宋体" w:cs="黑体"/>
          <w:color w:val="000000"/>
          <w:sz w:val="21"/>
          <w:szCs w:val="22"/>
          <w:highlight w:val="white"/>
          <w:shd w:val="clear" w:color="auto" w:fill="FFFFFF"/>
        </w:rPr>
        <w:t>附件</w:t>
      </w:r>
      <w:r>
        <w:rPr>
          <w:rStyle w:val="11"/>
          <w:rFonts w:hint="eastAsia" w:ascii="Times New Roman" w:hAnsi="宋体" w:cs="宋体"/>
          <w:color w:val="000000"/>
          <w:sz w:val="21"/>
          <w:szCs w:val="22"/>
          <w:highlight w:val="white"/>
          <w:shd w:val="clear" w:color="auto" w:fill="FFFFFF"/>
        </w:rPr>
        <w:t>2</w:t>
      </w:r>
      <w:r>
        <w:rPr>
          <w:rStyle w:val="11"/>
          <w:rFonts w:hint="eastAsia" w:ascii="Times New Roman" w:hAnsi="宋体" w:cs="黑体"/>
          <w:color w:val="000000"/>
          <w:sz w:val="21"/>
          <w:szCs w:val="22"/>
          <w:highlight w:val="white"/>
          <w:shd w:val="clear" w:color="auto" w:fill="FFFFFF"/>
        </w:rPr>
        <w:t>：评标办法：</w:t>
      </w:r>
      <w:r>
        <w:rPr>
          <w:rStyle w:val="11"/>
          <w:rFonts w:hint="eastAsia" w:ascii="Times New Roman" w:hAnsi="宋体" w:cs="宋体"/>
          <w:color w:val="000000"/>
          <w:sz w:val="21"/>
          <w:szCs w:val="22"/>
          <w:highlight w:val="white"/>
          <w:shd w:val="clear" w:color="auto" w:fill="FFFFFF"/>
        </w:rPr>
        <w:t>(</w:t>
      </w:r>
      <w:r>
        <w:rPr>
          <w:rStyle w:val="11"/>
          <w:rFonts w:hint="eastAsia" w:ascii="Times New Roman" w:hAnsi="宋体" w:cs="黑体"/>
          <w:color w:val="000000"/>
          <w:sz w:val="21"/>
          <w:szCs w:val="22"/>
          <w:highlight w:val="white"/>
          <w:shd w:val="clear" w:color="auto" w:fill="FFFFFF"/>
        </w:rPr>
        <w:t>附</w:t>
      </w:r>
      <w:r>
        <w:rPr>
          <w:rStyle w:val="11"/>
          <w:rFonts w:hint="eastAsia" w:ascii="Times New Roman" w:hAnsi="宋体" w:cs="宋体"/>
          <w:color w:val="000000"/>
          <w:sz w:val="21"/>
          <w:szCs w:val="22"/>
          <w:highlight w:val="white"/>
          <w:shd w:val="clear" w:color="auto" w:fill="FFFFFF"/>
        </w:rPr>
        <w:t> </w:t>
      </w:r>
      <w:r>
        <w:rPr>
          <w:rStyle w:val="11"/>
          <w:rFonts w:hint="eastAsia" w:ascii="Times New Roman" w:hAnsi="宋体" w:cs="黑体"/>
          <w:color w:val="000000"/>
          <w:sz w:val="21"/>
          <w:szCs w:val="22"/>
          <w:highlight w:val="white"/>
          <w:shd w:val="clear" w:color="auto" w:fill="FFFFFF"/>
        </w:rPr>
        <w:t>第三章</w:t>
      </w:r>
      <w:r>
        <w:rPr>
          <w:rStyle w:val="11"/>
          <w:rFonts w:hint="eastAsia" w:ascii="Times New Roman" w:hAnsi="宋体" w:cs="宋体"/>
          <w:color w:val="000000"/>
          <w:sz w:val="21"/>
          <w:szCs w:val="22"/>
          <w:highlight w:val="white"/>
          <w:shd w:val="clear" w:color="auto" w:fill="FFFFFF"/>
        </w:rPr>
        <w:t> </w:t>
      </w:r>
      <w:r>
        <w:rPr>
          <w:rStyle w:val="11"/>
          <w:rFonts w:hint="eastAsia" w:ascii="Times New Roman" w:hAnsi="宋体" w:cs="黑体"/>
          <w:color w:val="000000"/>
          <w:sz w:val="21"/>
          <w:szCs w:val="22"/>
          <w:highlight w:val="white"/>
          <w:shd w:val="clear" w:color="auto" w:fill="FFFFFF"/>
        </w:rPr>
        <w:t>评标办法全文</w:t>
      </w:r>
      <w:r>
        <w:rPr>
          <w:rStyle w:val="11"/>
          <w:rFonts w:hint="eastAsia" w:ascii="Times New Roman" w:hAnsi="宋体" w:cs="宋体"/>
          <w:color w:val="000000"/>
          <w:sz w:val="21"/>
          <w:szCs w:val="22"/>
          <w:highlight w:val="white"/>
          <w:shd w:val="clear" w:color="auto" w:fill="FFFFFF"/>
        </w:rPr>
        <w:t>)</w:t>
      </w:r>
    </w:p>
    <w:p>
      <w:pPr>
        <w:pStyle w:val="14"/>
        <w:widowControl/>
        <w:shd w:val="clear" w:color="auto" w:fill="FFFFFF"/>
        <w:topLinePunct/>
        <w:spacing w:line="400" w:lineRule="atLeast"/>
        <w:ind w:firstLine="420" w:firstLineChars="200"/>
        <w:rPr>
          <w:rStyle w:val="11"/>
          <w:rFonts w:ascii="Times New Roman" w:hAnsi="宋体" w:cs="宋体"/>
          <w:color w:val="000000"/>
          <w:sz w:val="21"/>
          <w:szCs w:val="22"/>
          <w:highlight w:val="white"/>
        </w:rPr>
      </w:pPr>
      <w:r>
        <w:rPr>
          <w:rStyle w:val="11"/>
          <w:rFonts w:hint="eastAsia" w:ascii="Times New Roman" w:hAnsi="宋体" w:cs="黑体"/>
          <w:color w:val="000000"/>
          <w:sz w:val="21"/>
          <w:szCs w:val="22"/>
          <w:highlight w:val="white"/>
          <w:shd w:val="clear" w:color="auto" w:fill="FFFFFF"/>
        </w:rPr>
        <w:t>附件</w:t>
      </w:r>
      <w:r>
        <w:rPr>
          <w:rStyle w:val="11"/>
          <w:rFonts w:hint="eastAsia" w:ascii="Times New Roman" w:hAnsi="宋体" w:cs="宋体"/>
          <w:color w:val="000000"/>
          <w:sz w:val="21"/>
          <w:szCs w:val="22"/>
          <w:highlight w:val="white"/>
          <w:shd w:val="clear" w:color="auto" w:fill="FFFFFF"/>
        </w:rPr>
        <w:t>3</w:t>
      </w:r>
      <w:r>
        <w:rPr>
          <w:rStyle w:val="11"/>
          <w:rFonts w:hint="eastAsia" w:ascii="Times New Roman" w:hAnsi="宋体" w:cs="黑体"/>
          <w:color w:val="000000"/>
          <w:sz w:val="21"/>
          <w:szCs w:val="22"/>
          <w:highlight w:val="white"/>
          <w:shd w:val="clear" w:color="auto" w:fill="FFFFFF"/>
        </w:rPr>
        <w:t>：项目概况</w:t>
      </w:r>
    </w:p>
    <w:p>
      <w:pPr>
        <w:pStyle w:val="13"/>
        <w:rPr>
          <w:rStyle w:val="11"/>
          <w:rFonts w:ascii="黑体" w:hAnsi="黑体" w:eastAsia="黑体" w:cs="Times New Roman"/>
          <w:sz w:val="28"/>
          <w:szCs w:val="28"/>
          <w:highlight w:val="white"/>
        </w:rPr>
      </w:pPr>
      <w:r>
        <w:rPr>
          <w:rStyle w:val="11"/>
          <w:rFonts w:ascii="黑体" w:hAnsi="黑体" w:eastAsia="黑体" w:cs="Times New Roman"/>
          <w:sz w:val="28"/>
          <w:szCs w:val="28"/>
          <w:highlight w:val="white"/>
        </w:rPr>
        <w:t xml:space="preserve">10. </w:t>
      </w:r>
      <w:r>
        <w:rPr>
          <w:rStyle w:val="11"/>
          <w:rFonts w:hint="eastAsia" w:ascii="黑体" w:hAnsi="黑体" w:eastAsia="黑体" w:cs="Times New Roman"/>
          <w:sz w:val="28"/>
          <w:szCs w:val="28"/>
          <w:highlight w:val="white"/>
        </w:rPr>
        <w:t>联系方式</w:t>
      </w:r>
    </w:p>
    <w:p>
      <w:pPr>
        <w:pStyle w:val="13"/>
        <w:adjustRightInd w:val="0"/>
        <w:snapToGrid w:val="0"/>
        <w:spacing w:line="400" w:lineRule="exact"/>
        <w:ind w:firstLine="415" w:firstLineChars="198"/>
        <w:rPr>
          <w:rStyle w:val="11"/>
          <w:rFonts w:ascii="宋体" w:eastAsia="宋体" w:cs="Times New Roman"/>
          <w:szCs w:val="21"/>
        </w:rPr>
      </w:pPr>
      <w:r>
        <w:rPr>
          <w:rStyle w:val="11"/>
          <w:rFonts w:ascii="宋体" w:eastAsia="宋体" w:cs="Times New Roman"/>
          <w:szCs w:val="21"/>
        </w:rPr>
        <w:t>招 标 人：</w:t>
      </w:r>
      <w:r>
        <w:rPr>
          <w:rStyle w:val="11"/>
          <w:rFonts w:hint="eastAsia" w:ascii="宋体" w:eastAsia="宋体" w:cs="Times New Roman"/>
          <w:szCs w:val="21"/>
        </w:rPr>
        <w:t>湖南投资集团股份有限公司绕城公路西南段分公司</w:t>
      </w:r>
    </w:p>
    <w:p>
      <w:pPr>
        <w:pStyle w:val="13"/>
        <w:tabs>
          <w:tab w:val="left" w:pos="1695"/>
        </w:tabs>
        <w:spacing w:line="480" w:lineRule="exact"/>
        <w:ind w:firstLine="420" w:firstLineChars="200"/>
        <w:rPr>
          <w:rStyle w:val="11"/>
          <w:rFonts w:eastAsia="宋体" w:cs="Times New Roman"/>
          <w:szCs w:val="21"/>
        </w:rPr>
      </w:pPr>
      <w:r>
        <w:rPr>
          <w:rStyle w:val="11"/>
          <w:rFonts w:hint="eastAsia" w:eastAsia="宋体" w:cs="Times New Roman"/>
          <w:szCs w:val="21"/>
        </w:rPr>
        <w:t>地    址：湖南省长沙市岳麓区黄花塘镇黄花塘收费站旁</w:t>
      </w:r>
    </w:p>
    <w:p>
      <w:pPr>
        <w:pStyle w:val="13"/>
        <w:tabs>
          <w:tab w:val="left" w:pos="1695"/>
        </w:tabs>
        <w:spacing w:line="480" w:lineRule="exact"/>
        <w:ind w:firstLine="420" w:firstLineChars="200"/>
        <w:rPr>
          <w:rStyle w:val="11"/>
          <w:rFonts w:eastAsia="宋体" w:cs="Times New Roman"/>
          <w:szCs w:val="21"/>
        </w:rPr>
      </w:pPr>
      <w:r>
        <w:rPr>
          <w:rStyle w:val="11"/>
          <w:rFonts w:hint="eastAsia" w:eastAsia="宋体" w:cs="Times New Roman"/>
          <w:szCs w:val="21"/>
        </w:rPr>
        <w:t xml:space="preserve">邮 编：410100 </w:t>
      </w:r>
    </w:p>
    <w:p>
      <w:pPr>
        <w:pStyle w:val="13"/>
        <w:tabs>
          <w:tab w:val="left" w:pos="1695"/>
        </w:tabs>
        <w:spacing w:line="480" w:lineRule="exact"/>
        <w:ind w:firstLine="420" w:firstLineChars="200"/>
        <w:rPr>
          <w:rStyle w:val="11"/>
          <w:rFonts w:eastAsia="宋体" w:cs="Times New Roman"/>
          <w:szCs w:val="21"/>
        </w:rPr>
      </w:pPr>
      <w:r>
        <w:rPr>
          <w:rStyle w:val="11"/>
          <w:rFonts w:hint="eastAsia" w:eastAsia="宋体" w:cs="Times New Roman"/>
          <w:szCs w:val="21"/>
        </w:rPr>
        <w:t>联 系 人：饶先生</w:t>
      </w:r>
    </w:p>
    <w:p>
      <w:pPr>
        <w:pStyle w:val="13"/>
        <w:tabs>
          <w:tab w:val="left" w:pos="1695"/>
        </w:tabs>
        <w:spacing w:line="480" w:lineRule="exact"/>
        <w:ind w:firstLine="420" w:firstLineChars="200"/>
        <w:rPr>
          <w:rStyle w:val="11"/>
          <w:rFonts w:hint="default" w:eastAsia="宋体" w:cs="Times New Roman"/>
          <w:szCs w:val="21"/>
          <w:highlight w:val="none"/>
          <w:lang w:val="en-US" w:eastAsia="zh-CN"/>
        </w:rPr>
      </w:pPr>
      <w:r>
        <w:rPr>
          <w:rStyle w:val="11"/>
          <w:rFonts w:hint="eastAsia" w:eastAsia="宋体" w:cs="Times New Roman"/>
          <w:szCs w:val="21"/>
          <w:highlight w:val="none"/>
        </w:rPr>
        <w:t>电    话：</w:t>
      </w:r>
      <w:r>
        <w:rPr>
          <w:rStyle w:val="11"/>
          <w:rFonts w:hint="eastAsia" w:ascii="宋体" w:hAnsi="宋体" w:eastAsia="宋体" w:cs="宋体"/>
          <w:szCs w:val="21"/>
          <w:highlight w:val="none"/>
          <w:lang w:val="en-US" w:eastAsia="zh-CN"/>
        </w:rPr>
        <w:t>0731-</w:t>
      </w:r>
      <w:r>
        <w:rPr>
          <w:rStyle w:val="11"/>
          <w:rFonts w:hint="eastAsia" w:ascii="宋体" w:hAnsi="宋体" w:eastAsia="宋体" w:cs="宋体"/>
          <w:szCs w:val="21"/>
          <w:highlight w:val="none"/>
        </w:rPr>
        <w:t>88508951</w:t>
      </w:r>
    </w:p>
    <w:p>
      <w:pPr>
        <w:pStyle w:val="13"/>
        <w:tabs>
          <w:tab w:val="left" w:pos="1695"/>
        </w:tabs>
        <w:spacing w:line="480" w:lineRule="exact"/>
        <w:ind w:firstLine="420" w:firstLineChars="200"/>
        <w:rPr>
          <w:rStyle w:val="11"/>
          <w:rFonts w:eastAsia="宋体" w:cs="Times New Roman"/>
          <w:szCs w:val="21"/>
        </w:rPr>
      </w:pPr>
      <w:r>
        <w:rPr>
          <w:rStyle w:val="11"/>
          <w:rFonts w:eastAsia="宋体" w:cs="Times New Roman"/>
          <w:szCs w:val="21"/>
        </w:rPr>
        <w:t>招标代理机构：</w:t>
      </w:r>
      <w:r>
        <w:rPr>
          <w:rStyle w:val="11"/>
          <w:rFonts w:hint="eastAsia" w:eastAsia="宋体" w:cs="Times New Roman"/>
          <w:szCs w:val="21"/>
        </w:rPr>
        <w:t>中技建设咨询有限公司</w:t>
      </w:r>
    </w:p>
    <w:p>
      <w:pPr>
        <w:pStyle w:val="13"/>
        <w:spacing w:line="480" w:lineRule="exact"/>
        <w:ind w:firstLine="420" w:firstLineChars="200"/>
        <w:rPr>
          <w:rStyle w:val="11"/>
          <w:rFonts w:ascii="宋体" w:hAnsi="宋体" w:eastAsia="宋体" w:cs="Times New Roman"/>
          <w:szCs w:val="21"/>
        </w:rPr>
      </w:pPr>
      <w:r>
        <w:rPr>
          <w:rStyle w:val="11"/>
          <w:rFonts w:hint="eastAsia" w:ascii="宋体" w:hAnsi="宋体" w:eastAsia="宋体" w:cs="Times New Roman"/>
          <w:szCs w:val="21"/>
        </w:rPr>
        <w:t>地    址：长沙市湘府中路117号高升金典商务中心12楼</w:t>
      </w:r>
    </w:p>
    <w:p>
      <w:pPr>
        <w:pStyle w:val="13"/>
        <w:spacing w:line="440" w:lineRule="exact"/>
        <w:ind w:firstLine="420" w:firstLineChars="200"/>
        <w:rPr>
          <w:rStyle w:val="11"/>
          <w:rFonts w:ascii="宋体" w:hAnsi="宋体" w:eastAsia="宋体" w:cs="Times New Roman"/>
          <w:szCs w:val="21"/>
        </w:rPr>
      </w:pPr>
      <w:r>
        <w:rPr>
          <w:rStyle w:val="11"/>
          <w:rFonts w:hint="eastAsia" w:ascii="宋体" w:hAnsi="宋体" w:eastAsia="宋体" w:cs="Times New Roman"/>
          <w:szCs w:val="21"/>
        </w:rPr>
        <w:t>邮    编：410011</w:t>
      </w:r>
    </w:p>
    <w:p>
      <w:pPr>
        <w:pStyle w:val="13"/>
        <w:spacing w:line="480" w:lineRule="exact"/>
        <w:ind w:firstLine="420" w:firstLineChars="200"/>
        <w:rPr>
          <w:rStyle w:val="11"/>
          <w:rFonts w:ascii="宋体" w:hAnsi="宋体" w:eastAsia="宋体" w:cs="Times New Roman"/>
          <w:szCs w:val="21"/>
        </w:rPr>
      </w:pPr>
      <w:r>
        <w:rPr>
          <w:rStyle w:val="11"/>
          <w:rFonts w:hint="eastAsia" w:ascii="宋体" w:hAnsi="宋体" w:eastAsia="宋体" w:cs="Times New Roman"/>
          <w:szCs w:val="21"/>
        </w:rPr>
        <w:t>联 系 人：何凯</w:t>
      </w:r>
      <w:r>
        <w:rPr>
          <w:rStyle w:val="11"/>
          <w:rFonts w:hint="eastAsia" w:ascii="宋体" w:hAnsi="宋体" w:eastAsia="宋体" w:cs="Times New Roman"/>
          <w:szCs w:val="21"/>
          <w:lang w:eastAsia="zh-CN"/>
        </w:rPr>
        <w:t>（</w:t>
      </w:r>
      <w:r>
        <w:rPr>
          <w:rStyle w:val="11"/>
          <w:rFonts w:hint="eastAsia" w:ascii="宋体" w:hAnsi="宋体" w:eastAsia="宋体" w:cs="Times New Roman"/>
          <w:szCs w:val="21"/>
          <w:lang w:val="en-US" w:eastAsia="zh-CN"/>
        </w:rPr>
        <w:t>项目负责人</w:t>
      </w:r>
      <w:r>
        <w:rPr>
          <w:rStyle w:val="11"/>
          <w:rFonts w:hint="eastAsia" w:ascii="宋体" w:hAnsi="宋体" w:eastAsia="宋体" w:cs="Times New Roman"/>
          <w:szCs w:val="21"/>
          <w:lang w:eastAsia="zh-CN"/>
        </w:rPr>
        <w:t>）</w:t>
      </w:r>
      <w:r>
        <w:rPr>
          <w:rStyle w:val="11"/>
          <w:rFonts w:hint="eastAsia" w:ascii="宋体" w:hAnsi="宋体" w:eastAsia="宋体" w:cs="Times New Roman"/>
          <w:szCs w:val="21"/>
        </w:rPr>
        <w:t>、曹丽、戴芳丽</w:t>
      </w:r>
    </w:p>
    <w:p>
      <w:pPr>
        <w:pStyle w:val="13"/>
        <w:spacing w:line="480" w:lineRule="exact"/>
        <w:ind w:firstLine="420" w:firstLineChars="200"/>
        <w:rPr>
          <w:rStyle w:val="11"/>
          <w:rFonts w:ascii="宋体" w:hAnsi="宋体" w:eastAsia="宋体" w:cs="Times New Roman"/>
          <w:szCs w:val="21"/>
        </w:rPr>
      </w:pPr>
      <w:r>
        <w:rPr>
          <w:rStyle w:val="11"/>
          <w:rFonts w:hint="eastAsia" w:ascii="宋体" w:hAnsi="宋体" w:eastAsia="宋体" w:cs="Times New Roman"/>
          <w:szCs w:val="21"/>
        </w:rPr>
        <w:t xml:space="preserve">电    话：0731-84159030 </w:t>
      </w:r>
    </w:p>
    <w:p>
      <w:pPr>
        <w:pStyle w:val="13"/>
        <w:spacing w:line="480" w:lineRule="exact"/>
        <w:ind w:firstLine="420" w:firstLineChars="200"/>
        <w:rPr>
          <w:rStyle w:val="11"/>
          <w:rFonts w:ascii="宋体" w:hAnsi="宋体" w:eastAsia="宋体" w:cs="Times New Roman"/>
          <w:szCs w:val="21"/>
        </w:rPr>
      </w:pPr>
      <w:r>
        <w:rPr>
          <w:rStyle w:val="11"/>
          <w:rFonts w:hint="eastAsia" w:ascii="宋体" w:hAnsi="宋体" w:eastAsia="宋体" w:cs="Times New Roman"/>
          <w:szCs w:val="21"/>
        </w:rPr>
        <w:t>监督部门：</w:t>
      </w:r>
      <w:bookmarkStart w:id="5" w:name="EB19d5acd89dd44270ab098d4c18b19d55"/>
      <w:r>
        <w:rPr>
          <w:rStyle w:val="11"/>
          <w:rFonts w:hint="eastAsia" w:ascii="宋体" w:hAnsi="宋体" w:eastAsia="宋体" w:cs="Times New Roman"/>
          <w:szCs w:val="21"/>
        </w:rPr>
        <w:t>湖南省交通运输厅</w:t>
      </w:r>
      <w:bookmarkEnd w:id="5"/>
    </w:p>
    <w:p>
      <w:pPr>
        <w:pStyle w:val="13"/>
        <w:spacing w:line="480" w:lineRule="exact"/>
        <w:ind w:firstLine="420" w:firstLineChars="200"/>
        <w:rPr>
          <w:rStyle w:val="11"/>
          <w:rFonts w:ascii="宋体" w:hAnsi="宋体" w:eastAsia="宋体" w:cs="Times New Roman"/>
          <w:szCs w:val="21"/>
        </w:rPr>
      </w:pPr>
      <w:r>
        <w:rPr>
          <w:rStyle w:val="11"/>
          <w:rFonts w:hint="eastAsia" w:ascii="宋体" w:hAnsi="宋体" w:eastAsia="宋体" w:cs="Times New Roman"/>
          <w:szCs w:val="21"/>
        </w:rPr>
        <w:t>地    址：</w:t>
      </w:r>
      <w:bookmarkStart w:id="6" w:name="EBf2db4cc3b404482e84dedabc3898d2c2"/>
      <w:r>
        <w:rPr>
          <w:rStyle w:val="11"/>
          <w:rFonts w:hint="eastAsia" w:ascii="宋体" w:hAnsi="宋体" w:eastAsia="宋体" w:cs="Times New Roman"/>
          <w:szCs w:val="21"/>
        </w:rPr>
        <w:t>长沙市湘府西路199号</w:t>
      </w:r>
      <w:bookmarkEnd w:id="6"/>
    </w:p>
    <w:p>
      <w:pPr>
        <w:pStyle w:val="13"/>
        <w:spacing w:line="480" w:lineRule="exact"/>
        <w:ind w:firstLine="420" w:firstLineChars="200"/>
        <w:rPr>
          <w:rStyle w:val="11"/>
          <w:rFonts w:ascii="宋体" w:hAnsi="宋体" w:eastAsia="宋体" w:cs="Times New Roman"/>
          <w:szCs w:val="21"/>
        </w:rPr>
      </w:pPr>
      <w:r>
        <w:rPr>
          <w:rStyle w:val="11"/>
          <w:rFonts w:hint="eastAsia" w:ascii="宋体" w:hAnsi="宋体" w:eastAsia="宋体" w:cs="Times New Roman"/>
          <w:szCs w:val="21"/>
        </w:rPr>
        <w:t xml:space="preserve">电    话：0731-88770095（基本建设处） </w:t>
      </w:r>
    </w:p>
    <w:p>
      <w:pPr>
        <w:pStyle w:val="13"/>
        <w:spacing w:line="480" w:lineRule="exact"/>
        <w:ind w:firstLine="420" w:firstLineChars="200"/>
        <w:rPr>
          <w:rStyle w:val="11"/>
          <w:rFonts w:ascii="宋体" w:hAnsi="宋体" w:eastAsia="宋体" w:cs="Times New Roman"/>
          <w:szCs w:val="21"/>
        </w:rPr>
      </w:pPr>
      <w:r>
        <w:rPr>
          <w:rStyle w:val="11"/>
          <w:rFonts w:hint="eastAsia" w:ascii="宋体" w:hAnsi="宋体" w:eastAsia="宋体" w:cs="Times New Roman"/>
          <w:szCs w:val="21"/>
        </w:rPr>
        <w:t>邮政编码：</w:t>
      </w:r>
      <w:bookmarkStart w:id="7" w:name="EBc3eb0fa0b67f41a6b774d31e6acae821"/>
      <w:r>
        <w:rPr>
          <w:rStyle w:val="11"/>
          <w:rFonts w:hint="eastAsia" w:ascii="宋体" w:hAnsi="宋体" w:eastAsia="宋体" w:cs="Times New Roman"/>
          <w:szCs w:val="21"/>
        </w:rPr>
        <w:t>410004</w:t>
      </w:r>
      <w:bookmarkEnd w:id="7"/>
    </w:p>
    <w:p>
      <w:pPr>
        <w:pStyle w:val="21"/>
        <w:topLinePunct/>
        <w:spacing w:line="400" w:lineRule="atLeast"/>
        <w:jc w:val="right"/>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lang w:val="en-US" w:eastAsia="zh-CN"/>
        </w:rPr>
        <w:t>2023</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pStyle w:val="13"/>
        <w:jc w:val="center"/>
        <w:rPr>
          <w:rStyle w:val="11"/>
          <w:rFonts w:hint="eastAsia" w:ascii="黑体" w:hAnsi="黑体" w:eastAsia="黑体" w:cs="Times New Roman"/>
          <w:sz w:val="28"/>
          <w:szCs w:val="28"/>
          <w:highlight w:val="white"/>
        </w:rPr>
        <w:sectPr>
          <w:headerReference r:id="rId4" w:type="even"/>
          <w:footerReference r:id="rId5" w:type="even"/>
          <w:footnotePr>
            <w:numFmt w:val="decimalEnclosedCircleChinese"/>
            <w:numRestart w:val="eachPage"/>
          </w:footnotePr>
          <w:pgSz w:w="11907" w:h="16840"/>
          <w:pgMar w:top="1588" w:right="1531" w:bottom="1644" w:left="1588" w:header="851" w:footer="851" w:gutter="0"/>
          <w:cols w:space="425" w:num="1"/>
          <w:docGrid w:linePitch="312" w:charSpace="0"/>
        </w:sectPr>
      </w:pPr>
    </w:p>
    <w:p>
      <w:pPr>
        <w:pStyle w:val="14"/>
        <w:widowControl/>
        <w:shd w:val="clear" w:color="auto" w:fill="FFFFFF"/>
        <w:topLinePunct/>
        <w:spacing w:line="400" w:lineRule="atLeast"/>
        <w:ind w:firstLine="422" w:firstLineChars="200"/>
        <w:jc w:val="center"/>
        <w:rPr>
          <w:rStyle w:val="11"/>
          <w:rFonts w:ascii="Times New Roman" w:hAnsi="宋体" w:cs="宋体"/>
          <w:b/>
          <w:bCs/>
          <w:color w:val="000000"/>
          <w:sz w:val="21"/>
          <w:szCs w:val="22"/>
          <w:highlight w:val="white"/>
        </w:rPr>
      </w:pPr>
      <w:r>
        <w:rPr>
          <w:rStyle w:val="11"/>
          <w:rFonts w:hint="eastAsia" w:ascii="Times New Roman" w:hAnsi="宋体" w:cs="黑体"/>
          <w:b/>
          <w:bCs/>
          <w:color w:val="000000"/>
          <w:sz w:val="21"/>
          <w:szCs w:val="22"/>
          <w:highlight w:val="white"/>
          <w:shd w:val="clear" w:color="auto" w:fill="FFFFFF"/>
        </w:rPr>
        <w:t>附件</w:t>
      </w:r>
      <w:r>
        <w:rPr>
          <w:rStyle w:val="11"/>
          <w:rFonts w:hint="eastAsia" w:ascii="Times New Roman" w:hAnsi="宋体" w:cs="宋体"/>
          <w:b/>
          <w:bCs/>
          <w:color w:val="000000"/>
          <w:sz w:val="21"/>
          <w:szCs w:val="22"/>
          <w:highlight w:val="white"/>
          <w:shd w:val="clear" w:color="auto" w:fill="FFFFFF"/>
        </w:rPr>
        <w:t>1</w:t>
      </w:r>
      <w:r>
        <w:rPr>
          <w:rStyle w:val="11"/>
          <w:rFonts w:hint="eastAsia" w:ascii="Times New Roman" w:hAnsi="宋体" w:cs="黑体"/>
          <w:b/>
          <w:bCs/>
          <w:color w:val="000000"/>
          <w:sz w:val="21"/>
          <w:szCs w:val="22"/>
          <w:highlight w:val="white"/>
          <w:shd w:val="clear" w:color="auto" w:fill="FFFFFF"/>
        </w:rPr>
        <w:t>：资格审查条件要求（附</w:t>
      </w:r>
      <w:r>
        <w:rPr>
          <w:rStyle w:val="11"/>
          <w:rFonts w:hint="eastAsia" w:ascii="Times New Roman" w:hAnsi="宋体" w:cs="宋体"/>
          <w:b/>
          <w:bCs/>
          <w:color w:val="000000"/>
          <w:sz w:val="21"/>
          <w:szCs w:val="22"/>
          <w:highlight w:val="white"/>
          <w:shd w:val="clear" w:color="auto" w:fill="FFFFFF"/>
        </w:rPr>
        <w:t> </w:t>
      </w:r>
      <w:r>
        <w:rPr>
          <w:rStyle w:val="11"/>
          <w:rFonts w:hint="eastAsia" w:ascii="Times New Roman" w:hAnsi="宋体" w:cs="黑体"/>
          <w:b/>
          <w:bCs/>
          <w:color w:val="000000"/>
          <w:sz w:val="21"/>
          <w:szCs w:val="22"/>
          <w:highlight w:val="white"/>
          <w:shd w:val="clear" w:color="auto" w:fill="FFFFFF"/>
        </w:rPr>
        <w:t>投标人须知之附录）</w:t>
      </w:r>
    </w:p>
    <w:p>
      <w:pPr>
        <w:pStyle w:val="13"/>
        <w:jc w:val="center"/>
        <w:rPr>
          <w:rStyle w:val="11"/>
          <w:rFonts w:hint="eastAsia" w:ascii="黑体" w:hAnsi="黑体" w:eastAsia="黑体" w:cs="Times New Roman"/>
          <w:color w:val="auto"/>
          <w:sz w:val="28"/>
          <w:szCs w:val="28"/>
        </w:rPr>
      </w:pPr>
    </w:p>
    <w:p>
      <w:pPr>
        <w:bidi w:val="0"/>
        <w:jc w:val="center"/>
        <w:rPr>
          <w:b/>
          <w:bCs/>
          <w:color w:val="auto"/>
          <w:sz w:val="28"/>
          <w:szCs w:val="28"/>
          <w:lang w:val="zh-CN" w:eastAsia="zh-CN"/>
        </w:rPr>
      </w:pPr>
      <w:r>
        <w:rPr>
          <w:rFonts w:hint="eastAsia"/>
          <w:b/>
          <w:bCs/>
          <w:color w:val="auto"/>
          <w:sz w:val="28"/>
          <w:szCs w:val="28"/>
          <w:lang w:val="zh-CN" w:eastAsia="zh-CN"/>
        </w:rPr>
        <w:t>附录1</w:t>
      </w:r>
      <w:r>
        <w:rPr>
          <w:b/>
          <w:bCs/>
          <w:color w:val="auto"/>
          <w:sz w:val="28"/>
          <w:szCs w:val="28"/>
          <w:lang w:val="zh-CN" w:eastAsia="zh-CN"/>
        </w:rPr>
        <w:t xml:space="preserve">  </w:t>
      </w:r>
      <w:r>
        <w:rPr>
          <w:rFonts w:hint="eastAsia"/>
          <w:b/>
          <w:bCs/>
          <w:color w:val="auto"/>
          <w:sz w:val="28"/>
          <w:szCs w:val="28"/>
          <w:lang w:val="zh-CN" w:eastAsia="zh-CN"/>
        </w:rPr>
        <w:t>资格审查条件（资质最低要求）：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noWrap w:val="0"/>
            <w:vAlign w:val="center"/>
          </w:tcPr>
          <w:p>
            <w:pPr>
              <w:widowControl w:val="0"/>
              <w:adjustRightInd w:val="0"/>
              <w:snapToGrid w:val="0"/>
              <w:spacing w:line="400" w:lineRule="atLeast"/>
              <w:jc w:val="center"/>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5000" w:type="pct"/>
            <w:noWrap w:val="0"/>
            <w:vAlign w:val="center"/>
          </w:tcPr>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 xml:space="preserve">1、具备独立法人资格，持有有效的营业执照。         </w:t>
            </w:r>
          </w:p>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 xml:space="preserve">2、具备有效的安全生产许可证。         </w:t>
            </w:r>
          </w:p>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 xml:space="preserve">3、具有以下第①或②项有效的资质：         </w:t>
            </w:r>
          </w:p>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 xml:space="preserve">①湖南省交通运输主管部门颁发的公路养护工程综合二类甲级资质。         </w:t>
            </w:r>
          </w:p>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 xml:space="preserve">②根据《公路养护作业单位资质管理办法》（交通运输部令 2021 年第 22 号）规定取得的路         </w:t>
            </w:r>
          </w:p>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 xml:space="preserve">基路面养护甲级、桥梁养护甲级、隧道养护甲级资质、交通安全设施养护资质。         </w:t>
            </w:r>
          </w:p>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 xml:space="preserve">注：原湖南省交通运输主管部门颁发的公路养护工程综合二类甲级资质企业须是湖南省交通运         </w:t>
            </w:r>
          </w:p>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输厅下发《关于下达 2016 年养护资质从业单位资质许可的通知》(湘交函〔2017〕51 号)、《关于公布湖南省 2017 年度公路养护资质准入认定审查结果的通知》(湘交函〔2018〕88 号)、《关于公布湖南省 2018 年度公路养护资质准入认定审查结果的通知》(湘交函〔2018〕443 号)、《关于公布湖南省 2020 年度公路养护资质准入认定审查结果的通知》(湘交函〔2021〕29 号)、《关于湖南省公路养护资质延续有关事项的通知》(湘交函〔2021〕772 号)、《关于湖南省公路养护资质换证期间继续延续原资质有效期的通知》(湘交函〔2023〕10 号)的养护资质许可名录表中的企业，且证书在有效期内(含延期后有效期)</w:t>
            </w:r>
          </w:p>
        </w:tc>
      </w:tr>
    </w:tbl>
    <w:p>
      <w:pPr>
        <w:bidi w:val="0"/>
        <w:jc w:val="center"/>
        <w:rPr>
          <w:rFonts w:hint="eastAsia"/>
          <w:b/>
          <w:bCs/>
          <w:color w:val="auto"/>
          <w:sz w:val="28"/>
          <w:szCs w:val="28"/>
          <w:lang w:val="zh-CN" w:eastAsia="zh-CN"/>
        </w:rPr>
      </w:pPr>
      <w:r>
        <w:rPr>
          <w:rFonts w:hint="eastAsia"/>
          <w:b/>
          <w:bCs/>
          <w:color w:val="auto"/>
          <w:sz w:val="28"/>
          <w:szCs w:val="28"/>
          <w:lang w:val="zh-CN" w:eastAsia="zh-CN"/>
        </w:rPr>
        <w:t>附录2  资格审查条件（财务最低要求）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noWrap w:val="0"/>
            <w:vAlign w:val="center"/>
          </w:tcPr>
          <w:p>
            <w:pPr>
              <w:widowControl w:val="0"/>
              <w:adjustRightInd w:val="0"/>
              <w:snapToGrid w:val="0"/>
              <w:spacing w:line="400" w:lineRule="atLeast"/>
              <w:jc w:val="center"/>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财</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务</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要</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000" w:type="pct"/>
            <w:noWrap w:val="0"/>
            <w:vAlign w:val="center"/>
          </w:tcPr>
          <w:p>
            <w:pPr>
              <w:widowControl w:val="0"/>
              <w:adjustRightInd w:val="0"/>
              <w:snapToGrid w:val="0"/>
              <w:spacing w:line="400" w:lineRule="atLeast"/>
              <w:jc w:val="both"/>
              <w:rPr>
                <w:rFonts w:ascii="Calibri" w:hAnsi="Calibri" w:eastAsia="宋体" w:cs="Times New Roman"/>
                <w:color w:val="auto"/>
                <w:kern w:val="2"/>
                <w:sz w:val="21"/>
                <w:szCs w:val="21"/>
                <w:highlight w:val="green"/>
                <w:lang w:val="en-US" w:eastAsia="zh-CN" w:bidi="ar-SA"/>
              </w:rPr>
            </w:pPr>
            <w:bookmarkStart w:id="8" w:name="EB1cfbc200fb124648b63bb7b744f9e4cf"/>
            <w:r>
              <w:rPr>
                <w:rFonts w:hint="eastAsia" w:ascii="Calibri" w:hAnsi="Calibri" w:eastAsia="宋体" w:cs="Times New Roman"/>
                <w:color w:val="auto"/>
                <w:kern w:val="2"/>
                <w:sz w:val="21"/>
                <w:szCs w:val="21"/>
                <w:highlight w:val="white"/>
                <w:lang w:val="en-US" w:eastAsia="zh-CN" w:bidi="ar-SA"/>
              </w:rPr>
              <w:t>近 3 年财务状况良好，未出现连续两个及以上年度亏损。</w:t>
            </w:r>
            <w:bookmarkEnd w:id="8"/>
          </w:p>
        </w:tc>
      </w:tr>
    </w:tbl>
    <w:p>
      <w:pPr>
        <w:bidi w:val="0"/>
        <w:jc w:val="center"/>
        <w:rPr>
          <w:rFonts w:hint="eastAsia"/>
          <w:b/>
          <w:bCs/>
          <w:color w:val="auto"/>
          <w:sz w:val="28"/>
          <w:szCs w:val="28"/>
          <w:lang w:val="zh-CN" w:eastAsia="zh-CN"/>
        </w:rPr>
      </w:pPr>
    </w:p>
    <w:p>
      <w:pPr>
        <w:bidi w:val="0"/>
        <w:jc w:val="center"/>
        <w:rPr>
          <w:rFonts w:hint="eastAsia"/>
          <w:b/>
          <w:bCs/>
          <w:color w:val="auto"/>
          <w:sz w:val="28"/>
          <w:szCs w:val="28"/>
          <w:lang w:val="zh-CN" w:eastAsia="zh-CN"/>
        </w:rPr>
      </w:pPr>
      <w:r>
        <w:rPr>
          <w:rFonts w:hint="eastAsia"/>
          <w:b/>
          <w:bCs/>
          <w:color w:val="auto"/>
          <w:sz w:val="28"/>
          <w:szCs w:val="28"/>
          <w:lang w:val="zh-CN" w:eastAsia="zh-CN"/>
        </w:rPr>
        <w:t>附录3 资格审查条件（业绩最低要求）</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00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85" w:hRule="atLeast"/>
        </w:trPr>
        <w:tc>
          <w:tcPr>
            <w:tcW w:w="5000" w:type="pct"/>
            <w:tcBorders>
              <w:left w:val="single" w:color="auto" w:sz="4" w:space="0"/>
            </w:tcBorders>
            <w:shd w:val="clear" w:color="auto" w:fill="auto"/>
            <w:noWrap w:val="0"/>
            <w:vAlign w:val="center"/>
          </w:tcPr>
          <w:p>
            <w:pPr>
              <w:widowControl/>
              <w:spacing w:line="36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近5年（递交投标文件截止之日前一日回溯5年）内，具有1个满足以下条件的类似施工业绩： 独立完成单项合同里程在28km及以上的高速公路养护工程施工业绩。        </w:t>
            </w:r>
          </w:p>
          <w:p>
            <w:pPr>
              <w:widowControl/>
              <w:spacing w:line="36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注：1.投标人应根据招标文件第二章“投标人须知”及“投标人须       </w:t>
            </w:r>
          </w:p>
          <w:p>
            <w:pPr>
              <w:widowControl/>
              <w:spacing w:line="36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知”补充说明第 3.5.3 项的要求在“近年完成的类似项目情况表”       </w:t>
            </w:r>
          </w:p>
          <w:p>
            <w:pPr>
              <w:widowControl/>
              <w:spacing w:line="36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后附相关证明材料。      </w:t>
            </w:r>
          </w:p>
          <w:p>
            <w:pPr>
              <w:widowControl/>
              <w:spacing w:line="36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2、以上养护工程合同内容为日常养护、预防养护或修复养护（大修或中修）或专项养护中的任意项或多项；独立完成指独立承担并交工或完工，不包括分包或联合体承包合同业绩；      </w:t>
            </w:r>
          </w:p>
          <w:p>
            <w:pPr>
              <w:widowControl/>
              <w:spacing w:line="36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3、以上业绩计算日期：以项目交工或完工证明中载明的日期为截止日。</w:t>
            </w:r>
          </w:p>
        </w:tc>
      </w:tr>
    </w:tbl>
    <w:p>
      <w:pPr>
        <w:bidi w:val="0"/>
        <w:jc w:val="center"/>
        <w:rPr>
          <w:rFonts w:hint="eastAsia"/>
          <w:b/>
          <w:bCs/>
          <w:color w:val="auto"/>
          <w:sz w:val="28"/>
          <w:szCs w:val="28"/>
          <w:lang w:val="zh-CN" w:eastAsia="zh-CN"/>
        </w:rPr>
      </w:pPr>
    </w:p>
    <w:p>
      <w:pPr>
        <w:pStyle w:val="13"/>
        <w:jc w:val="both"/>
        <w:rPr>
          <w:rStyle w:val="11"/>
          <w:rFonts w:hint="eastAsia" w:ascii="黑体" w:hAnsi="黑体" w:eastAsia="黑体" w:cs="Times New Roman"/>
          <w:sz w:val="28"/>
          <w:szCs w:val="28"/>
        </w:rPr>
        <w:sectPr>
          <w:footnotePr>
            <w:numFmt w:val="decimalEnclosedCircleChinese"/>
            <w:numRestart w:val="eachPage"/>
          </w:footnotePr>
          <w:pgSz w:w="11907" w:h="16840"/>
          <w:pgMar w:top="1588" w:right="1531" w:bottom="1644" w:left="1588" w:header="851" w:footer="851" w:gutter="0"/>
          <w:cols w:space="425" w:num="1"/>
          <w:docGrid w:linePitch="312" w:charSpace="0"/>
        </w:sectPr>
      </w:pPr>
    </w:p>
    <w:p>
      <w:pPr>
        <w:bidi w:val="0"/>
        <w:jc w:val="center"/>
        <w:rPr>
          <w:rFonts w:hint="default"/>
          <w:b/>
          <w:bCs/>
          <w:color w:val="auto"/>
          <w:sz w:val="28"/>
          <w:szCs w:val="28"/>
          <w:lang w:val="en-US" w:eastAsia="zh-CN"/>
        </w:rPr>
      </w:pPr>
      <w:r>
        <w:rPr>
          <w:rFonts w:hint="eastAsia"/>
          <w:b/>
          <w:bCs/>
          <w:color w:val="auto"/>
          <w:sz w:val="28"/>
          <w:szCs w:val="28"/>
          <w:lang w:val="zh-CN" w:eastAsia="zh-CN"/>
        </w:rPr>
        <w:t>附录4  资格审查条件（信誉最低要求）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2" w:hRule="atLeast"/>
          <w:jc w:val="center"/>
        </w:trPr>
        <w:tc>
          <w:tcPr>
            <w:tcW w:w="5000" w:type="pct"/>
            <w:noWrap w:val="0"/>
            <w:vAlign w:val="center"/>
          </w:tcPr>
          <w:p>
            <w:pPr>
              <w:widowControl w:val="0"/>
              <w:adjustRightInd w:val="0"/>
              <w:snapToGrid w:val="0"/>
              <w:spacing w:line="400" w:lineRule="atLeast"/>
              <w:jc w:val="center"/>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信</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誉</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要</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000" w:type="pct"/>
            <w:noWrap w:val="0"/>
            <w:vAlign w:val="center"/>
          </w:tcPr>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 xml:space="preserve">投标人不得存在以下情形：       </w:t>
            </w:r>
          </w:p>
          <w:p>
            <w:pPr>
              <w:widowControl w:val="0"/>
              <w:adjustRightInd w:val="0"/>
              <w:snapToGrid w:val="0"/>
              <w:spacing w:line="400" w:lineRule="atLeast"/>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近三年（投标截止时间往前推算）被省级及以上交通行政主管部门在招投标领域处罚通报或在全国公路建设市场信用信息管理系统中有不良行为记录的。</w:t>
            </w:r>
          </w:p>
        </w:tc>
      </w:tr>
    </w:tbl>
    <w:p>
      <w:pPr>
        <w:bidi w:val="0"/>
        <w:jc w:val="center"/>
        <w:rPr>
          <w:rFonts w:ascii="Calibri" w:hAnsi="Calibri" w:eastAsia="宋体" w:cs="Times New Roman"/>
          <w:color w:val="auto"/>
          <w:szCs w:val="22"/>
          <w:highlight w:val="yellow"/>
        </w:rPr>
      </w:pPr>
      <w:r>
        <w:rPr>
          <w:rFonts w:hint="eastAsia"/>
          <w:b/>
          <w:bCs/>
          <w:color w:val="auto"/>
          <w:sz w:val="28"/>
          <w:szCs w:val="28"/>
          <w:lang w:val="zh-CN" w:eastAsia="zh-CN"/>
        </w:rPr>
        <w:t>附录5  资格审查条件（项目经理和项目总工最低要求）</w:t>
      </w:r>
    </w:p>
    <w:tbl>
      <w:tblPr>
        <w:tblStyle w:val="1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69"/>
        <w:gridCol w:w="3999"/>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2" w:type="pct"/>
            <w:noWrap w:val="0"/>
            <w:vAlign w:val="center"/>
          </w:tcPr>
          <w:p>
            <w:pPr>
              <w:widowControl w:val="0"/>
              <w:adjustRightInd w:val="0"/>
              <w:snapToGrid w:val="0"/>
              <w:spacing w:line="300" w:lineRule="auto"/>
              <w:jc w:val="center"/>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人</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员</w:t>
            </w:r>
          </w:p>
        </w:tc>
        <w:tc>
          <w:tcPr>
            <w:tcW w:w="872" w:type="pct"/>
            <w:noWrap w:val="0"/>
            <w:vAlign w:val="center"/>
          </w:tcPr>
          <w:p>
            <w:pPr>
              <w:widowControl w:val="0"/>
              <w:adjustRightInd w:val="0"/>
              <w:snapToGrid w:val="0"/>
              <w:spacing w:line="300" w:lineRule="auto"/>
              <w:jc w:val="center"/>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数</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量</w:t>
            </w:r>
          </w:p>
        </w:tc>
        <w:tc>
          <w:tcPr>
            <w:tcW w:w="2222" w:type="pct"/>
            <w:noWrap w:val="0"/>
            <w:vAlign w:val="center"/>
          </w:tcPr>
          <w:p>
            <w:pPr>
              <w:widowControl w:val="0"/>
              <w:adjustRightInd w:val="0"/>
              <w:snapToGrid w:val="0"/>
              <w:spacing w:line="300" w:lineRule="auto"/>
              <w:jc w:val="center"/>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资</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格</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要</w:t>
            </w:r>
            <w:r>
              <w:rPr>
                <w:rFonts w:ascii="Calibri" w:hAnsi="Calibri" w:eastAsia="宋体" w:cs="Times New Roman"/>
                <w:color w:val="auto"/>
                <w:kern w:val="2"/>
                <w:sz w:val="21"/>
                <w:szCs w:val="21"/>
                <w:highlight w:val="white"/>
                <w:lang w:val="en-US" w:eastAsia="zh-CN" w:bidi="ar-SA"/>
              </w:rPr>
              <w:t xml:space="preserve"> </w:t>
            </w:r>
            <w:r>
              <w:rPr>
                <w:rFonts w:hint="eastAsia" w:ascii="Calibri" w:hAnsi="Calibri" w:eastAsia="宋体" w:cs="Times New Roman"/>
                <w:color w:val="auto"/>
                <w:kern w:val="2"/>
                <w:sz w:val="21"/>
                <w:szCs w:val="21"/>
                <w:highlight w:val="white"/>
                <w:lang w:val="en-US" w:eastAsia="zh-CN" w:bidi="ar-SA"/>
              </w:rPr>
              <w:t>求</w:t>
            </w:r>
            <w:r>
              <w:rPr>
                <w:rStyle w:val="12"/>
                <w:rFonts w:ascii="Calibri" w:hAnsi="Calibri" w:eastAsia="宋体" w:cs="Times New Roman"/>
                <w:color w:val="auto"/>
                <w:szCs w:val="21"/>
              </w:rPr>
              <w:footnoteReference w:id="5"/>
            </w:r>
          </w:p>
        </w:tc>
        <w:tc>
          <w:tcPr>
            <w:tcW w:w="1122" w:type="pct"/>
            <w:noWrap w:val="0"/>
            <w:vAlign w:val="center"/>
          </w:tcPr>
          <w:p>
            <w:pPr>
              <w:widowControl w:val="0"/>
              <w:adjustRightInd w:val="0"/>
              <w:snapToGrid w:val="0"/>
              <w:spacing w:line="300" w:lineRule="auto"/>
              <w:jc w:val="center"/>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82" w:type="pct"/>
            <w:noWrap w:val="0"/>
            <w:vAlign w:val="center"/>
          </w:tcPr>
          <w:p>
            <w:pPr>
              <w:widowControl w:val="0"/>
              <w:spacing w:line="300" w:lineRule="auto"/>
              <w:jc w:val="center"/>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项目经理</w:t>
            </w:r>
          </w:p>
        </w:tc>
        <w:tc>
          <w:tcPr>
            <w:tcW w:w="872" w:type="pct"/>
            <w:noWrap w:val="0"/>
            <w:vAlign w:val="center"/>
          </w:tcPr>
          <w:p>
            <w:pPr>
              <w:widowControl w:val="0"/>
              <w:adjustRightInd w:val="0"/>
              <w:snapToGrid w:val="0"/>
              <w:spacing w:line="300" w:lineRule="auto"/>
              <w:jc w:val="center"/>
              <w:rPr>
                <w:rFonts w:ascii="Calibri" w:hAnsi="Calibri" w:eastAsia="宋体" w:cs="Times New Roman"/>
                <w:color w:val="auto"/>
                <w:kern w:val="2"/>
                <w:sz w:val="21"/>
                <w:szCs w:val="21"/>
                <w:highlight w:val="green"/>
                <w:lang w:val="en-US" w:eastAsia="zh-CN" w:bidi="ar-SA"/>
              </w:rPr>
            </w:pPr>
            <w:bookmarkStart w:id="9" w:name="EB923d969771414f339ae5f21ce07440a8"/>
            <w:r>
              <w:rPr>
                <w:rFonts w:hint="eastAsia" w:ascii="Calibri" w:hAnsi="Calibri" w:eastAsia="宋体" w:cs="Times New Roman"/>
                <w:color w:val="auto"/>
                <w:kern w:val="2"/>
                <w:sz w:val="21"/>
                <w:szCs w:val="21"/>
                <w:highlight w:val="white"/>
                <w:lang w:val="en-US" w:eastAsia="zh-CN" w:bidi="ar-SA"/>
              </w:rPr>
              <w:t>1</w:t>
            </w:r>
            <w:bookmarkEnd w:id="9"/>
          </w:p>
        </w:tc>
        <w:tc>
          <w:tcPr>
            <w:tcW w:w="2222" w:type="pct"/>
            <w:noWrap w:val="0"/>
            <w:vAlign w:val="center"/>
          </w:tcPr>
          <w:p>
            <w:pPr>
              <w:widowControl w:val="0"/>
              <w:adjustRightInd w:val="0"/>
              <w:snapToGrid w:val="0"/>
              <w:spacing w:line="300" w:lineRule="auto"/>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（1）工程师及以上技术职称（或中级及以上技术职称）；</w:t>
            </w:r>
          </w:p>
          <w:p>
            <w:pPr>
              <w:widowControl w:val="0"/>
              <w:adjustRightInd w:val="0"/>
              <w:snapToGrid w:val="0"/>
              <w:spacing w:line="300" w:lineRule="auto"/>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（2）具有</w:t>
            </w:r>
            <w:bookmarkStart w:id="10" w:name="EBef93896b0eaa4856b4c06d967ffd23e2"/>
            <w:r>
              <w:rPr>
                <w:rFonts w:hint="eastAsia" w:ascii="Calibri" w:hAnsi="Calibri" w:eastAsia="宋体" w:cs="Times New Roman"/>
                <w:color w:val="auto"/>
                <w:kern w:val="2"/>
                <w:sz w:val="21"/>
                <w:szCs w:val="21"/>
                <w:highlight w:val="white"/>
                <w:lang w:val="en-US" w:eastAsia="zh-CN" w:bidi="ar-SA"/>
              </w:rPr>
              <w:t>公路</w:t>
            </w:r>
            <w:bookmarkEnd w:id="10"/>
            <w:r>
              <w:rPr>
                <w:rFonts w:hint="eastAsia" w:ascii="Calibri" w:hAnsi="Calibri" w:eastAsia="宋体" w:cs="Times New Roman"/>
                <w:color w:val="auto"/>
                <w:kern w:val="2"/>
                <w:sz w:val="21"/>
                <w:szCs w:val="21"/>
                <w:highlight w:val="white"/>
                <w:lang w:val="en-US" w:eastAsia="zh-CN" w:bidi="ar-SA"/>
              </w:rPr>
              <w:t>专业</w:t>
            </w:r>
            <w:bookmarkStart w:id="11" w:name="EB6fb10a2c5ea84871a1de1509eb6b7ac3"/>
            <w:r>
              <w:rPr>
                <w:rFonts w:hint="eastAsia" w:ascii="Calibri" w:hAnsi="Calibri" w:eastAsia="宋体" w:cs="Times New Roman"/>
                <w:color w:val="auto"/>
                <w:kern w:val="2"/>
                <w:sz w:val="21"/>
                <w:szCs w:val="21"/>
                <w:highlight w:val="white"/>
                <w:lang w:val="en-US" w:eastAsia="zh-CN" w:bidi="ar-SA"/>
              </w:rPr>
              <w:t>一</w:t>
            </w:r>
            <w:bookmarkEnd w:id="11"/>
            <w:r>
              <w:rPr>
                <w:rFonts w:hint="eastAsia" w:ascii="Calibri" w:hAnsi="Calibri" w:eastAsia="宋体" w:cs="Times New Roman"/>
                <w:color w:val="auto"/>
                <w:kern w:val="2"/>
                <w:sz w:val="21"/>
                <w:szCs w:val="21"/>
                <w:highlight w:val="white"/>
                <w:lang w:val="en-US" w:eastAsia="zh-CN" w:bidi="ar-SA"/>
              </w:rPr>
              <w:t>级注册建造师执业资格，注册单位必须与投标人名称一致；</w:t>
            </w:r>
          </w:p>
          <w:p>
            <w:pPr>
              <w:widowControl w:val="0"/>
              <w:adjustRightInd w:val="0"/>
              <w:snapToGrid w:val="0"/>
              <w:spacing w:line="300" w:lineRule="auto"/>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（3）具有交通运输部（或省级交通运输主管部门）颁发的安全生产“三类人员”B类证书 ；</w:t>
            </w:r>
          </w:p>
          <w:p>
            <w:pPr>
              <w:widowControl w:val="0"/>
              <w:adjustRightInd w:val="0"/>
              <w:snapToGrid w:val="0"/>
              <w:spacing w:line="300" w:lineRule="auto"/>
              <w:jc w:val="both"/>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（4）近</w:t>
            </w:r>
            <w:bookmarkStart w:id="12" w:name="EBc87a91e9534f407c80a3612598822ec7"/>
            <w:r>
              <w:rPr>
                <w:rFonts w:hint="eastAsia" w:ascii="Calibri" w:hAnsi="Calibri" w:eastAsia="宋体" w:cs="Times New Roman"/>
                <w:color w:val="auto"/>
                <w:kern w:val="2"/>
                <w:sz w:val="21"/>
                <w:szCs w:val="21"/>
                <w:highlight w:val="white"/>
                <w:lang w:val="en-US" w:eastAsia="zh-CN" w:bidi="ar-SA"/>
              </w:rPr>
              <w:t>3（递交投标文件截止之日前一日回溯3年）</w:t>
            </w:r>
            <w:bookmarkEnd w:id="12"/>
            <w:r>
              <w:rPr>
                <w:rFonts w:hint="eastAsia" w:ascii="Calibri" w:hAnsi="Calibri" w:eastAsia="宋体" w:cs="Times New Roman"/>
                <w:color w:val="auto"/>
                <w:kern w:val="2"/>
                <w:sz w:val="21"/>
                <w:szCs w:val="21"/>
                <w:highlight w:val="white"/>
                <w:lang w:val="en-US" w:eastAsia="zh-CN" w:bidi="ar-SA"/>
              </w:rPr>
              <w:t>年内曾担任过</w:t>
            </w:r>
            <w:bookmarkStart w:id="13" w:name="EB65d47a9172b94c769e61d37927366856"/>
            <w:r>
              <w:rPr>
                <w:rFonts w:hint="eastAsia" w:ascii="Calibri" w:hAnsi="Calibri" w:eastAsia="宋体" w:cs="Times New Roman"/>
                <w:color w:val="auto"/>
                <w:kern w:val="2"/>
                <w:sz w:val="21"/>
                <w:szCs w:val="21"/>
                <w:highlight w:val="white"/>
                <w:lang w:val="en-US" w:eastAsia="zh-CN" w:bidi="ar-SA"/>
              </w:rPr>
              <w:t>1个高速公路养护工程施工合同段的</w:t>
            </w:r>
            <w:bookmarkEnd w:id="13"/>
            <w:r>
              <w:rPr>
                <w:rFonts w:hint="eastAsia" w:ascii="Calibri" w:hAnsi="Calibri" w:eastAsia="宋体" w:cs="Times New Roman"/>
                <w:color w:val="auto"/>
                <w:kern w:val="2"/>
                <w:sz w:val="21"/>
                <w:szCs w:val="21"/>
                <w:highlight w:val="white"/>
                <w:lang w:val="en-US" w:eastAsia="zh-CN" w:bidi="ar-SA"/>
              </w:rPr>
              <w:t>工程的项目经理或项目副经理或项目总工职务。</w:t>
            </w:r>
          </w:p>
        </w:tc>
        <w:tc>
          <w:tcPr>
            <w:tcW w:w="1122" w:type="pct"/>
            <w:vMerge w:val="restart"/>
            <w:noWrap w:val="0"/>
            <w:vAlign w:val="center"/>
          </w:tcPr>
          <w:p>
            <w:pPr>
              <w:widowControl w:val="0"/>
              <w:adjustRightInd w:val="0"/>
              <w:snapToGrid w:val="0"/>
              <w:spacing w:line="300" w:lineRule="auto"/>
              <w:jc w:val="both"/>
              <w:rPr>
                <w:rFonts w:ascii="Calibri" w:hAnsi="Calibri" w:eastAsia="宋体" w:cs="Times New Roman"/>
                <w:color w:val="auto"/>
                <w:kern w:val="2"/>
                <w:sz w:val="21"/>
                <w:szCs w:val="21"/>
                <w:lang w:val="en-US" w:eastAsia="zh-CN" w:bidi="ar-SA"/>
              </w:rPr>
            </w:pPr>
            <w:r>
              <w:rPr>
                <w:rFonts w:hint="eastAsia" w:ascii="黑体" w:hAnsi="黑体" w:eastAsia="黑体" w:cs="黑体"/>
                <w:color w:val="auto"/>
                <w:kern w:val="2"/>
                <w:sz w:val="21"/>
                <w:szCs w:val="22"/>
                <w:highlight w:val="white"/>
                <w:lang w:val="en-US" w:eastAsia="zh-CN" w:bidi="ar-SA"/>
              </w:rPr>
              <w:t>无在岗项目（指目前未在其他项目上任职，或虽在其他项目</w:t>
            </w:r>
            <w:r>
              <w:rPr>
                <w:rFonts w:hint="eastAsia" w:ascii="黑体" w:hAnsi="黑体" w:eastAsia="黑体" w:cs="黑体"/>
                <w:color w:val="auto"/>
                <w:kern w:val="2"/>
                <w:sz w:val="21"/>
                <w:szCs w:val="21"/>
                <w:highlight w:val="white"/>
                <w:lang w:val="en-US" w:eastAsia="zh-CN" w:bidi="ar-SA"/>
              </w:rPr>
              <w:t>上</w:t>
            </w:r>
            <w:r>
              <w:rPr>
                <w:rFonts w:hint="eastAsia" w:ascii="黑体" w:hAnsi="黑体" w:eastAsia="黑体" w:cs="黑体"/>
                <w:color w:val="auto"/>
                <w:kern w:val="2"/>
                <w:sz w:val="21"/>
                <w:szCs w:val="22"/>
                <w:highlight w:val="white"/>
                <w:lang w:val="en-US" w:eastAsia="zh-CN" w:bidi="ar-SA"/>
              </w:rPr>
              <w:t>任职但本项目中标后能够从该项目撤离</w:t>
            </w:r>
            <w:r>
              <w:rPr>
                <w:rStyle w:val="12"/>
                <w:rFonts w:hint="eastAsia" w:ascii="黑体" w:hAnsi="黑体" w:eastAsia="黑体" w:cs="黑体"/>
                <w:color w:val="auto"/>
                <w:szCs w:val="22"/>
              </w:rPr>
              <w:footnoteReference w:id="6"/>
            </w:r>
            <w:r>
              <w:rPr>
                <w:rFonts w:hint="eastAsia" w:ascii="黑体" w:hAnsi="黑体" w:eastAsia="黑体" w:cs="黑体"/>
                <w:color w:val="auto"/>
                <w:kern w:val="2"/>
                <w:sz w:val="21"/>
                <w:szCs w:val="22"/>
                <w:highlight w:val="white"/>
                <w:lang w:val="en-US" w:eastAsia="zh-CN" w:bidi="ar-SA"/>
              </w:rPr>
              <w:t>），并满足《关于进一步加强我省公路水运建设项目履约人员管理有关事项的通知》（湘交基建规〔2019〕17号）的要求。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82" w:type="pct"/>
            <w:noWrap w:val="0"/>
            <w:vAlign w:val="center"/>
          </w:tcPr>
          <w:p>
            <w:pPr>
              <w:widowControl w:val="0"/>
              <w:spacing w:line="300" w:lineRule="auto"/>
              <w:jc w:val="center"/>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项目总工</w:t>
            </w:r>
          </w:p>
        </w:tc>
        <w:tc>
          <w:tcPr>
            <w:tcW w:w="872" w:type="pct"/>
            <w:noWrap w:val="0"/>
            <w:vAlign w:val="center"/>
          </w:tcPr>
          <w:p>
            <w:pPr>
              <w:widowControl w:val="0"/>
              <w:adjustRightInd w:val="0"/>
              <w:snapToGrid w:val="0"/>
              <w:spacing w:line="300" w:lineRule="auto"/>
              <w:jc w:val="center"/>
              <w:rPr>
                <w:rFonts w:ascii="Calibri" w:hAnsi="Calibri" w:eastAsia="宋体" w:cs="Times New Roman"/>
                <w:color w:val="auto"/>
                <w:kern w:val="2"/>
                <w:sz w:val="21"/>
                <w:szCs w:val="21"/>
                <w:highlight w:val="green"/>
                <w:lang w:val="en-US" w:eastAsia="zh-CN" w:bidi="ar-SA"/>
              </w:rPr>
            </w:pPr>
            <w:bookmarkStart w:id="14" w:name="EBe6d426fad63e474899b716d2877983b8"/>
            <w:r>
              <w:rPr>
                <w:rFonts w:hint="eastAsia" w:ascii="Calibri" w:hAnsi="Calibri" w:eastAsia="宋体" w:cs="Times New Roman"/>
                <w:color w:val="auto"/>
                <w:kern w:val="2"/>
                <w:sz w:val="21"/>
                <w:szCs w:val="21"/>
                <w:highlight w:val="white"/>
                <w:lang w:val="en-US" w:eastAsia="zh-CN" w:bidi="ar-SA"/>
              </w:rPr>
              <w:t>1</w:t>
            </w:r>
            <w:bookmarkEnd w:id="14"/>
          </w:p>
        </w:tc>
        <w:tc>
          <w:tcPr>
            <w:tcW w:w="2222" w:type="pct"/>
            <w:noWrap w:val="0"/>
            <w:vAlign w:val="center"/>
          </w:tcPr>
          <w:p>
            <w:pPr>
              <w:widowControl w:val="0"/>
              <w:adjustRightInd w:val="0"/>
              <w:snapToGrid w:val="0"/>
              <w:spacing w:line="300" w:lineRule="auto"/>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（1）公路工程相关专业高级工程师及以上技术职称；</w:t>
            </w:r>
          </w:p>
          <w:p>
            <w:pPr>
              <w:widowControl w:val="0"/>
              <w:adjustRightInd w:val="0"/>
              <w:snapToGrid w:val="0"/>
              <w:spacing w:line="300" w:lineRule="auto"/>
              <w:jc w:val="both"/>
              <w:rPr>
                <w:rFonts w:hint="eastAsia" w:ascii="Calibri" w:hAnsi="Calibri" w:eastAsia="宋体" w:cs="Times New Roman"/>
                <w:color w:val="auto"/>
                <w:kern w:val="2"/>
                <w:sz w:val="21"/>
                <w:szCs w:val="21"/>
                <w:highlight w:val="white"/>
                <w:lang w:val="en-US" w:eastAsia="zh-CN" w:bidi="ar-SA"/>
              </w:rPr>
            </w:pPr>
            <w:r>
              <w:rPr>
                <w:rFonts w:hint="eastAsia" w:ascii="Calibri" w:hAnsi="Calibri" w:eastAsia="宋体" w:cs="Times New Roman"/>
                <w:color w:val="auto"/>
                <w:kern w:val="2"/>
                <w:sz w:val="21"/>
                <w:szCs w:val="21"/>
                <w:highlight w:val="white"/>
                <w:lang w:val="en-US" w:eastAsia="zh-CN" w:bidi="ar-SA"/>
              </w:rPr>
              <w:t>（2）具有交通运输部（或省级及以上交通运输主管部门）颁发的安全生产“三类人员”B类证书。</w:t>
            </w:r>
          </w:p>
          <w:p>
            <w:pPr>
              <w:widowControl w:val="0"/>
              <w:adjustRightInd w:val="0"/>
              <w:snapToGrid w:val="0"/>
              <w:spacing w:line="300" w:lineRule="auto"/>
              <w:jc w:val="both"/>
              <w:rPr>
                <w:rFonts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highlight w:val="white"/>
                <w:lang w:val="en-US" w:eastAsia="zh-CN" w:bidi="ar-SA"/>
              </w:rPr>
              <w:t>（3）近3 （递交投标文件截止之日前一日回溯 3年）年内曾担任过1个高速公路养护工程施工合同段的工程的项目总工（技术负责人）或项目副总工或项目经理或项目副经理职务。</w:t>
            </w:r>
          </w:p>
        </w:tc>
        <w:tc>
          <w:tcPr>
            <w:tcW w:w="1122" w:type="pct"/>
            <w:vMerge w:val="continue"/>
            <w:noWrap w:val="0"/>
            <w:vAlign w:val="center"/>
          </w:tcPr>
          <w:p>
            <w:pPr>
              <w:widowControl w:val="0"/>
              <w:adjustRightInd w:val="0"/>
              <w:snapToGrid w:val="0"/>
              <w:spacing w:line="300" w:lineRule="auto"/>
              <w:jc w:val="both"/>
              <w:rPr>
                <w:rFonts w:ascii="Calibri" w:hAnsi="Calibri" w:eastAsia="宋体" w:cs="Times New Roman"/>
                <w:color w:val="auto"/>
                <w:kern w:val="2"/>
                <w:sz w:val="21"/>
                <w:szCs w:val="21"/>
                <w:lang w:val="en-US" w:eastAsia="zh-CN" w:bidi="ar-SA"/>
              </w:rPr>
            </w:pPr>
          </w:p>
        </w:tc>
      </w:tr>
    </w:tbl>
    <w:p>
      <w:pPr>
        <w:pStyle w:val="9"/>
        <w:rPr>
          <w:rStyle w:val="11"/>
          <w:rFonts w:ascii="Times New Roman" w:hAnsi="Times New Roman" w:eastAsia="宋体" w:cs="Times New Roman"/>
          <w:color w:val="000080"/>
          <w:sz w:val="20"/>
          <w:highlight w:val="none"/>
          <w:lang w:val="zh-CN"/>
        </w:rPr>
      </w:pPr>
    </w:p>
    <w:p>
      <w:pPr>
        <w:rPr>
          <w:rFonts w:hint="eastAsia"/>
          <w:color w:val="000080"/>
          <w:sz w:val="20"/>
          <w:highlight w:val="white"/>
        </w:rPr>
      </w:pPr>
      <w:r>
        <w:rPr>
          <w:rFonts w:hint="eastAsia"/>
          <w:color w:val="000080"/>
          <w:sz w:val="20"/>
          <w:highlight w:val="white"/>
        </w:rPr>
        <w:t xml:space="preserve"> </w:t>
      </w:r>
    </w:p>
    <w:p>
      <w:pPr>
        <w:topLinePunct/>
        <w:spacing w:line="240" w:lineRule="atLeast"/>
        <w:ind w:right="31" w:rightChars="15"/>
        <w:jc w:val="center"/>
        <w:rPr>
          <w:rFonts w:eastAsia="黑体"/>
          <w:sz w:val="56"/>
          <w:szCs w:val="56"/>
        </w:rPr>
        <w:sectPr>
          <w:footnotePr>
            <w:numFmt w:val="decimalEnclosedCircleChinese"/>
            <w:numRestart w:val="eachPage"/>
          </w:footnotePr>
          <w:pgSz w:w="11907" w:h="16840"/>
          <w:pgMar w:top="1588" w:right="1531" w:bottom="1644" w:left="1588" w:header="851" w:footer="851" w:gutter="0"/>
          <w:cols w:space="425" w:num="1"/>
          <w:docGrid w:linePitch="312" w:charSpace="0"/>
        </w:sectPr>
      </w:pPr>
    </w:p>
    <w:p>
      <w:pPr>
        <w:pStyle w:val="14"/>
        <w:widowControl/>
        <w:shd w:val="clear" w:color="auto" w:fill="FFFFFF"/>
        <w:topLinePunct/>
        <w:spacing w:line="400" w:lineRule="atLeast"/>
        <w:ind w:firstLine="422" w:firstLineChars="200"/>
        <w:jc w:val="center"/>
        <w:rPr>
          <w:rStyle w:val="11"/>
          <w:rFonts w:hint="eastAsia" w:ascii="Times New Roman" w:hAnsi="宋体" w:cs="黑体" w:eastAsiaTheme="minorEastAsia"/>
          <w:b/>
          <w:bCs/>
          <w:color w:val="000000"/>
          <w:sz w:val="21"/>
          <w:szCs w:val="22"/>
          <w:highlight w:val="white"/>
          <w:shd w:val="clear" w:color="auto" w:fill="FFFFFF"/>
          <w:lang w:val="en-US" w:eastAsia="zh-CN"/>
        </w:rPr>
      </w:pPr>
      <w:r>
        <w:rPr>
          <w:rStyle w:val="11"/>
          <w:rFonts w:hint="eastAsia" w:ascii="Times New Roman" w:hAnsi="宋体" w:cs="黑体" w:eastAsiaTheme="minorEastAsia"/>
          <w:b/>
          <w:bCs/>
          <w:color w:val="000000"/>
          <w:sz w:val="21"/>
          <w:szCs w:val="22"/>
          <w:highlight w:val="white"/>
          <w:shd w:val="clear" w:color="auto" w:fill="FFFFFF"/>
          <w:lang w:val="en-US" w:eastAsia="zh-CN"/>
        </w:rPr>
        <w:t>附件2：评标办法：(附 第三章 评标办法全文)</w:t>
      </w:r>
    </w:p>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122"/>
        <w:gridCol w:w="67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5" w:type="pct"/>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Calibri" w:hAnsi="Calibri" w:eastAsiaTheme="minorEastAsia" w:cstheme="minorBidi"/>
                <w:b/>
                <w:color w:val="auto"/>
                <w:spacing w:val="0"/>
                <w:w w:val="100"/>
                <w:kern w:val="2"/>
                <w:sz w:val="21"/>
                <w:szCs w:val="21"/>
                <w:lang w:val="en-US" w:eastAsia="zh-CN" w:bidi="ar-SA"/>
              </w:rPr>
            </w:pPr>
            <w:r>
              <w:rPr>
                <w:rFonts w:hint="eastAsia" w:ascii="Calibri" w:hAnsi="Calibri" w:eastAsiaTheme="minorEastAsia" w:cstheme="minorBidi"/>
                <w:b/>
                <w:color w:val="auto"/>
                <w:spacing w:val="0"/>
                <w:w w:val="100"/>
                <w:kern w:val="2"/>
                <w:sz w:val="21"/>
                <w:szCs w:val="21"/>
                <w:highlight w:val="white"/>
                <w:lang w:val="en-US" w:eastAsia="zh-CN" w:bidi="ar-SA"/>
              </w:rPr>
              <w:t>条款号</w:t>
            </w:r>
          </w:p>
        </w:tc>
        <w:tc>
          <w:tcPr>
            <w:tcW w:w="394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Calibri" w:hAnsi="Calibri" w:eastAsiaTheme="minorEastAsia" w:cstheme="minorBidi"/>
                <w:b/>
                <w:color w:val="auto"/>
                <w:spacing w:val="0"/>
                <w:w w:val="100"/>
                <w:kern w:val="2"/>
                <w:sz w:val="21"/>
                <w:szCs w:val="21"/>
                <w:lang w:val="en-US" w:eastAsia="zh-CN" w:bidi="ar-SA"/>
              </w:rPr>
            </w:pPr>
            <w:r>
              <w:rPr>
                <w:rFonts w:hint="eastAsia" w:ascii="Calibri" w:hAnsi="Calibri" w:eastAsiaTheme="minorEastAsia" w:cstheme="minorBidi"/>
                <w:b/>
                <w:color w:val="auto"/>
                <w:spacing w:val="0"/>
                <w:w w:val="100"/>
                <w:kern w:val="2"/>
                <w:sz w:val="21"/>
                <w:szCs w:val="21"/>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Calibri" w:hAnsi="Calibri" w:eastAsiaTheme="minorEastAsia" w:cstheme="minorBidi"/>
                <w:color w:val="auto"/>
                <w:spacing w:val="0"/>
                <w:w w:val="100"/>
                <w:kern w:val="2"/>
                <w:sz w:val="21"/>
                <w:szCs w:val="21"/>
                <w:lang w:val="en-US" w:eastAsia="zh-CN" w:bidi="ar-SA"/>
              </w:rPr>
            </w:pPr>
            <w:r>
              <w:rPr>
                <w:rFonts w:ascii="Calibri" w:hAnsi="Calibri" w:eastAsiaTheme="minorEastAsia" w:cstheme="minorBidi"/>
                <w:color w:val="auto"/>
                <w:spacing w:val="0"/>
                <w:w w:val="100"/>
                <w:kern w:val="2"/>
                <w:sz w:val="21"/>
                <w:szCs w:val="21"/>
                <w:highlight w:val="white"/>
                <w:lang w:val="en-US" w:eastAsia="zh-CN" w:bidi="ar-SA"/>
              </w:rPr>
              <w:t>1</w:t>
            </w:r>
          </w:p>
        </w:tc>
        <w:tc>
          <w:tcPr>
            <w:tcW w:w="658" w:type="pct"/>
            <w:tcBorders>
              <w:top w:val="single" w:color="auto" w:sz="4" w:space="0"/>
              <w:left w:val="nil"/>
              <w:bottom w:val="single" w:color="auto" w:sz="4" w:space="0"/>
              <w:right w:val="single" w:color="auto" w:sz="4" w:space="0"/>
            </w:tcBorders>
            <w:noWrap w:val="0"/>
            <w:vAlign w:val="center"/>
          </w:tcPr>
          <w:p>
            <w:pPr>
              <w:widowControl w:val="0"/>
              <w:spacing w:line="400" w:lineRule="atLeast"/>
              <w:jc w:val="center"/>
              <w:rPr>
                <w:rFonts w:ascii="Calibri" w:hAnsi="Calibri" w:eastAsiaTheme="minorEastAsia" w:cstheme="minorBidi"/>
                <w:color w:val="auto"/>
                <w:spacing w:val="0"/>
                <w:w w:val="100"/>
                <w:kern w:val="2"/>
                <w:sz w:val="21"/>
                <w:szCs w:val="21"/>
                <w:lang w:val="en-US" w:eastAsia="zh-CN" w:bidi="ar-SA"/>
              </w:rPr>
            </w:pPr>
            <w:r>
              <w:rPr>
                <w:rFonts w:hint="eastAsia" w:ascii="Calibri" w:hAnsi="Calibri" w:eastAsiaTheme="minorEastAsia" w:cstheme="minorBidi"/>
                <w:color w:val="auto"/>
                <w:spacing w:val="0"/>
                <w:w w:val="100"/>
                <w:kern w:val="2"/>
                <w:sz w:val="21"/>
                <w:szCs w:val="21"/>
                <w:highlight w:val="white"/>
                <w:lang w:val="en-US" w:eastAsia="zh-CN" w:bidi="ar-SA"/>
              </w:rPr>
              <w:t>评标方法</w:t>
            </w:r>
          </w:p>
        </w:tc>
        <w:tc>
          <w:tcPr>
            <w:tcW w:w="3944" w:type="pct"/>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Calibri" w:hAnsi="Calibri" w:eastAsiaTheme="minorEastAsia" w:cstheme="minorBidi"/>
                <w:color w:val="auto"/>
                <w:spacing w:val="0"/>
                <w:w w:val="100"/>
                <w:kern w:val="2"/>
                <w:sz w:val="21"/>
                <w:szCs w:val="21"/>
                <w:lang w:val="en-US" w:eastAsia="zh-CN" w:bidi="ar-SA"/>
              </w:rPr>
            </w:pPr>
            <w:r>
              <w:rPr>
                <w:rFonts w:hint="eastAsia" w:ascii="Calibri" w:hAnsi="Calibri" w:eastAsiaTheme="minorEastAsia" w:cstheme="minorBidi"/>
                <w:color w:val="auto"/>
                <w:spacing w:val="0"/>
                <w:w w:val="100"/>
                <w:kern w:val="2"/>
                <w:sz w:val="21"/>
                <w:szCs w:val="21"/>
                <w:highlight w:val="white"/>
                <w:lang w:val="en-US" w:eastAsia="zh-CN" w:bidi="ar-SA"/>
              </w:rPr>
              <w:t>综合评分相等时，评标委员会依次按照以下优先顺序推荐中标候选人或确定中标人：</w:t>
            </w:r>
          </w:p>
          <w:p>
            <w:pPr>
              <w:widowControl w:val="0"/>
              <w:jc w:val="both"/>
              <w:rPr>
                <w:rFonts w:ascii="Calibri" w:hAnsi="Calibri" w:eastAsiaTheme="minorEastAsia" w:cstheme="minorBidi"/>
                <w:color w:val="auto"/>
                <w:spacing w:val="0"/>
                <w:w w:val="100"/>
                <w:kern w:val="2"/>
                <w:sz w:val="21"/>
                <w:szCs w:val="21"/>
                <w:lang w:val="en-US" w:eastAsia="zh-CN" w:bidi="ar-SA"/>
              </w:rPr>
            </w:pPr>
            <w:r>
              <w:rPr>
                <w:rFonts w:hint="eastAsia" w:ascii="Calibri" w:hAnsi="Calibri" w:eastAsiaTheme="minorEastAsia" w:cstheme="minorBidi"/>
                <w:color w:val="auto"/>
                <w:spacing w:val="0"/>
                <w:w w:val="100"/>
                <w:kern w:val="2"/>
                <w:sz w:val="21"/>
                <w:szCs w:val="21"/>
                <w:highlight w:val="white"/>
                <w:lang w:val="en-US" w:eastAsia="zh-CN" w:bidi="ar-SA"/>
              </w:rPr>
              <w:t>（</w:t>
            </w:r>
            <w:r>
              <w:rPr>
                <w:rFonts w:ascii="Calibri" w:hAnsi="Calibri" w:eastAsiaTheme="minorEastAsia" w:cstheme="minorBidi"/>
                <w:color w:val="auto"/>
                <w:spacing w:val="0"/>
                <w:w w:val="100"/>
                <w:kern w:val="2"/>
                <w:sz w:val="21"/>
                <w:szCs w:val="21"/>
                <w:highlight w:val="white"/>
                <w:lang w:val="en-US" w:eastAsia="zh-CN" w:bidi="ar-SA"/>
              </w:rPr>
              <w:t>1</w:t>
            </w:r>
            <w:r>
              <w:rPr>
                <w:rFonts w:hint="eastAsia" w:ascii="Calibri" w:hAnsi="Calibri" w:eastAsiaTheme="minorEastAsia" w:cstheme="minorBidi"/>
                <w:color w:val="auto"/>
                <w:spacing w:val="0"/>
                <w:w w:val="100"/>
                <w:kern w:val="2"/>
                <w:sz w:val="21"/>
                <w:szCs w:val="21"/>
                <w:highlight w:val="white"/>
                <w:lang w:val="en-US" w:eastAsia="zh-CN" w:bidi="ar-SA"/>
              </w:rPr>
              <w:t>）评标价低的投标人优先；</w:t>
            </w:r>
          </w:p>
          <w:p>
            <w:pPr>
              <w:widowControl w:val="0"/>
              <w:jc w:val="both"/>
              <w:rPr>
                <w:rFonts w:ascii="Calibri" w:hAnsi="Calibri" w:eastAsia="黑体" w:cstheme="minorBidi"/>
                <w:color w:val="auto"/>
                <w:spacing w:val="0"/>
                <w:w w:val="100"/>
                <w:kern w:val="2"/>
                <w:sz w:val="21"/>
                <w:szCs w:val="21"/>
                <w:lang w:val="en-US" w:eastAsia="zh-CN" w:bidi="ar-SA"/>
              </w:rPr>
            </w:pPr>
            <w:r>
              <w:rPr>
                <w:rFonts w:hint="eastAsia" w:ascii="Calibri" w:hAnsi="Calibri" w:eastAsia="黑体" w:cstheme="minorBidi"/>
                <w:color w:val="auto"/>
                <w:spacing w:val="0"/>
                <w:w w:val="100"/>
                <w:kern w:val="2"/>
                <w:sz w:val="21"/>
                <w:szCs w:val="21"/>
                <w:highlight w:val="white"/>
                <w:lang w:val="en-US" w:eastAsia="zh-CN" w:bidi="ar-SA"/>
              </w:rPr>
              <w:t>（</w:t>
            </w:r>
            <w:r>
              <w:rPr>
                <w:rFonts w:ascii="Calibri" w:hAnsi="Calibri" w:eastAsia="黑体" w:cstheme="minorBidi"/>
                <w:color w:val="auto"/>
                <w:spacing w:val="0"/>
                <w:w w:val="100"/>
                <w:kern w:val="2"/>
                <w:sz w:val="21"/>
                <w:szCs w:val="21"/>
                <w:highlight w:val="white"/>
                <w:lang w:val="en-US" w:eastAsia="zh-CN" w:bidi="ar-SA"/>
              </w:rPr>
              <w:t>2</w:t>
            </w:r>
            <w:r>
              <w:rPr>
                <w:rFonts w:hint="eastAsia" w:ascii="Calibri" w:hAnsi="Calibri" w:eastAsia="黑体" w:cstheme="minorBidi"/>
                <w:color w:val="auto"/>
                <w:spacing w:val="0"/>
                <w:w w:val="100"/>
                <w:kern w:val="2"/>
                <w:sz w:val="21"/>
                <w:szCs w:val="21"/>
                <w:highlight w:val="white"/>
                <w:lang w:val="en-US" w:eastAsia="zh-CN" w:bidi="ar-SA"/>
              </w:rPr>
              <w:t>）被湖南省交通运输厅评为最近</w:t>
            </w:r>
            <w:r>
              <w:rPr>
                <w:rFonts w:ascii="Calibri" w:hAnsi="Calibri" w:eastAsia="黑体" w:cstheme="minorBidi"/>
                <w:color w:val="auto"/>
                <w:spacing w:val="0"/>
                <w:w w:val="100"/>
                <w:kern w:val="2"/>
                <w:sz w:val="21"/>
                <w:szCs w:val="21"/>
                <w:highlight w:val="white"/>
                <w:lang w:val="en-US" w:eastAsia="zh-CN" w:bidi="ar-SA"/>
              </w:rPr>
              <w:t>1</w:t>
            </w:r>
            <w:r>
              <w:rPr>
                <w:rFonts w:hint="eastAsia" w:ascii="Calibri" w:hAnsi="Calibri" w:eastAsia="黑体" w:cstheme="minorBidi"/>
                <w:color w:val="auto"/>
                <w:spacing w:val="0"/>
                <w:w w:val="100"/>
                <w:kern w:val="2"/>
                <w:sz w:val="21"/>
                <w:szCs w:val="21"/>
                <w:highlight w:val="white"/>
                <w:lang w:val="en-US" w:eastAsia="zh-CN" w:bidi="ar-SA"/>
              </w:rPr>
              <w:t>年较高信用等级的投标人优先；</w:t>
            </w:r>
          </w:p>
          <w:p>
            <w:pPr>
              <w:widowControl w:val="0"/>
              <w:jc w:val="both"/>
              <w:rPr>
                <w:rFonts w:ascii="Calibri" w:hAnsi="Calibri" w:eastAsiaTheme="minorEastAsia" w:cstheme="minorBidi"/>
                <w:color w:val="auto"/>
                <w:spacing w:val="0"/>
                <w:w w:val="100"/>
                <w:kern w:val="2"/>
                <w:sz w:val="21"/>
                <w:szCs w:val="21"/>
                <w:lang w:val="en-US" w:eastAsia="zh-CN" w:bidi="ar-SA"/>
              </w:rPr>
            </w:pPr>
            <w:r>
              <w:rPr>
                <w:rFonts w:hint="eastAsia" w:ascii="Calibri" w:hAnsi="Calibri" w:eastAsia="黑体" w:cstheme="minorBidi"/>
                <w:color w:val="auto"/>
                <w:spacing w:val="0"/>
                <w:w w:val="100"/>
                <w:kern w:val="2"/>
                <w:sz w:val="21"/>
                <w:szCs w:val="21"/>
                <w:highlight w:val="white"/>
                <w:lang w:val="en-US" w:eastAsia="zh-CN" w:bidi="ar-SA"/>
              </w:rPr>
              <w:t>（</w:t>
            </w:r>
            <w:r>
              <w:rPr>
                <w:rFonts w:ascii="Calibri" w:hAnsi="Calibri" w:eastAsia="黑体" w:cstheme="minorBidi"/>
                <w:color w:val="auto"/>
                <w:spacing w:val="0"/>
                <w:w w:val="100"/>
                <w:kern w:val="2"/>
                <w:sz w:val="21"/>
                <w:szCs w:val="21"/>
                <w:highlight w:val="white"/>
                <w:lang w:val="en-US" w:eastAsia="zh-CN" w:bidi="ar-SA"/>
              </w:rPr>
              <w:t>3</w:t>
            </w:r>
            <w:r>
              <w:rPr>
                <w:rFonts w:hint="eastAsia" w:ascii="Calibri" w:hAnsi="Calibri" w:eastAsia="黑体" w:cstheme="minorBidi"/>
                <w:color w:val="auto"/>
                <w:spacing w:val="0"/>
                <w:w w:val="100"/>
                <w:kern w:val="2"/>
                <w:sz w:val="21"/>
                <w:szCs w:val="21"/>
                <w:highlight w:val="white"/>
                <w:lang w:val="en-US" w:eastAsia="zh-CN" w:bidi="ar-SA"/>
              </w:rPr>
              <w:t>）随机摇号确定排序。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9"/>
              <w:jc w:val="center"/>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2.1.1</w:t>
            </w:r>
          </w:p>
          <w:p>
            <w:pPr>
              <w:pStyle w:val="19"/>
              <w:jc w:val="center"/>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2.1.3</w:t>
            </w:r>
          </w:p>
        </w:tc>
        <w:tc>
          <w:tcPr>
            <w:tcW w:w="658"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9"/>
              <w:jc w:val="center"/>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形式评审与响应性评审标准</w:t>
            </w:r>
          </w:p>
        </w:tc>
        <w:tc>
          <w:tcPr>
            <w:tcW w:w="394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第一个信封（商务及技术文件）评审标准：</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(1)投标文件能正常打开，并按照招标文件规定的格式、内容填写，字迹清晰可辨</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a.投标函按招标文件规定填报了项目名称、补遗书编号（如有）、工期、工程质量要求及安全目标、环保目标、参与投标的工程类别；</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b.投标函附录的所有数据均符合招标文件规定；</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c.投标文件组成齐全完整，内容均按规定填写。</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(2)投标文件上法定代表人的签章、投标人的单位章盖章齐全，符合招标文件规定。</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(3)与申请资格预审时比较，投标人发生合并、分立、破产等重大变化的，仍具备资格预审文件规定的相应资格条件且其投标未影响招标公正性</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a.投标人应提供相关部门的合法批件及企业法人营业执照和资质证书等证件的副本变更记录复印件；</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b.投标人仍然满足资格预审文件中规定的资格预审条件最低要求（资质、业绩、人员、信誉、财务等）；</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c.与所投标段的其他投标人不存在控股、管理关系或单位负责人为同一人的情况；与招标人也不存在利害关系并可能影响招标公正性。</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(4)投标人按照招标文件的规定提供了投标保证金</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a.投标保证金金额符合招标文件规定的金额，且投标保证金有效期应当与投标有效期一致；</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b.若投标保证金采用现金或支票形式提交，投标人应在递交投标文件截止时间之前，将投标保证金由投标人的基本账户转入招标人指定账户；</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c.若投标保证金采用银行电子保函形式提交，银行电子保函的格式、开具保函的银行均满足招标文件要求。</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(5)投标人以联合体形式投标时，联合体满足招标文件的要求</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a.未进行资格预审的，投标人按照招标文件提供的格式签订了联合体协议书，明确各方承担连带责任，并明确了联合体牵头人；</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b.已进行资格预审的，投标人提供了资格预审申请文件中所附的联合体协议书复印件，且通过资格预审后的联合体无成员增减或更换的情况。</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(6)投标人如有分包计划，符合招标文件第二章“投标人须知”第1.11款规定，且按招标文件第九章“投标文件格式”的要求填写了“拟分包项目情况表”。</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(7)同一投标人未提交两个以上不同的投标文件，但招标文件要求提交备选投标的除外。</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(8)投标文件中未出现有关投标报价的内容。</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(9)投标文件载明的招标项目完成期限未超过招标文件规定的时限。</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(10)投标文件对招标文件的实质性要求和条件作出响应。</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(11)权利义务符合招标文件规定</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a.投标人应接受招标文件规定的风险划分原则，未提出新的风险划分办法；</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b.投标人未增加发包人的责任范围，或减少投标人义务；</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c.投标人未提出不同的工程验收、计量、支付办法；</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d.投标人对合同纠纷、事故处理办法未提出异议；</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e.投标人在投标活动中无欺诈行为；</w:t>
            </w:r>
          </w:p>
          <w:p>
            <w:pPr>
              <w:pStyle w:val="19"/>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f.投标人未对合同条款有重要保留。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7"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20"/>
              <w:jc w:val="center"/>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2.1.1</w:t>
            </w:r>
          </w:p>
          <w:p>
            <w:pPr>
              <w:pStyle w:val="20"/>
              <w:jc w:val="center"/>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2.1.3</w:t>
            </w:r>
          </w:p>
        </w:tc>
        <w:tc>
          <w:tcPr>
            <w:tcW w:w="658"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20"/>
              <w:jc w:val="center"/>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形式评审与响应性评审标准</w:t>
            </w:r>
          </w:p>
        </w:tc>
        <w:tc>
          <w:tcPr>
            <w:tcW w:w="3944"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第二个信封（报价文件）评审标准：</w:t>
            </w: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(1)投标文件能正常打开，并按照招标文件规定的格式、内容填写，字迹清晰可辨</w:t>
            </w: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a.投标函按招标文件规定填报了项目名称、参与投标的工程类别、补遗书编号（如有）、投标价（包括大写金额和小写金额）；</w:t>
            </w: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b.已标价工程量清单说明文字与招标文件规定一致，未进行实质性修改和删减；</w:t>
            </w: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c.投标文件组成齐全完整，内容均按规定填写。</w:t>
            </w: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(2)投标文件上法定代表人的签章、投标人的单位章盖章齐全，符合招标文件规定。</w:t>
            </w:r>
          </w:p>
          <w:p>
            <w:pPr>
              <w:pStyle w:val="20"/>
              <w:jc w:val="left"/>
              <w:rPr>
                <w:rStyle w:val="11"/>
                <w:rFonts w:ascii="宋体" w:hAnsi="宋体" w:eastAsia="宋体" w:cs="宋体"/>
                <w:b w:val="0"/>
                <w:color w:val="auto"/>
                <w:spacing w:val="0"/>
                <w:w w:val="100"/>
                <w:sz w:val="21"/>
                <w:szCs w:val="24"/>
              </w:rPr>
            </w:pP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(3)投标报价或调价函中的报价未超过招标文件设定的最高投标限价（如有）。</w:t>
            </w:r>
          </w:p>
          <w:p>
            <w:pPr>
              <w:pStyle w:val="20"/>
              <w:jc w:val="left"/>
              <w:rPr>
                <w:rStyle w:val="11"/>
                <w:rFonts w:ascii="宋体" w:hAnsi="宋体" w:eastAsia="宋体" w:cs="宋体"/>
                <w:b w:val="0"/>
                <w:color w:val="auto"/>
                <w:spacing w:val="0"/>
                <w:w w:val="100"/>
                <w:sz w:val="21"/>
                <w:szCs w:val="24"/>
              </w:rPr>
            </w:pP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(4)投标报价或调价函中报价的大写金额能够确定具体数值。</w:t>
            </w:r>
          </w:p>
          <w:p>
            <w:pPr>
              <w:pStyle w:val="20"/>
              <w:jc w:val="left"/>
              <w:rPr>
                <w:rStyle w:val="11"/>
                <w:rFonts w:ascii="宋体" w:hAnsi="宋体" w:eastAsia="宋体" w:cs="宋体"/>
                <w:b w:val="0"/>
                <w:color w:val="auto"/>
                <w:spacing w:val="0"/>
                <w:w w:val="100"/>
                <w:sz w:val="21"/>
                <w:szCs w:val="24"/>
              </w:rPr>
            </w:pP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(5)同一投标人未提交两个以上不同的投标报价，但招标文件要求提交备选投标的除外。</w:t>
            </w:r>
          </w:p>
          <w:p>
            <w:pPr>
              <w:pStyle w:val="20"/>
              <w:jc w:val="left"/>
              <w:rPr>
                <w:rStyle w:val="11"/>
                <w:rFonts w:ascii="宋体" w:hAnsi="宋体" w:eastAsia="宋体" w:cs="宋体"/>
                <w:b w:val="0"/>
                <w:color w:val="auto"/>
                <w:spacing w:val="0"/>
                <w:w w:val="100"/>
                <w:sz w:val="21"/>
                <w:szCs w:val="24"/>
              </w:rPr>
            </w:pP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(6)投标人若提交调价函，调价函符合招标文件第二章“投标人须知”第3.2.6项要求。</w:t>
            </w:r>
          </w:p>
          <w:p>
            <w:pPr>
              <w:pStyle w:val="20"/>
              <w:jc w:val="left"/>
              <w:rPr>
                <w:rStyle w:val="11"/>
                <w:rFonts w:ascii="宋体" w:hAnsi="宋体" w:eastAsia="宋体" w:cs="宋体"/>
                <w:b w:val="0"/>
                <w:color w:val="auto"/>
                <w:spacing w:val="0"/>
                <w:w w:val="100"/>
                <w:sz w:val="21"/>
                <w:szCs w:val="24"/>
              </w:rPr>
            </w:pPr>
          </w:p>
          <w:p>
            <w:pPr>
              <w:pStyle w:val="20"/>
              <w:jc w:val="left"/>
              <w:rPr>
                <w:rStyle w:val="11"/>
                <w:rFonts w:ascii="宋体" w:hAnsi="宋体" w:eastAsia="宋体" w:cs="宋体"/>
                <w:b w:val="0"/>
                <w:color w:val="auto"/>
                <w:spacing w:val="0"/>
                <w:w w:val="100"/>
                <w:sz w:val="21"/>
                <w:szCs w:val="24"/>
              </w:rPr>
            </w:pPr>
            <w:r>
              <w:rPr>
                <w:rStyle w:val="11"/>
                <w:rFonts w:ascii="宋体" w:hAnsi="宋体" w:eastAsia="宋体" w:cs="宋体"/>
                <w:b w:val="0"/>
                <w:color w:val="auto"/>
                <w:spacing w:val="0"/>
                <w:w w:val="100"/>
                <w:kern w:val="2"/>
                <w:sz w:val="21"/>
                <w:szCs w:val="24"/>
                <w:lang w:val="en-US" w:eastAsia="zh-CN" w:bidi="ar-SA"/>
              </w:rPr>
              <w:t>(7)投标人若填写工程量固化清单，填写完毕的工程量固化清单未对工程量固化清单电子文件中的数据、格式和运算定义进行修改；工程量固化清单中的投标报价和投标函大写金额报价一致。</w:t>
            </w:r>
          </w:p>
          <w:p>
            <w:pPr>
              <w:pStyle w:val="20"/>
              <w:jc w:val="left"/>
              <w:rPr>
                <w:rStyle w:val="11"/>
                <w:rFonts w:ascii="宋体" w:hAnsi="宋体" w:eastAsia="宋体" w:cs="宋体"/>
                <w:b w:val="0"/>
                <w:color w:val="auto"/>
                <w:spacing w:val="0"/>
                <w:w w:val="100"/>
                <w:sz w:val="21"/>
                <w:szCs w:val="24"/>
              </w:rPr>
            </w:pPr>
          </w:p>
          <w:p>
            <w:pPr>
              <w:pStyle w:val="20"/>
              <w:jc w:val="left"/>
              <w:rPr>
                <w:rStyle w:val="11"/>
                <w:rFonts w:ascii="宋体" w:hAnsi="宋体" w:eastAsia="宋体" w:cs="宋体"/>
                <w:b w:val="0"/>
                <w:color w:val="auto"/>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7"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2.1.2</w:t>
            </w:r>
          </w:p>
        </w:tc>
        <w:tc>
          <w:tcPr>
            <w:tcW w:w="658"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资格评审标准</w:t>
            </w:r>
          </w:p>
        </w:tc>
        <w:tc>
          <w:tcPr>
            <w:tcW w:w="3944"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(1)投标人具备有效的营业执照、资质证书、安全生产许可证（如有）和基本账户开户证明。</w:t>
            </w: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(2)投标人的资质等级符合招标文件规定。</w:t>
            </w: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(3)投标人的财务状况符合招标文件规定。</w:t>
            </w: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(4)投标人的类似项目业绩符合招标文件规定。</w:t>
            </w: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(5)投标人的信誉符合招标文件规定。</w:t>
            </w: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(6)投标人的项目经理和项目总工资格、在岗情况符合招标文件规定。</w:t>
            </w: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(7)投标人的其他要求符合招标文件规定。</w:t>
            </w: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(8)投标人不存在第二章“投标人须知”第1.4.3项或第1.4.4项规定的任何一种情形。</w:t>
            </w: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r>
              <w:rPr>
                <w:rFonts w:hint="default" w:asciiTheme="minorHAnsi" w:hAnsiTheme="minorHAnsi" w:eastAsiaTheme="minorEastAsia" w:cstheme="minorBidi"/>
                <w:color w:val="auto"/>
                <w:spacing w:val="0"/>
                <w:w w:val="100"/>
                <w:kern w:val="2"/>
                <w:sz w:val="21"/>
                <w:szCs w:val="24"/>
                <w:lang w:val="en-US" w:eastAsia="zh-CN" w:bidi="ar-SA"/>
              </w:rPr>
              <w:t>(9)以联合体形式参与投标的，联合体各方均未再以自己名义单独或参加其他联合体在同一标段中投标；独立参与投标的，投标人未同时参加联合体在同一标段中投标。</w:t>
            </w:r>
          </w:p>
        </w:tc>
      </w:tr>
    </w:tbl>
    <w:p>
      <w:pPr>
        <w:bidi w:val="0"/>
        <w:rPr>
          <w:rFonts w:hint="eastAsia" w:asciiTheme="minorHAnsi" w:hAnsiTheme="minorHAnsi" w:eastAsiaTheme="minorEastAsia" w:cstheme="minorBidi"/>
          <w:szCs w:val="24"/>
          <w:lang w:val="zh-CN" w:eastAsia="zh-CN"/>
        </w:rPr>
      </w:pPr>
    </w:p>
    <w:tbl>
      <w:tblPr>
        <w:tblStyle w:val="10"/>
        <w:tblpPr w:leftFromText="180" w:rightFromText="180" w:vertAnchor="text" w:horzAnchor="page" w:tblpX="1767" w:tblpY="33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47"/>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99"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条款号</w:t>
            </w:r>
          </w:p>
        </w:tc>
        <w:tc>
          <w:tcPr>
            <w:tcW w:w="555"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条款内容</w:t>
            </w:r>
          </w:p>
        </w:tc>
        <w:tc>
          <w:tcPr>
            <w:tcW w:w="3944"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99"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2.2.1</w:t>
            </w:r>
          </w:p>
        </w:tc>
        <w:tc>
          <w:tcPr>
            <w:tcW w:w="555"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分值构成</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（总分100.0分）</w:t>
            </w:r>
          </w:p>
          <w:p>
            <w:pPr>
              <w:bidi w:val="0"/>
              <w:jc w:val="left"/>
              <w:rPr>
                <w:rFonts w:hint="default" w:asciiTheme="minorHAnsi" w:hAnsiTheme="minorHAnsi" w:eastAsiaTheme="minorEastAsia" w:cstheme="minorBidi"/>
                <w:spacing w:val="0"/>
                <w:w w:val="100"/>
                <w:kern w:val="2"/>
                <w:sz w:val="21"/>
                <w:szCs w:val="24"/>
                <w:lang w:val="en-US" w:eastAsia="zh-CN" w:bidi="ar-SA"/>
              </w:rPr>
            </w:pPr>
          </w:p>
        </w:tc>
        <w:tc>
          <w:tcPr>
            <w:tcW w:w="3944"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评标价:99分</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其他因素:1分</w:t>
            </w:r>
          </w:p>
          <w:p>
            <w:pPr>
              <w:bidi w:val="0"/>
              <w:jc w:val="left"/>
              <w:rPr>
                <w:rFonts w:hint="default" w:asciiTheme="minorHAnsi" w:hAnsiTheme="minorHAnsi" w:eastAsiaTheme="minorEastAsia" w:cstheme="minorBidi"/>
                <w:spacing w:val="0"/>
                <w:w w:val="1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99"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2.2.2</w:t>
            </w:r>
          </w:p>
        </w:tc>
        <w:tc>
          <w:tcPr>
            <w:tcW w:w="555"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评标基准价计算方法</w:t>
            </w:r>
          </w:p>
        </w:tc>
        <w:tc>
          <w:tcPr>
            <w:tcW w:w="3944"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 xml:space="preserve">评标基准价计算方法： </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在开标现场，招标人将当场计算并宣布评标基准价。</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(1)评标价的确定：评标价=投标函文字报价</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(2) 理论成本价的确定:</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按第二章“投标人须知”第5.2.4.1目规定计算。</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(3)评标价平均值的计算：</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除按第二章“投标人须知”第5.2.4.2目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(4)评标基准价的确定:</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评标基准价=（最高投标限价×C1+评标价平均值×C2）[ 对于如路面、交安等材料费用比重较大的工程，C1取0.6，C2取0.4；对于如路基、隧道等材料费用比重较小的工程，C1取0.5，C2取0.5；具体情况根据项目实际在招标文件中明确。]×（1-下浮系数）</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其中：C1=0.6；C2=0.4。</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下浮系数为    、    、    、    、    （从1%~5%中选取5个数，步距不小于0.5%，设置等差数列），并在开标时随机抽取。[ 具体数值由招标人依据项目特点和实际需要予以明确。]</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如果投标人认为某一标段的评标基准价计算有误， 有权在开标现场提出，经当场核实确认之后，可重新宣布评标基准价。</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9"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条款号</w:t>
            </w:r>
          </w:p>
        </w:tc>
        <w:tc>
          <w:tcPr>
            <w:tcW w:w="555"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条款内容</w:t>
            </w:r>
          </w:p>
        </w:tc>
        <w:tc>
          <w:tcPr>
            <w:tcW w:w="3944"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9"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2.2.3</w:t>
            </w:r>
          </w:p>
        </w:tc>
        <w:tc>
          <w:tcPr>
            <w:tcW w:w="555"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评标价的偏差率计算公式</w:t>
            </w:r>
          </w:p>
        </w:tc>
        <w:tc>
          <w:tcPr>
            <w:tcW w:w="3944"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偏差率=100% ×（投标人评标价－评标基准价）/评标基准价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99"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条款号</w:t>
            </w:r>
          </w:p>
        </w:tc>
        <w:tc>
          <w:tcPr>
            <w:tcW w:w="555"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条款内容</w:t>
            </w:r>
          </w:p>
        </w:tc>
        <w:tc>
          <w:tcPr>
            <w:tcW w:w="3944"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99"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2.2.4</w:t>
            </w:r>
          </w:p>
        </w:tc>
        <w:tc>
          <w:tcPr>
            <w:tcW w:w="555"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评标价</w:t>
            </w:r>
          </w:p>
        </w:tc>
        <w:tc>
          <w:tcPr>
            <w:tcW w:w="3944"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99分</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评标价得分计算公式示例：</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（1）如果投标人的评标价大于评标基准价，则评标价得分＝99－偏差率×100×E1；</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（2）如果投标人的评标价小于等于评标基准价，则评标价得分＝99＋偏差率×100×E2。</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其中：</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E1是评标价每高于评标基准价一个百分点的扣分值，E2是评标价每低于评标基准价一个百分点的扣分值，</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E1=2，E2=1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99"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p>
        </w:tc>
        <w:tc>
          <w:tcPr>
            <w:tcW w:w="555"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其他因素</w:t>
            </w:r>
          </w:p>
        </w:tc>
        <w:tc>
          <w:tcPr>
            <w:tcW w:w="3944" w:type="pct"/>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养护信用评价：1分</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 xml:space="preserve">     年度</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信用等级</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最近第一年/分</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最近第二年/分</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最近第三年/分</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AA</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0.5</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0.3</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0.2</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A</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0.3</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0.18</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0.12</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B</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0</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C</w:t>
            </w:r>
            <w:r>
              <w:rPr>
                <w:rFonts w:hint="default" w:asciiTheme="minorHAnsi" w:hAnsiTheme="minorHAnsi" w:eastAsiaTheme="minorEastAsia" w:cstheme="minorBidi"/>
                <w:spacing w:val="0"/>
                <w:w w:val="100"/>
                <w:kern w:val="2"/>
                <w:sz w:val="21"/>
                <w:szCs w:val="24"/>
                <w:lang w:val="en-US" w:eastAsia="zh-CN" w:bidi="ar-SA"/>
              </w:rPr>
              <w:tab/>
            </w:r>
            <w:r>
              <w:rPr>
                <w:rFonts w:hint="default" w:asciiTheme="minorHAnsi" w:hAnsiTheme="minorHAnsi" w:eastAsiaTheme="minorEastAsia" w:cstheme="minorBidi"/>
                <w:spacing w:val="0"/>
                <w:w w:val="100"/>
                <w:kern w:val="2"/>
                <w:sz w:val="21"/>
                <w:szCs w:val="24"/>
                <w:lang w:val="en-US" w:eastAsia="zh-CN" w:bidi="ar-SA"/>
              </w:rPr>
              <w:t>0</w:t>
            </w:r>
          </w:p>
          <w:p>
            <w:pPr>
              <w:bidi w:val="0"/>
              <w:jc w:val="left"/>
              <w:rPr>
                <w:rFonts w:hint="default" w:asciiTheme="minorHAnsi" w:hAnsiTheme="minorHAnsi" w:eastAsiaTheme="minorEastAsia" w:cstheme="minorBidi"/>
                <w:spacing w:val="0"/>
                <w:w w:val="100"/>
                <w:kern w:val="2"/>
                <w:sz w:val="21"/>
                <w:szCs w:val="24"/>
                <w:lang w:val="en-US" w:eastAsia="zh-CN" w:bidi="ar-SA"/>
              </w:rPr>
            </w:pPr>
            <w:r>
              <w:rPr>
                <w:rFonts w:hint="default" w:asciiTheme="minorHAnsi" w:hAnsiTheme="minorHAnsi" w:eastAsiaTheme="minorEastAsia" w:cstheme="minorBidi"/>
                <w:spacing w:val="0"/>
                <w:w w:val="100"/>
                <w:kern w:val="2"/>
                <w:sz w:val="21"/>
                <w:szCs w:val="24"/>
                <w:lang w:val="en-US" w:eastAsia="zh-CN" w:bidi="ar-SA"/>
              </w:rPr>
              <w:t>注：信用等级以湖南省交通运输厅发布的公路养护从业单位信用评价结果为准，企业信用加分分值按湖南省交通运输厅近三年发布的公路养护从业单位信用评价结果进行权值分配，企业近三年均无湖南省交通运输厅发布公路养护从业单位信用评价结果的，按交通运输部近三年发布的养护信用等级结果[ 湖南省及交通运输部信用等级的评分均仅以养护工程信用评价结果为准。]进行权值分配（其中交通运输部发布的养护信用评价结果为AA级的企业，按照A级计算当年养护信用评价得分），当年在湖南省发布的公路养护从业单位信用评价结果中无信用评价等级的，其当年的养护信用评价得分按上一年度湖南省发布（最近第三年度无信用评价时不再往前引用上一年发布的养护信用评价结果，其当年的养护信用评价得分按0分计）的公路养护从业单位信用评价结果的信用等级结果进行评分（其中上一年度发布的养护信用评价结果为AA级的企业，按照A级计算当年养护信用评价得分）；上一年度发布的公路养护从业单位信用评价结果也没有信用等级结果的，其当年的养护信用评价得分按0分计。</w:t>
            </w:r>
          </w:p>
        </w:tc>
      </w:tr>
    </w:tbl>
    <w:p>
      <w:pPr>
        <w:rPr>
          <w:rFonts w:hint="eastAsia" w:asciiTheme="minorHAnsi" w:hAnsiTheme="minorHAnsi" w:eastAsiaTheme="minorEastAsia" w:cstheme="minorBidi"/>
          <w:b/>
          <w:bCs/>
          <w:color w:val="auto"/>
          <w:sz w:val="28"/>
          <w:szCs w:val="28"/>
          <w:lang w:val="zh-CN" w:eastAsia="zh-CN"/>
        </w:rPr>
      </w:pPr>
      <w:r>
        <w:rPr>
          <w:rFonts w:hint="eastAsia" w:asciiTheme="minorHAnsi" w:hAnsiTheme="minorHAnsi" w:eastAsiaTheme="minorEastAsia" w:cstheme="minorBidi"/>
          <w:b/>
          <w:bCs/>
          <w:color w:val="auto"/>
          <w:sz w:val="28"/>
          <w:szCs w:val="28"/>
          <w:lang w:val="zh-CN" w:eastAsia="zh-CN"/>
        </w:rPr>
        <w:br w:type="page"/>
      </w: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p>
    <w:p>
      <w:pPr>
        <w:bidi w:val="0"/>
        <w:jc w:val="left"/>
        <w:rPr>
          <w:rFonts w:hint="default" w:asciiTheme="minorHAnsi" w:hAnsiTheme="minorHAnsi" w:eastAsiaTheme="minorEastAsia" w:cstheme="minorBidi"/>
          <w:color w:val="auto"/>
          <w:spacing w:val="0"/>
          <w:w w:val="100"/>
          <w:kern w:val="2"/>
          <w:sz w:val="21"/>
          <w:szCs w:val="24"/>
          <w:lang w:val="en-US" w:eastAsia="zh-CN" w:bidi="ar-SA"/>
        </w:rPr>
      </w:pPr>
    </w:p>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需要补充的其他内容：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3.3款后增加：</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第二信封开标前按照招标公告附件4的方法随机摇号的方式为各个通过第一信封评审且在数量控制范围内的投标人分配标段，同时随机抽取评标办法前附表2.2.2中的下浮系数。</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*3.4.3项修改为：</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评标委员会发现投标人的报价明显低于其他投标报价，且其评标价低于理论成本价时，应要求该投标人作出书面说明并提供相应的证明材料。投标人不能合理说明或不能提供相应证明材料的，由评标委员会认定该投标人以低于成本报价竞标，并否决其投标。理论成本价的确定按第二章“投标人须知”第5.2.4.1目规定计算。</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*3.6.1项修改为：</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在评标过程中，评标委员会发现投标文件中含义不明确、对同类问题表述不一致、有明显文字和计算错误、投标报价可能低于成本影响履约的，应当以书面形式要求投标人对投标文件作必要的澄清、说明，不得直接否决投标。评标委员会不接受投标人主动提出的澄清、说明。投标人不按评标委员会要求澄清或说明的，评标委员会应否决其投标。</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补充第3.8.3项：</w:t>
            </w:r>
          </w:p>
          <w:p>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有效投标不足三个的，评标委员会应当对投标是否明显缺乏竞争和是否需要否决全部投标进行充分论证，并在评标报告中记载论证过程和结果；发现违法行为的，以及评标过程和结果受到非法影响或者干预的，应当及时向行政监督部门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Theme="minorHAnsi" w:hAnsiTheme="minorHAnsi" w:eastAsiaTheme="minorEastAsia" w:cstheme="minorBidi"/>
                <w:kern w:val="2"/>
                <w:sz w:val="21"/>
                <w:szCs w:val="24"/>
                <w:lang w:val="en-US" w:eastAsia="zh-CN" w:bidi="ar-SA"/>
              </w:rPr>
            </w:pPr>
            <w:bookmarkStart w:id="15" w:name="EB16cd2b2f5a2f4af593f4961c5843a868"/>
            <w:r>
              <w:rPr>
                <w:rFonts w:hint="default" w:asciiTheme="minorHAnsi" w:hAnsiTheme="minorHAnsi" w:eastAsiaTheme="minorEastAsia" w:cstheme="minorBidi"/>
                <w:kern w:val="2"/>
                <w:sz w:val="21"/>
                <w:szCs w:val="24"/>
                <w:lang w:val="en-US" w:eastAsia="zh-CN" w:bidi="ar-SA"/>
              </w:rPr>
              <w:t>/</w:t>
            </w:r>
            <w:bookmarkEnd w:id="15"/>
          </w:p>
        </w:tc>
      </w:tr>
    </w:tbl>
    <w:p>
      <w:pPr>
        <w:pStyle w:val="13"/>
        <w:jc w:val="center"/>
        <w:rPr>
          <w:rStyle w:val="11"/>
          <w:rFonts w:hint="eastAsia" w:ascii="黑体" w:hAnsi="黑体" w:eastAsia="黑体" w:cs="Times New Roman"/>
          <w:sz w:val="28"/>
          <w:szCs w:val="28"/>
        </w:rPr>
        <w:sectPr>
          <w:pgSz w:w="11906" w:h="16838"/>
          <w:pgMar w:top="1440" w:right="1800" w:bottom="1440" w:left="1800" w:header="851" w:footer="992" w:gutter="0"/>
          <w:cols w:space="425" w:num="1"/>
          <w:docGrid w:type="lines" w:linePitch="312" w:charSpace="0"/>
        </w:sectPr>
      </w:pPr>
    </w:p>
    <w:p>
      <w:pPr>
        <w:pStyle w:val="14"/>
        <w:widowControl/>
        <w:shd w:val="clear" w:color="auto" w:fill="FFFFFF"/>
        <w:topLinePunct/>
        <w:spacing w:line="400" w:lineRule="atLeast"/>
        <w:ind w:firstLine="422" w:firstLineChars="200"/>
        <w:jc w:val="center"/>
        <w:rPr>
          <w:rStyle w:val="11"/>
          <w:rFonts w:hint="eastAsia" w:ascii="Times New Roman" w:hAnsi="宋体" w:cs="黑体" w:eastAsiaTheme="minorEastAsia"/>
          <w:b/>
          <w:bCs/>
          <w:color w:val="000000"/>
          <w:sz w:val="21"/>
          <w:szCs w:val="22"/>
          <w:highlight w:val="white"/>
          <w:shd w:val="clear" w:color="auto" w:fill="FFFFFF"/>
          <w:lang w:val="en-US" w:eastAsia="zh-CN"/>
        </w:rPr>
      </w:pPr>
      <w:r>
        <w:rPr>
          <w:rStyle w:val="11"/>
          <w:rFonts w:hint="eastAsia" w:ascii="Times New Roman" w:hAnsi="宋体" w:cs="黑体" w:eastAsiaTheme="minorEastAsia"/>
          <w:b/>
          <w:bCs/>
          <w:color w:val="000000"/>
          <w:sz w:val="21"/>
          <w:szCs w:val="22"/>
          <w:highlight w:val="white"/>
          <w:shd w:val="clear" w:color="auto" w:fill="FFFFFF"/>
          <w:lang w:val="en-US" w:eastAsia="zh-CN"/>
        </w:rPr>
        <w:t>附件3 项目概况</w:t>
      </w:r>
    </w:p>
    <w:p>
      <w:pPr>
        <w:pStyle w:val="13"/>
        <w:rPr>
          <w:rStyle w:val="11"/>
          <w:rFonts w:eastAsia="宋体" w:cs="Times New Roman"/>
          <w:highlight w:val="white"/>
        </w:rPr>
      </w:pPr>
    </w:p>
    <w:p>
      <w:pPr>
        <w:pStyle w:val="13"/>
        <w:numPr>
          <w:ilvl w:val="0"/>
          <w:numId w:val="1"/>
        </w:numPr>
        <w:spacing w:line="460" w:lineRule="exact"/>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项目说明</w:t>
      </w:r>
    </w:p>
    <w:p>
      <w:pPr>
        <w:pStyle w:val="13"/>
        <w:spacing w:line="460" w:lineRule="exact"/>
        <w:ind w:firstLine="482" w:firstLineChars="200"/>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 xml:space="preserve">1.项目位置：长沙绕城高速公路西南段 </w:t>
      </w:r>
    </w:p>
    <w:p>
      <w:pPr>
        <w:pStyle w:val="13"/>
        <w:spacing w:line="440" w:lineRule="exact"/>
        <w:ind w:firstLine="482" w:firstLineChars="200"/>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2.主要工程内容</w:t>
      </w:r>
      <w:r>
        <w:rPr>
          <w:rStyle w:val="11"/>
          <w:rFonts w:hint="eastAsia" w:ascii="宋体" w:hAnsi="宋体" w:eastAsia="宋体" w:cs="Times New Roman"/>
          <w:b/>
          <w:bCs/>
          <w:sz w:val="24"/>
          <w:highlight w:val="none"/>
          <w:lang w:eastAsia="zh-CN"/>
        </w:rPr>
        <w:t>（</w:t>
      </w:r>
      <w:r>
        <w:rPr>
          <w:rStyle w:val="11"/>
          <w:rFonts w:hint="eastAsia" w:ascii="宋体" w:hAnsi="宋体" w:eastAsia="宋体" w:cs="Times New Roman"/>
          <w:b/>
          <w:bCs/>
          <w:sz w:val="24"/>
          <w:highlight w:val="none"/>
          <w:lang w:val="en-US" w:eastAsia="zh-CN"/>
        </w:rPr>
        <w:t>不含机电</w:t>
      </w:r>
      <w:r>
        <w:rPr>
          <w:rStyle w:val="11"/>
          <w:rFonts w:hint="eastAsia" w:ascii="宋体" w:hAnsi="宋体" w:eastAsia="宋体" w:cs="Times New Roman"/>
          <w:b/>
          <w:bCs/>
          <w:sz w:val="24"/>
          <w:highlight w:val="none"/>
          <w:lang w:eastAsia="zh-CN"/>
        </w:rPr>
        <w:t>）</w:t>
      </w:r>
      <w:r>
        <w:rPr>
          <w:rStyle w:val="11"/>
          <w:rFonts w:hint="eastAsia" w:ascii="宋体" w:hAnsi="宋体" w:eastAsia="宋体" w:cs="Times New Roman"/>
          <w:b/>
          <w:bCs/>
          <w:sz w:val="24"/>
          <w:highlight w:val="none"/>
        </w:rPr>
        <w:t>：</w:t>
      </w:r>
    </w:p>
    <w:p>
      <w:pPr>
        <w:pStyle w:val="13"/>
        <w:spacing w:line="440" w:lineRule="exact"/>
        <w:ind w:firstLine="482" w:firstLineChars="200"/>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含总则、日常保养类（</w:t>
      </w:r>
      <w:r>
        <w:rPr>
          <w:rStyle w:val="11"/>
          <w:rFonts w:hint="eastAsia" w:ascii="宋体" w:hAnsi="宋体" w:eastAsia="宋体" w:cs="Times New Roman"/>
          <w:b/>
          <w:bCs/>
          <w:sz w:val="24"/>
          <w:highlight w:val="none"/>
          <w:lang w:val="en-US" w:eastAsia="zh-CN"/>
        </w:rPr>
        <w:t>A类，</w:t>
      </w:r>
      <w:r>
        <w:rPr>
          <w:rStyle w:val="11"/>
          <w:rFonts w:hint="eastAsia" w:ascii="宋体" w:hAnsi="宋体" w:eastAsia="宋体" w:cs="Times New Roman"/>
          <w:b/>
          <w:bCs/>
          <w:sz w:val="24"/>
          <w:highlight w:val="none"/>
        </w:rPr>
        <w:t>路基、路面、桥梁涵洞、隧道）、维修施工类（</w:t>
      </w:r>
      <w:r>
        <w:rPr>
          <w:rStyle w:val="11"/>
          <w:rFonts w:hint="eastAsia" w:ascii="宋体" w:hAnsi="宋体" w:eastAsia="宋体" w:cs="Times New Roman"/>
          <w:b/>
          <w:bCs/>
          <w:sz w:val="24"/>
          <w:highlight w:val="none"/>
          <w:lang w:val="en-US" w:eastAsia="zh-CN"/>
        </w:rPr>
        <w:t>B类，</w:t>
      </w:r>
      <w:r>
        <w:rPr>
          <w:rStyle w:val="11"/>
          <w:rFonts w:hint="eastAsia" w:ascii="宋体" w:hAnsi="宋体" w:eastAsia="宋体" w:cs="Times New Roman"/>
          <w:b/>
          <w:bCs/>
          <w:sz w:val="24"/>
          <w:highlight w:val="none"/>
        </w:rPr>
        <w:t>路基、路面、桥梁涵洞、隧道、安全设施及收费广场土建、绿化</w:t>
      </w:r>
      <w:r>
        <w:rPr>
          <w:rStyle w:val="11"/>
          <w:rFonts w:hint="eastAsia" w:ascii="宋体" w:hAnsi="宋体" w:eastAsia="宋体" w:cs="Times New Roman"/>
          <w:b/>
          <w:bCs/>
          <w:sz w:val="24"/>
          <w:highlight w:val="none"/>
          <w:lang w:eastAsia="zh-CN"/>
        </w:rPr>
        <w:t>及环境保护</w:t>
      </w:r>
      <w:r>
        <w:rPr>
          <w:rStyle w:val="11"/>
          <w:rFonts w:hint="eastAsia" w:ascii="宋体" w:hAnsi="宋体" w:eastAsia="宋体" w:cs="Times New Roman"/>
          <w:b/>
          <w:bCs/>
          <w:sz w:val="24"/>
          <w:highlight w:val="none"/>
        </w:rPr>
        <w:t>、房建工程）、计日工</w:t>
      </w:r>
      <w:r>
        <w:rPr>
          <w:rStyle w:val="11"/>
          <w:rFonts w:hint="eastAsia" w:ascii="宋体" w:hAnsi="宋体" w:eastAsia="宋体" w:cs="Times New Roman"/>
          <w:b/>
          <w:bCs/>
          <w:sz w:val="24"/>
          <w:highlight w:val="none"/>
          <w:lang w:val="en-US" w:eastAsia="zh-CN"/>
        </w:rPr>
        <w:t>(C类)</w:t>
      </w:r>
      <w:r>
        <w:rPr>
          <w:rStyle w:val="11"/>
          <w:rFonts w:hint="eastAsia" w:ascii="宋体" w:hAnsi="宋体" w:eastAsia="宋体" w:cs="Times New Roman"/>
          <w:b/>
          <w:bCs/>
          <w:sz w:val="24"/>
          <w:highlight w:val="none"/>
        </w:rPr>
        <w:t>、专项交通组织分流（</w:t>
      </w:r>
      <w:r>
        <w:rPr>
          <w:rStyle w:val="11"/>
          <w:rFonts w:hint="eastAsia" w:ascii="宋体" w:hAnsi="宋体" w:eastAsia="宋体" w:cs="Times New Roman"/>
          <w:b/>
          <w:bCs/>
          <w:sz w:val="24"/>
          <w:highlight w:val="none"/>
          <w:lang w:val="en-US" w:eastAsia="zh-CN"/>
        </w:rPr>
        <w:t>D类</w:t>
      </w:r>
      <w:r>
        <w:rPr>
          <w:rStyle w:val="11"/>
          <w:rFonts w:hint="eastAsia" w:ascii="宋体" w:hAnsi="宋体" w:eastAsia="宋体" w:cs="Times New Roman"/>
          <w:b/>
          <w:bCs/>
          <w:sz w:val="24"/>
          <w:highlight w:val="none"/>
          <w:lang w:val="en-US" w:eastAsia="zh-Hans"/>
        </w:rPr>
        <w:t>）</w:t>
      </w:r>
      <w:r>
        <w:rPr>
          <w:rStyle w:val="11"/>
          <w:rFonts w:hint="eastAsia" w:ascii="宋体" w:hAnsi="宋体" w:eastAsia="宋体" w:cs="Times New Roman"/>
          <w:b/>
          <w:bCs/>
          <w:sz w:val="24"/>
          <w:highlight w:val="none"/>
          <w:lang w:val="en-US" w:eastAsia="zh-CN"/>
        </w:rPr>
        <w:t>，</w:t>
      </w:r>
      <w:r>
        <w:rPr>
          <w:rStyle w:val="11"/>
          <w:rFonts w:hint="eastAsia" w:ascii="宋体" w:hAnsi="宋体" w:eastAsia="宋体" w:cs="Times New Roman"/>
          <w:b/>
          <w:bCs/>
          <w:sz w:val="24"/>
          <w:highlight w:val="none"/>
          <w:lang w:val="en-US" w:eastAsia="zh-Hans"/>
        </w:rPr>
        <w:t>（具体</w:t>
      </w:r>
      <w:r>
        <w:rPr>
          <w:rStyle w:val="11"/>
          <w:rFonts w:hint="eastAsia" w:ascii="宋体" w:hAnsi="宋体" w:eastAsia="宋体" w:cs="Times New Roman"/>
          <w:b/>
          <w:bCs/>
          <w:sz w:val="24"/>
          <w:highlight w:val="none"/>
        </w:rPr>
        <w:t>详见</w:t>
      </w:r>
      <w:r>
        <w:rPr>
          <w:rStyle w:val="11"/>
          <w:rFonts w:hint="eastAsia" w:ascii="宋体" w:hAnsi="宋体" w:eastAsia="宋体" w:cs="Times New Roman"/>
          <w:b/>
          <w:bCs/>
          <w:sz w:val="24"/>
          <w:highlight w:val="none"/>
          <w:lang w:eastAsia="zh-CN"/>
        </w:rPr>
        <w:t>湖南省长沙绕城高速西南段2024-2026年度养护工程施工招标工程量固化清单</w:t>
      </w:r>
      <w:r>
        <w:rPr>
          <w:rStyle w:val="11"/>
          <w:rFonts w:hint="eastAsia" w:ascii="宋体" w:hAnsi="宋体" w:eastAsia="宋体" w:cs="Times New Roman"/>
          <w:b/>
          <w:bCs/>
          <w:sz w:val="24"/>
          <w:highlight w:val="none"/>
        </w:rPr>
        <w:t>）</w:t>
      </w:r>
      <w:r>
        <w:rPr>
          <w:rStyle w:val="11"/>
          <w:rFonts w:ascii="宋体" w:hAnsi="宋体" w:eastAsia="宋体" w:cs="Times New Roman"/>
          <w:b/>
          <w:bCs/>
          <w:sz w:val="24"/>
          <w:highlight w:val="none"/>
        </w:rPr>
        <w:t>。</w:t>
      </w:r>
    </w:p>
    <w:p>
      <w:pPr>
        <w:pStyle w:val="13"/>
        <w:spacing w:line="460" w:lineRule="exact"/>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二、工程条件</w:t>
      </w:r>
    </w:p>
    <w:p>
      <w:pPr>
        <w:pStyle w:val="13"/>
        <w:spacing w:line="460" w:lineRule="exact"/>
        <w:ind w:firstLine="482" w:firstLineChars="200"/>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长沙绕城高速西南段主线全长28.091km，路基宽 26m，路面宽22.5m，为沥青碎路面结构，共设有互通式立交 7 处，收费站 6 个自 2004年 5月通车，运营至今已有 19 年。</w:t>
      </w:r>
    </w:p>
    <w:p>
      <w:pPr>
        <w:pStyle w:val="13"/>
        <w:spacing w:line="460" w:lineRule="exact"/>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三、技术要求</w:t>
      </w:r>
    </w:p>
    <w:p>
      <w:pPr>
        <w:pStyle w:val="13"/>
        <w:spacing w:line="440" w:lineRule="exact"/>
        <w:ind w:left="-6" w:leftChars="-3" w:firstLine="482" w:firstLineChars="200"/>
        <w:rPr>
          <w:rStyle w:val="11"/>
          <w:rFonts w:ascii="宋体" w:hAnsi="宋体" w:eastAsia="宋体" w:cs="Times New Roman"/>
          <w:b/>
          <w:bCs/>
          <w:sz w:val="24"/>
          <w:highlight w:val="none"/>
        </w:rPr>
      </w:pPr>
      <w:bookmarkStart w:id="16" w:name="_Toc49175339"/>
      <w:bookmarkStart w:id="17" w:name="_Toc256000001"/>
      <w:r>
        <w:rPr>
          <w:rStyle w:val="11"/>
          <w:rFonts w:hint="eastAsia" w:ascii="宋体" w:hAnsi="宋体" w:eastAsia="宋体" w:cs="Times New Roman"/>
          <w:b/>
          <w:bCs/>
          <w:sz w:val="24"/>
          <w:highlight w:val="none"/>
        </w:rPr>
        <w:t>1.主要工程数量</w:t>
      </w:r>
      <w:bookmarkEnd w:id="16"/>
      <w:bookmarkEnd w:id="17"/>
      <w:bookmarkStart w:id="18" w:name="_Toc49175340"/>
      <w:bookmarkStart w:id="19" w:name="_Toc256000002"/>
      <w:r>
        <w:rPr>
          <w:rStyle w:val="11"/>
          <w:rFonts w:hint="eastAsia" w:ascii="宋体" w:hAnsi="宋体" w:eastAsia="宋体" w:cs="Times New Roman"/>
          <w:b/>
          <w:bCs/>
          <w:sz w:val="24"/>
          <w:highlight w:val="none"/>
        </w:rPr>
        <w:t>：见本项目工程量清单。</w:t>
      </w:r>
      <w:bookmarkEnd w:id="18"/>
      <w:bookmarkEnd w:id="19"/>
    </w:p>
    <w:p>
      <w:pPr>
        <w:pStyle w:val="13"/>
        <w:spacing w:line="440" w:lineRule="exact"/>
        <w:ind w:left="-6" w:leftChars="-3" w:firstLine="482" w:firstLineChars="200"/>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 xml:space="preserve">2.质量要求：合格 </w:t>
      </w:r>
    </w:p>
    <w:p>
      <w:pPr>
        <w:pStyle w:val="13"/>
        <w:spacing w:line="440" w:lineRule="exact"/>
        <w:ind w:left="-6" w:leftChars="-3" w:firstLine="482" w:firstLineChars="200"/>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 xml:space="preserve">3.安全目标：严格执行有关安全生产的法律法规和规章制度，确保：项目期内无安全生产责任事故。 </w:t>
      </w:r>
    </w:p>
    <w:p>
      <w:pPr>
        <w:pStyle w:val="13"/>
        <w:spacing w:line="440" w:lineRule="exact"/>
        <w:ind w:left="-6" w:leftChars="-3" w:firstLine="482" w:firstLineChars="200"/>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 xml:space="preserve">4.环保目标：严格执行有关环境保护的法律法规和规章制度，确保：无环境污 染、水土流失事故和投诉事件发生。 </w:t>
      </w:r>
    </w:p>
    <w:p>
      <w:pPr>
        <w:pStyle w:val="13"/>
        <w:spacing w:line="440" w:lineRule="exact"/>
        <w:ind w:left="-6" w:leftChars="-3" w:firstLine="482" w:firstLineChars="200"/>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5.日常养护应符合《关于印发&lt;湖南省高速公路“三保三大”日常养护运营服务管理工作标准（试行）&gt;的通知》（湘交函[2023]351号）的要求；</w:t>
      </w:r>
    </w:p>
    <w:p>
      <w:pPr>
        <w:pStyle w:val="13"/>
        <w:spacing w:line="440" w:lineRule="exact"/>
        <w:ind w:left="-6" w:leftChars="-3" w:firstLine="482" w:firstLineChars="200"/>
        <w:rPr>
          <w:rStyle w:val="11"/>
          <w:rFonts w:ascii="宋体" w:hAnsi="宋体" w:eastAsia="宋体" w:cs="Times New Roman"/>
          <w:b/>
          <w:bCs/>
          <w:sz w:val="24"/>
          <w:highlight w:val="none"/>
        </w:rPr>
      </w:pPr>
      <w:r>
        <w:rPr>
          <w:rStyle w:val="11"/>
          <w:rFonts w:hint="eastAsia" w:ascii="宋体" w:hAnsi="宋体" w:eastAsia="宋体" w:cs="Times New Roman"/>
          <w:b/>
          <w:bCs/>
          <w:sz w:val="24"/>
          <w:highlight w:val="none"/>
        </w:rPr>
        <w:t xml:space="preserve">6.对中标单位的考核按《关于印发&lt;湖南省高速公路“三保三大”日常养护运营服务管理评分细则&gt;的通知》（湘交运输〔2023〕147 号）及招标人的相关要求执行。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17"/>
        <w:spacing w:line="240" w:lineRule="auto"/>
        <w:ind w:firstLine="0"/>
        <w:rPr>
          <w:rStyle w:val="11"/>
          <w:rFonts w:ascii="黑体" w:hAnsi="黑体" w:eastAsia="黑体" w:cs="黑体"/>
        </w:rPr>
      </w:pPr>
      <w:r>
        <w:rPr>
          <w:rStyle w:val="18"/>
          <w:rFonts w:ascii="华文新魏" w:hAnsi="黑体" w:eastAsia="华文新魏" w:cs="黑体"/>
        </w:rPr>
        <w:footnoteRef/>
      </w:r>
      <w:r>
        <w:rPr>
          <w:rStyle w:val="11"/>
          <w:rFonts w:hint="eastAsia" w:ascii="华文新魏" w:hAnsi="黑体" w:eastAsia="华文新魏" w:cs="黑体"/>
          <w:highlight w:val="white"/>
        </w:rPr>
        <w:t xml:space="preserve"> </w:t>
      </w:r>
      <w:r>
        <w:rPr>
          <w:rStyle w:val="11"/>
          <w:rFonts w:hint="eastAsia" w:ascii="黑体" w:hAnsi="黑体" w:eastAsia="黑体" w:cs="黑体"/>
          <w:highlight w:val="white"/>
        </w:rPr>
        <w:t>单位负责人，是指单位法定代表人或者法律、行政法规规定代表单位行使职权的主要负责人。（招标文件中所列“单位负责人”均作本条解释）。</w:t>
      </w:r>
    </w:p>
  </w:footnote>
  <w:footnote w:id="1">
    <w:p>
      <w:pPr>
        <w:pStyle w:val="17"/>
        <w:spacing w:line="240" w:lineRule="auto"/>
        <w:ind w:firstLine="0"/>
        <w:rPr>
          <w:rStyle w:val="11"/>
          <w:rFonts w:ascii="黑体" w:hAnsi="黑体" w:eastAsia="黑体" w:cs="黑体"/>
        </w:rPr>
      </w:pPr>
      <w:r>
        <w:rPr>
          <w:rStyle w:val="18"/>
          <w:rFonts w:ascii="黑体" w:hAnsi="黑体" w:eastAsia="黑体" w:cs="黑体"/>
        </w:rPr>
        <w:footnoteRef/>
      </w:r>
      <w:r>
        <w:rPr>
          <w:rStyle w:val="11"/>
          <w:rFonts w:hint="eastAsia" w:ascii="黑体" w:hAnsi="黑体" w:eastAsia="黑体" w:cs="黑体"/>
          <w:highlight w:val="white"/>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2">
    <w:p>
      <w:pPr>
        <w:pStyle w:val="17"/>
        <w:spacing w:line="240" w:lineRule="auto"/>
        <w:ind w:firstLine="0"/>
        <w:rPr>
          <w:rStyle w:val="11"/>
          <w:rFonts w:ascii="华文新魏" w:hAnsi="黑体" w:eastAsia="华文新魏" w:cs="黑体"/>
        </w:rPr>
      </w:pPr>
      <w:r>
        <w:rPr>
          <w:rStyle w:val="18"/>
          <w:rFonts w:ascii="黑体" w:hAnsi="黑体" w:eastAsia="黑体" w:cs="黑体"/>
        </w:rPr>
        <w:footnoteRef/>
      </w:r>
      <w:r>
        <w:rPr>
          <w:rStyle w:val="11"/>
          <w:rFonts w:hint="eastAsia" w:ascii="黑体" w:hAnsi="黑体" w:eastAsia="黑体" w:cs="黑体"/>
          <w:highlight w:val="white"/>
        </w:rPr>
        <w:t xml:space="preserve"> 管理，是指不具有出资持股关系的其他单位之间存在的管理与被管理关系。（招标文件中所列“管理”均作本条解释）。</w:t>
      </w:r>
    </w:p>
  </w:footnote>
  <w:footnote w:id="3">
    <w:p>
      <w:pPr>
        <w:pStyle w:val="17"/>
        <w:spacing w:line="240" w:lineRule="auto"/>
        <w:ind w:firstLine="0"/>
        <w:rPr>
          <w:rStyle w:val="11"/>
        </w:rPr>
      </w:pPr>
      <w:r>
        <w:rPr>
          <w:rStyle w:val="18"/>
        </w:rPr>
        <w:footnoteRef/>
      </w:r>
      <w:r>
        <w:rPr>
          <w:rStyle w:val="11"/>
          <w:rFonts w:hint="eastAsia" w:ascii="黑体" w:hAnsi="黑体" w:eastAsia="黑体"/>
          <w:highlight w:val="white"/>
        </w:rPr>
        <w:t>本款适用于项目同时有多个同类标段招标的，且评标办法采用分类资审随机分配合理低价法或者经评审的最低投标价法的项目。</w:t>
      </w:r>
    </w:p>
  </w:footnote>
  <w:footnote w:id="4">
    <w:p>
      <w:pPr>
        <w:pStyle w:val="17"/>
        <w:spacing w:line="240" w:lineRule="auto"/>
        <w:ind w:firstLine="0"/>
        <w:rPr>
          <w:rStyle w:val="11"/>
          <w:rFonts w:ascii="华文新魏" w:eastAsia="华文新魏"/>
        </w:rPr>
      </w:pPr>
      <w:r>
        <w:rPr>
          <w:rStyle w:val="18"/>
          <w:rFonts w:ascii="华文新魏" w:eastAsia="华文新魏"/>
        </w:rPr>
        <w:footnoteRef/>
      </w:r>
      <w:r>
        <w:rPr>
          <w:rStyle w:val="11"/>
          <w:rFonts w:hint="eastAsia" w:ascii="华文新魏" w:eastAsia="华文新魏"/>
          <w:highlight w:val="white"/>
        </w:rPr>
        <w:t xml:space="preserve"> </w:t>
      </w:r>
      <w:r>
        <w:rPr>
          <w:rStyle w:val="11"/>
          <w:rFonts w:hint="eastAsia" w:ascii="黑体" w:hAnsi="黑体" w:eastAsia="黑体"/>
          <w:highlight w:val="white"/>
        </w:rPr>
        <w:t>省属项目按省交通运输厅评价执行，市州在农村公路招投标过程中，市州交通运输局组织开展并发布的农村公路的信用评价等级结果在该市州范围内适用。对无该市农村公路信用评价等级的施工企业，应适用省厅发布的信用等级。</w:t>
      </w:r>
    </w:p>
  </w:footnote>
  <w:footnote w:id="5">
    <w:p>
      <w:pPr>
        <w:widowControl w:val="0"/>
        <w:adjustRightInd w:val="0"/>
        <w:snapToGrid/>
        <w:spacing w:line="240" w:lineRule="auto"/>
        <w:ind w:left="180" w:hanging="180" w:hangingChars="100"/>
        <w:jc w:val="left"/>
        <w:textAlignment w:val="baseline"/>
        <w:rPr>
          <w:rFonts w:ascii="Calibri" w:hAnsi="Calibri" w:eastAsia="宋体" w:cs="Times New Roman"/>
          <w:kern w:val="0"/>
          <w:sz w:val="18"/>
          <w:szCs w:val="20"/>
          <w:lang w:val="en-US" w:eastAsia="zh-CN" w:bidi="ar-SA"/>
        </w:rPr>
      </w:pPr>
    </w:p>
  </w:footnote>
  <w:footnote w:id="6">
    <w:p>
      <w:pPr>
        <w:widowControl w:val="0"/>
        <w:adjustRightInd w:val="0"/>
        <w:snapToGrid w:val="0"/>
        <w:spacing w:line="240" w:lineRule="auto"/>
        <w:ind w:firstLine="0"/>
        <w:jc w:val="left"/>
        <w:textAlignment w:val="baseline"/>
        <w:rPr>
          <w:rFonts w:ascii="Calibri" w:hAnsi="Calibri" w:eastAsia="宋体" w:cs="Times New Roman"/>
          <w:kern w:val="0"/>
          <w:sz w:val="18"/>
          <w:szCs w:val="20"/>
          <w:lang w:val="zh-CN" w:eastAsia="zh-CN" w:bidi="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F"/>
    <w:multiLevelType w:val="singleLevel"/>
    <w:tmpl w:val="005320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NWZjMTNiZDBkMjMxZTgwNTk0NDJlMGNhN2U5MTYifQ=="/>
  </w:docVars>
  <w:rsids>
    <w:rsidRoot w:val="35FF7FEC"/>
    <w:rsid w:val="04980A96"/>
    <w:rsid w:val="35FF7FEC"/>
    <w:rsid w:val="6714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autoRedefine/>
    <w:qFormat/>
    <w:uiPriority w:val="0"/>
    <w:pPr>
      <w:keepNext/>
      <w:keepLines/>
      <w:widowControl/>
      <w:spacing w:before="120" w:after="120"/>
      <w:jc w:val="left"/>
      <w:outlineLvl w:val="2"/>
    </w:pPr>
    <w:rPr>
      <w:rFonts w:eastAsia="黑体"/>
      <w:b/>
      <w:kern w:val="0"/>
      <w:sz w:val="28"/>
      <w:szCs w:val="20"/>
      <w:lang w:val="zh-CN"/>
    </w:rPr>
  </w:style>
  <w:style w:type="character" w:default="1" w:styleId="11">
    <w:name w:val="Default Paragraph Font"/>
    <w:autoRedefine/>
    <w:semiHidden/>
    <w:qFormat/>
    <w:uiPriority w:val="0"/>
  </w:style>
  <w:style w:type="table" w:default="1" w:styleId="10">
    <w:name w:val="Normal Table"/>
    <w:autoRedefin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tabs>
        <w:tab w:val="center" w:pos="4153"/>
        <w:tab w:val="right" w:pos="8306"/>
      </w:tabs>
      <w:snapToGrid w:val="0"/>
      <w:jc w:val="center"/>
    </w:pPr>
    <w:rPr>
      <w:sz w:val="18"/>
      <w:szCs w:val="18"/>
    </w:rPr>
  </w:style>
  <w:style w:type="paragraph" w:styleId="6">
    <w:name w:val="footnote text"/>
    <w:basedOn w:val="1"/>
    <w:qFormat/>
    <w:uiPriority w:val="0"/>
    <w:pPr>
      <w:adjustRightInd w:val="0"/>
      <w:snapToGrid w:val="0"/>
      <w:spacing w:line="420" w:lineRule="atLeast"/>
      <w:ind w:firstLine="454"/>
      <w:jc w:val="left"/>
      <w:textAlignment w:val="baseline"/>
    </w:pPr>
    <w:rPr>
      <w:kern w:val="0"/>
      <w:sz w:val="18"/>
      <w:szCs w:val="20"/>
      <w:lang w:val="zh-CN"/>
    </w:rPr>
  </w:style>
  <w:style w:type="paragraph" w:styleId="7">
    <w:name w:val="Body Text First Indent 2"/>
    <w:basedOn w:val="8"/>
    <w:unhideWhenUsed/>
    <w:qFormat/>
    <w:uiPriority w:val="99"/>
    <w:pPr>
      <w:ind w:firstLine="420" w:firstLineChars="200"/>
    </w:pPr>
  </w:style>
  <w:style w:type="paragraph" w:customStyle="1" w:styleId="8">
    <w:name w:val="正文文本缩进_0"/>
    <w:basedOn w:val="9"/>
    <w:autoRedefine/>
    <w:qFormat/>
    <w:uiPriority w:val="0"/>
    <w:pPr>
      <w:spacing w:after="120"/>
      <w:ind w:left="420" w:leftChars="200"/>
    </w:pPr>
  </w:style>
  <w:style w:type="paragraph" w:customStyle="1" w:styleId="9">
    <w:name w:val="正文_1"/>
    <w:next w:val="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2">
    <w:name w:val="footnote reference"/>
    <w:autoRedefine/>
    <w:qFormat/>
    <w:uiPriority w:val="0"/>
    <w:rPr>
      <w:vertAlign w:val="superscript"/>
    </w:rPr>
  </w:style>
  <w:style w:type="paragraph" w:customStyle="1" w:styleId="13">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文本 3_0"/>
    <w:basedOn w:val="15"/>
    <w:autoRedefine/>
    <w:qFormat/>
    <w:uiPriority w:val="0"/>
    <w:rPr>
      <w:rFonts w:ascii="宋体"/>
      <w:sz w:val="24"/>
      <w:szCs w:val="20"/>
    </w:rPr>
  </w:style>
  <w:style w:type="paragraph" w:customStyle="1" w:styleId="15">
    <w:name w:val="正文_1_0"/>
    <w:next w:val="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_0"/>
    <w:basedOn w:val="15"/>
    <w:autoRedefine/>
    <w:qFormat/>
    <w:uiPriority w:val="0"/>
    <w:pPr>
      <w:spacing w:after="120"/>
    </w:pPr>
  </w:style>
  <w:style w:type="paragraph" w:customStyle="1" w:styleId="17">
    <w:name w:val="脚注文本_0"/>
    <w:basedOn w:val="15"/>
    <w:autoRedefine/>
    <w:qFormat/>
    <w:uiPriority w:val="0"/>
    <w:pPr>
      <w:adjustRightInd w:val="0"/>
      <w:snapToGrid w:val="0"/>
      <w:spacing w:line="420" w:lineRule="atLeast"/>
      <w:ind w:firstLine="454"/>
      <w:jc w:val="left"/>
      <w:textAlignment w:val="baseline"/>
    </w:pPr>
    <w:rPr>
      <w:kern w:val="0"/>
      <w:sz w:val="18"/>
      <w:szCs w:val="20"/>
      <w:lang w:val="zh-CN"/>
    </w:rPr>
  </w:style>
  <w:style w:type="character" w:customStyle="1" w:styleId="18">
    <w:name w:val="脚注引用_0"/>
    <w:autoRedefine/>
    <w:qFormat/>
    <w:uiPriority w:val="0"/>
    <w:rPr>
      <w:vertAlign w:val="superscript"/>
    </w:rPr>
  </w:style>
  <w:style w:type="paragraph" w:customStyle="1" w:styleId="19">
    <w:name w:val="Normal_0"/>
    <w:autoRedefine/>
    <w:qFormat/>
    <w:uiPriority w:val="0"/>
    <w:rPr>
      <w:rFonts w:ascii="Times New Roman" w:hAnsi="Times New Roman" w:eastAsia="Times New Roman" w:cs="Times New Roman"/>
      <w:sz w:val="24"/>
      <w:szCs w:val="24"/>
    </w:rPr>
  </w:style>
  <w:style w:type="paragraph" w:customStyle="1" w:styleId="20">
    <w:name w:val="Normal_1"/>
    <w:autoRedefine/>
    <w:qFormat/>
    <w:uiPriority w:val="0"/>
    <w:rPr>
      <w:rFonts w:ascii="Times New Roman" w:hAnsi="Times New Roman" w:eastAsia="Times New Roman" w:cs="Times New Roman"/>
      <w:sz w:val="24"/>
      <w:szCs w:val="24"/>
    </w:rPr>
  </w:style>
  <w:style w:type="paragraph" w:customStyle="1" w:styleId="21">
    <w:name w:val="正文_69"/>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2023-12-26T01:39:00Z</dcterms:created>
  <dc:creator>黎黎</dc:creator>
  <cp:lastModifiedBy>黎黎</cp:lastModifiedBy>
  <dcterms:modified xsi:type="dcterms:W3CDTF">2023-12-26T03:44:58Z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D982CD697922459685C33E2D261B9C39_11</vt:lpwstr>
  </property>
</Properties>
</file>