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440" w:lineRule="exact"/>
        <w:jc w:val="center"/>
        <w:rPr>
          <w:rStyle w:val="12"/>
          <w:rFonts w:ascii="Times New Roman" w:hAnsi="Times New Roman" w:eastAsia="黑体" w:cs="Times New Roman"/>
          <w:sz w:val="28"/>
          <w:szCs w:val="28"/>
        </w:rPr>
      </w:pPr>
      <w:r>
        <w:rPr>
          <w:rStyle w:val="12"/>
          <w:rFonts w:hint="eastAsia" w:ascii="Times New Roman" w:hAnsi="Times New Roman" w:eastAsia="黑体" w:cs="Times New Roman"/>
          <w:sz w:val="28"/>
          <w:szCs w:val="28"/>
          <w:u w:val="single"/>
          <w:lang w:val="en-US" w:eastAsia="zh-CN"/>
        </w:rPr>
        <w:t>湖南省高速公路集团有限公司耒宜高速扩容工程、零道、桂新项目水土保持施工监理招标</w:t>
      </w:r>
      <w:r>
        <w:rPr>
          <w:rStyle w:val="12"/>
          <w:rFonts w:hint="eastAsia" w:ascii="Times New Roman" w:hAnsi="Times New Roman" w:eastAsia="黑体" w:cs="Times New Roman"/>
          <w:sz w:val="28"/>
          <w:szCs w:val="28"/>
        </w:rPr>
        <w:t>（项目名称）</w:t>
      </w:r>
      <w:r>
        <w:rPr>
          <w:rStyle w:val="12"/>
          <w:rFonts w:hint="eastAsia" w:ascii="Times New Roman" w:hAnsi="Times New Roman" w:eastAsia="黑体" w:cs="Times New Roman"/>
          <w:sz w:val="28"/>
          <w:szCs w:val="28"/>
          <w:u w:val="single"/>
          <w:lang w:val="en-US" w:eastAsia="zh-CN"/>
        </w:rPr>
        <w:t>SJ01</w:t>
      </w:r>
      <w:r>
        <w:rPr>
          <w:rStyle w:val="12"/>
          <w:rFonts w:hint="eastAsia" w:ascii="Times New Roman" w:hAnsi="Times New Roman" w:eastAsia="黑体" w:cs="Times New Roman"/>
          <w:sz w:val="28"/>
          <w:szCs w:val="28"/>
        </w:rPr>
        <w:t>标段施工监理招标公告</w:t>
      </w:r>
    </w:p>
    <w:p>
      <w:pPr>
        <w:pStyle w:val="14"/>
        <w:spacing w:line="440" w:lineRule="exact"/>
        <w:jc w:val="center"/>
        <w:rPr>
          <w:rStyle w:val="12"/>
          <w:rFonts w:ascii="Times New Roman" w:hAnsi="Times New Roman" w:eastAsia="黑体" w:cs="Times New Roman"/>
          <w:sz w:val="20"/>
          <w:szCs w:val="20"/>
        </w:rPr>
      </w:pPr>
    </w:p>
    <w:p>
      <w:pPr>
        <w:pStyle w:val="14"/>
        <w:pageBreakBefore w:val="0"/>
        <w:wordWrap/>
        <w:overflowPunct/>
        <w:bidi w:val="0"/>
        <w:spacing w:line="400" w:lineRule="atLeast"/>
        <w:ind w:left="0" w:leftChars="0" w:firstLine="0" w:firstLineChars="0"/>
        <w:jc w:val="center"/>
        <w:outlineLvl w:val="9"/>
        <w:rPr>
          <w:rStyle w:val="12"/>
          <w:rFonts w:hint="eastAsia" w:ascii="Times New Roman" w:hAnsi="Times New Roman" w:eastAsia="宋体" w:cs="Times New Roman"/>
          <w:sz w:val="24"/>
          <w:szCs w:val="24"/>
          <w:lang w:val="en-US" w:eastAsia="zh-CN"/>
        </w:rPr>
      </w:pPr>
      <w:r>
        <w:rPr>
          <w:rStyle w:val="12"/>
          <w:rFonts w:hint="eastAsia" w:ascii="Times New Roman" w:hAnsi="Times New Roman" w:eastAsia="宋体" w:cs="Times New Roman"/>
          <w:sz w:val="24"/>
          <w:szCs w:val="24"/>
          <w:lang w:val="en-US" w:eastAsia="zh-CN"/>
        </w:rPr>
        <w:t>投标</w:t>
      </w:r>
      <w:r>
        <w:rPr>
          <w:rStyle w:val="12"/>
          <w:rFonts w:hint="eastAsia" w:ascii="Times New Roman" w:hAnsi="Times New Roman" w:eastAsia="宋体" w:cs="Times New Roman"/>
          <w:sz w:val="24"/>
          <w:szCs w:val="24"/>
          <w:lang w:eastAsia="zh-CN"/>
        </w:rPr>
        <w:t>文件递交截止时间：</w:t>
      </w:r>
      <w:r>
        <w:rPr>
          <w:rStyle w:val="12"/>
          <w:rFonts w:hint="eastAsia" w:ascii="Times New Roman" w:hAnsi="Times New Roman" w:eastAsia="宋体" w:cs="Times New Roman"/>
          <w:sz w:val="24"/>
          <w:szCs w:val="24"/>
          <w:lang w:val="en-US" w:eastAsia="zh-CN"/>
        </w:rPr>
        <w:t>202</w:t>
      </w:r>
      <w:r>
        <w:rPr>
          <w:rStyle w:val="12"/>
          <w:rFonts w:hint="eastAsia" w:ascii="Times New Roman" w:hAnsi="Times New Roman" w:cs="Times New Roman"/>
          <w:sz w:val="24"/>
          <w:szCs w:val="24"/>
          <w:lang w:val="en-US" w:eastAsia="zh-CN"/>
        </w:rPr>
        <w:t>4</w:t>
      </w:r>
      <w:r>
        <w:rPr>
          <w:rStyle w:val="12"/>
          <w:rFonts w:hint="eastAsia" w:ascii="Times New Roman" w:hAnsi="Times New Roman" w:eastAsia="宋体" w:cs="Times New Roman"/>
          <w:sz w:val="24"/>
          <w:szCs w:val="24"/>
          <w:lang w:val="en-US" w:eastAsia="zh-CN"/>
        </w:rPr>
        <w:t>年</w:t>
      </w:r>
      <w:r>
        <w:rPr>
          <w:rStyle w:val="12"/>
          <w:rFonts w:hint="eastAsia" w:ascii="Times New Roman" w:hAnsi="Times New Roman" w:cs="Times New Roman"/>
          <w:sz w:val="24"/>
          <w:szCs w:val="24"/>
          <w:lang w:val="en-US" w:eastAsia="zh-CN"/>
        </w:rPr>
        <w:t>1</w:t>
      </w:r>
      <w:r>
        <w:rPr>
          <w:rStyle w:val="12"/>
          <w:rFonts w:hint="eastAsia" w:ascii="Times New Roman" w:hAnsi="Times New Roman" w:eastAsia="宋体" w:cs="Times New Roman"/>
          <w:sz w:val="24"/>
          <w:szCs w:val="24"/>
          <w:lang w:val="en-US" w:eastAsia="zh-CN"/>
        </w:rPr>
        <w:t>月</w:t>
      </w:r>
      <w:r>
        <w:rPr>
          <w:rStyle w:val="12"/>
          <w:rFonts w:hint="eastAsia" w:ascii="Times New Roman" w:hAnsi="Times New Roman" w:cs="Times New Roman"/>
          <w:sz w:val="24"/>
          <w:szCs w:val="24"/>
          <w:lang w:val="en-US" w:eastAsia="zh-CN"/>
        </w:rPr>
        <w:t>4</w:t>
      </w:r>
      <w:r>
        <w:rPr>
          <w:rStyle w:val="12"/>
          <w:rFonts w:hint="eastAsia" w:ascii="Times New Roman" w:hAnsi="Times New Roman" w:eastAsia="宋体" w:cs="Times New Roman"/>
          <w:sz w:val="24"/>
          <w:szCs w:val="24"/>
          <w:lang w:val="en-US" w:eastAsia="zh-CN"/>
        </w:rPr>
        <w:t>日9:00</w:t>
      </w:r>
    </w:p>
    <w:p>
      <w:pPr>
        <w:pStyle w:val="14"/>
        <w:spacing w:line="440" w:lineRule="exact"/>
        <w:jc w:val="center"/>
        <w:rPr>
          <w:rStyle w:val="12"/>
          <w:rFonts w:ascii="Times New Roman" w:hAnsi="Times New Roman" w:eastAsia="黑体" w:cs="Times New Roman"/>
          <w:sz w:val="20"/>
          <w:szCs w:val="20"/>
        </w:rPr>
      </w:pPr>
      <w:r>
        <w:rPr>
          <w:rStyle w:val="12"/>
          <w:rFonts w:hint="default" w:ascii="Times New Roman" w:hAnsi="Times New Roman" w:eastAsia="宋体" w:cs="Times New Roman"/>
          <w:sz w:val="24"/>
          <w:szCs w:val="24"/>
          <w:lang w:val="en-US" w:eastAsia="zh-CN"/>
        </w:rPr>
        <w:t>开标时间：同</w:t>
      </w:r>
      <w:r>
        <w:rPr>
          <w:rStyle w:val="12"/>
          <w:rFonts w:hint="eastAsia" w:ascii="Times New Roman" w:hAnsi="Times New Roman" w:eastAsia="宋体" w:cs="Times New Roman"/>
          <w:sz w:val="24"/>
          <w:szCs w:val="24"/>
          <w:lang w:val="en-US" w:eastAsia="zh-CN"/>
        </w:rPr>
        <w:t>投标</w:t>
      </w:r>
      <w:r>
        <w:rPr>
          <w:rStyle w:val="12"/>
          <w:rFonts w:hint="default" w:ascii="Times New Roman" w:hAnsi="Times New Roman" w:eastAsia="宋体" w:cs="Times New Roman"/>
          <w:sz w:val="24"/>
          <w:szCs w:val="24"/>
          <w:lang w:val="en-US" w:eastAsia="zh-CN"/>
        </w:rPr>
        <w:t>文件递交截止时间</w:t>
      </w:r>
      <w:r>
        <w:rPr>
          <w:rStyle w:val="12"/>
          <w:rFonts w:ascii="Times New Roman" w:hAnsi="Times New Roman" w:eastAsia="黑体" w:cs="Times New Roman"/>
          <w:sz w:val="20"/>
          <w:szCs w:val="20"/>
        </w:rPr>
        <w:t xml:space="preserve">               </w:t>
      </w:r>
    </w:p>
    <w:p>
      <w:pPr>
        <w:pStyle w:val="14"/>
        <w:keepNext/>
        <w:keepLines/>
        <w:spacing w:before="240" w:after="240" w:line="240" w:lineRule="atLeast"/>
        <w:outlineLvl w:val="0"/>
        <w:rPr>
          <w:rStyle w:val="12"/>
          <w:rFonts w:ascii="Times New Roman" w:hAnsi="Times New Roman" w:eastAsia="宋体" w:cs="Times New Roman"/>
          <w:b/>
          <w:bCs/>
          <w:kern w:val="44"/>
          <w:sz w:val="28"/>
          <w:szCs w:val="28"/>
        </w:rPr>
      </w:pPr>
      <w:bookmarkStart w:id="0" w:name="_Toc256000002"/>
      <w:bookmarkStart w:id="1" w:name="_Toc503235714"/>
      <w:bookmarkStart w:id="2" w:name="_Toc510015649"/>
      <w:r>
        <w:rPr>
          <w:rStyle w:val="12"/>
          <w:rFonts w:ascii="Times New Roman" w:hAnsi="Times New Roman" w:eastAsia="宋体" w:cs="Times New Roman"/>
          <w:b/>
          <w:bCs/>
          <w:kern w:val="44"/>
          <w:sz w:val="28"/>
          <w:szCs w:val="28"/>
        </w:rPr>
        <w:t xml:space="preserve">1. </w:t>
      </w:r>
      <w:r>
        <w:rPr>
          <w:rStyle w:val="12"/>
          <w:rFonts w:hint="eastAsia" w:ascii="Times New Roman" w:hAnsi="Times New Roman" w:eastAsia="黑体" w:cs="Times New Roman"/>
          <w:b/>
          <w:bCs/>
          <w:kern w:val="44"/>
          <w:sz w:val="28"/>
          <w:szCs w:val="28"/>
        </w:rPr>
        <w:t>招标条件</w:t>
      </w:r>
      <w:bookmarkEnd w:id="0"/>
      <w:bookmarkEnd w:id="1"/>
      <w:bookmarkEnd w:id="2"/>
    </w:p>
    <w:p>
      <w:pPr>
        <w:pStyle w:val="14"/>
        <w:spacing w:line="400" w:lineRule="atLeast"/>
        <w:ind w:firstLine="480" w:firstLineChars="200"/>
        <w:rPr>
          <w:rStyle w:val="12"/>
          <w:rFonts w:ascii="Times New Roman" w:hAnsi="Times New Roman" w:eastAsia="宋体" w:cs="Times New Roman"/>
          <w:sz w:val="24"/>
          <w:szCs w:val="24"/>
        </w:rPr>
      </w:pPr>
      <w:r>
        <w:rPr>
          <w:rStyle w:val="12"/>
          <w:rFonts w:hint="eastAsia" w:ascii="Times New Roman" w:hAnsi="Times New Roman" w:eastAsia="宋体" w:cs="Times New Roman"/>
          <w:sz w:val="24"/>
          <w:szCs w:val="24"/>
        </w:rPr>
        <w:t>本招标项目</w:t>
      </w:r>
      <w:r>
        <w:rPr>
          <w:rStyle w:val="12"/>
          <w:rFonts w:hint="eastAsia" w:ascii="Times New Roman" w:hAnsi="Times New Roman" w:eastAsia="宋体" w:cs="Times New Roman"/>
          <w:sz w:val="24"/>
          <w:szCs w:val="24"/>
          <w:u w:val="single"/>
          <w:lang w:val="en-US" w:eastAsia="zh-CN"/>
        </w:rPr>
        <w:t>湖南省高速公路集团有限公司耒宜高速扩容工程、零道、桂新项目水土保持施工监理招标</w:t>
      </w:r>
      <w:r>
        <w:rPr>
          <w:rStyle w:val="12"/>
          <w:rFonts w:hint="eastAsia" w:ascii="Times New Roman" w:hAnsi="Times New Roman" w:eastAsia="宋体" w:cs="Times New Roman"/>
          <w:sz w:val="24"/>
          <w:szCs w:val="24"/>
        </w:rPr>
        <w:t>（项目名称）已由</w:t>
      </w:r>
      <w:r>
        <w:rPr>
          <w:rStyle w:val="12"/>
          <w:rFonts w:hint="eastAsia" w:ascii="Times New Roman" w:hAnsi="Times New Roman" w:eastAsia="宋体" w:cs="Times New Roman"/>
          <w:sz w:val="24"/>
          <w:szCs w:val="24"/>
          <w:u w:val="single"/>
          <w:lang w:val="en-US" w:eastAsia="zh-CN"/>
        </w:rPr>
        <w:t>湖南省高速公路集团有限公司</w:t>
      </w:r>
      <w:r>
        <w:rPr>
          <w:rStyle w:val="12"/>
          <w:rFonts w:hint="eastAsia" w:ascii="Times New Roman" w:hAnsi="Times New Roman" w:eastAsia="宋体" w:cs="Times New Roman"/>
          <w:sz w:val="24"/>
          <w:szCs w:val="24"/>
        </w:rPr>
        <w:t>（项目审批、核准或备案机关名称）批准建设，项目业主为</w:t>
      </w:r>
      <w:r>
        <w:rPr>
          <w:rStyle w:val="12"/>
          <w:rFonts w:hint="eastAsia" w:ascii="Times New Roman" w:hAnsi="Times New Roman" w:eastAsia="宋体" w:cs="Times New Roman"/>
          <w:sz w:val="24"/>
          <w:szCs w:val="24"/>
          <w:u w:val="single"/>
          <w:lang w:val="en-US" w:eastAsia="zh-CN"/>
        </w:rPr>
        <w:t>湖南省高速公路集团有限公司</w:t>
      </w:r>
      <w:r>
        <w:rPr>
          <w:rStyle w:val="12"/>
          <w:rFonts w:hint="eastAsia" w:ascii="Times New Roman" w:hAnsi="Times New Roman" w:eastAsia="宋体" w:cs="Times New Roman"/>
          <w:sz w:val="24"/>
          <w:szCs w:val="24"/>
        </w:rPr>
        <w:t>，建设资金来自</w:t>
      </w:r>
      <w:r>
        <w:rPr>
          <w:rStyle w:val="12"/>
          <w:rFonts w:hint="eastAsia" w:ascii="Times New Roman" w:hAnsi="Times New Roman" w:eastAsia="宋体" w:cs="Times New Roman"/>
          <w:sz w:val="24"/>
          <w:szCs w:val="24"/>
          <w:u w:val="single"/>
          <w:lang w:val="en-US" w:eastAsia="zh-CN"/>
        </w:rPr>
        <w:t>企业自筹</w:t>
      </w:r>
      <w:r>
        <w:rPr>
          <w:rStyle w:val="12"/>
          <w:rFonts w:hint="eastAsia" w:ascii="Times New Roman" w:hAnsi="Times New Roman" w:eastAsia="宋体" w:cs="Times New Roman"/>
          <w:sz w:val="24"/>
          <w:szCs w:val="24"/>
        </w:rPr>
        <w:t>（资金来源），出资比例为</w:t>
      </w:r>
      <w:r>
        <w:rPr>
          <w:rStyle w:val="12"/>
          <w:rFonts w:hint="eastAsia" w:ascii="Times New Roman" w:hAnsi="Times New Roman" w:eastAsia="宋体" w:cs="Times New Roman"/>
          <w:sz w:val="24"/>
          <w:szCs w:val="24"/>
          <w:u w:val="single"/>
          <w:lang w:val="en-US" w:eastAsia="zh-CN"/>
        </w:rPr>
        <w:t>100%</w:t>
      </w:r>
      <w:r>
        <w:rPr>
          <w:rStyle w:val="12"/>
          <w:rFonts w:hint="eastAsia" w:ascii="Times New Roman" w:hAnsi="Times New Roman" w:eastAsia="宋体" w:cs="Times New Roman"/>
          <w:sz w:val="24"/>
          <w:szCs w:val="24"/>
        </w:rPr>
        <w:t>，招标人为</w:t>
      </w:r>
      <w:r>
        <w:rPr>
          <w:rStyle w:val="12"/>
          <w:rFonts w:hint="eastAsia" w:ascii="Times New Roman" w:hAnsi="Times New Roman" w:eastAsia="宋体" w:cs="Times New Roman"/>
          <w:sz w:val="24"/>
          <w:szCs w:val="24"/>
          <w:u w:val="single"/>
          <w:lang w:val="en-US" w:eastAsia="zh-CN"/>
        </w:rPr>
        <w:t>湖南省高速公路集团有限公司</w:t>
      </w:r>
      <w:r>
        <w:rPr>
          <w:rStyle w:val="12"/>
          <w:rFonts w:hint="eastAsia" w:ascii="Times New Roman" w:hAnsi="Times New Roman" w:eastAsia="宋体" w:cs="Times New Roman"/>
          <w:sz w:val="24"/>
          <w:szCs w:val="24"/>
        </w:rPr>
        <w:t>。项目已具备招标条件，现对该项目的施工监理进行公开招标。</w:t>
      </w:r>
      <w:r>
        <w:rPr>
          <w:rStyle w:val="12"/>
          <w:rFonts w:ascii="Times New Roman" w:hAnsi="Times New Roman" w:eastAsia="宋体" w:cs="Times New Roman"/>
          <w:sz w:val="24"/>
          <w:szCs w:val="24"/>
        </w:rPr>
        <w:t xml:space="preserve"> </w:t>
      </w:r>
    </w:p>
    <w:p>
      <w:pPr>
        <w:pStyle w:val="14"/>
        <w:keepNext/>
        <w:keepLines/>
        <w:spacing w:before="240" w:after="240" w:line="240" w:lineRule="atLeast"/>
        <w:outlineLvl w:val="0"/>
        <w:rPr>
          <w:rStyle w:val="12"/>
          <w:rFonts w:ascii="Times New Roman" w:hAnsi="Times New Roman" w:eastAsia="黑体" w:cs="Times New Roman"/>
          <w:b/>
          <w:bCs/>
          <w:kern w:val="44"/>
          <w:sz w:val="28"/>
          <w:szCs w:val="28"/>
        </w:rPr>
      </w:pPr>
      <w:bookmarkStart w:id="3" w:name="_Toc256000003"/>
      <w:bookmarkStart w:id="4" w:name="_Toc503235715"/>
      <w:bookmarkStart w:id="5" w:name="_Toc510015650"/>
      <w:r>
        <w:rPr>
          <w:rStyle w:val="12"/>
          <w:rFonts w:ascii="Times New Roman" w:hAnsi="Times New Roman" w:eastAsia="黑体" w:cs="Times New Roman"/>
          <w:b/>
          <w:bCs/>
          <w:kern w:val="44"/>
          <w:sz w:val="28"/>
          <w:szCs w:val="28"/>
        </w:rPr>
        <w:t xml:space="preserve">2. </w:t>
      </w:r>
      <w:r>
        <w:rPr>
          <w:rStyle w:val="12"/>
          <w:rFonts w:hint="eastAsia" w:ascii="Times New Roman" w:hAnsi="Times New Roman" w:eastAsia="黑体" w:cs="Times New Roman"/>
          <w:b/>
          <w:bCs/>
          <w:kern w:val="44"/>
          <w:sz w:val="28"/>
          <w:szCs w:val="28"/>
        </w:rPr>
        <w:t>项目概况与招标范围</w:t>
      </w:r>
      <w:bookmarkEnd w:id="3"/>
      <w:bookmarkEnd w:id="4"/>
      <w:bookmarkEnd w:id="5"/>
    </w:p>
    <w:p>
      <w:pPr>
        <w:pStyle w:val="14"/>
        <w:spacing w:line="400" w:lineRule="atLeast"/>
        <w:ind w:firstLine="540" w:firstLineChars="225"/>
        <w:rPr>
          <w:rStyle w:val="12"/>
          <w:rFonts w:ascii="Times New Roman" w:hAnsi="Times New Roman" w:eastAsia="黑体" w:cs="Times New Roman"/>
          <w:sz w:val="24"/>
          <w:szCs w:val="24"/>
        </w:rPr>
      </w:pPr>
      <w:r>
        <w:rPr>
          <w:rStyle w:val="12"/>
          <w:rFonts w:ascii="Times New Roman" w:hAnsi="Times New Roman" w:eastAsia="黑体" w:cs="Times New Roman"/>
          <w:sz w:val="24"/>
          <w:szCs w:val="24"/>
        </w:rPr>
        <w:t xml:space="preserve">2.1 </w:t>
      </w:r>
      <w:r>
        <w:rPr>
          <w:rStyle w:val="12"/>
          <w:rFonts w:hint="eastAsia" w:ascii="Times New Roman" w:hAnsi="Times New Roman" w:eastAsia="黑体" w:cs="Times New Roman"/>
          <w:sz w:val="24"/>
          <w:szCs w:val="24"/>
        </w:rPr>
        <w:t>建设地点：湖南省境内。</w:t>
      </w:r>
    </w:p>
    <w:p>
      <w:pPr>
        <w:pStyle w:val="14"/>
        <w:spacing w:line="400" w:lineRule="atLeast"/>
        <w:ind w:firstLine="540" w:firstLineChars="225"/>
        <w:rPr>
          <w:rStyle w:val="12"/>
          <w:rFonts w:hint="eastAsia" w:ascii="Times New Roman" w:hAnsi="Times New Roman" w:eastAsia="黑体" w:cs="Times New Roman"/>
          <w:sz w:val="24"/>
          <w:szCs w:val="24"/>
        </w:rPr>
      </w:pPr>
      <w:r>
        <w:rPr>
          <w:rStyle w:val="12"/>
          <w:rFonts w:ascii="Times New Roman" w:hAnsi="Times New Roman" w:eastAsia="黑体" w:cs="Times New Roman"/>
          <w:sz w:val="24"/>
          <w:szCs w:val="24"/>
        </w:rPr>
        <w:t xml:space="preserve">2.2 </w:t>
      </w:r>
      <w:r>
        <w:rPr>
          <w:rStyle w:val="12"/>
          <w:rFonts w:hint="eastAsia" w:ascii="Times New Roman" w:hAnsi="Times New Roman" w:eastAsia="黑体" w:cs="Times New Roman"/>
          <w:sz w:val="24"/>
          <w:szCs w:val="24"/>
        </w:rPr>
        <w:t>项目建设规模及招标范围：</w:t>
      </w:r>
      <w:r>
        <w:rPr>
          <w:rStyle w:val="12"/>
          <w:rFonts w:hint="eastAsia" w:ascii="Times New Roman" w:hAnsi="Times New Roman" w:eastAsia="黑体" w:cs="Times New Roman"/>
          <w:sz w:val="24"/>
          <w:szCs w:val="24"/>
          <w:lang w:val="en-US" w:eastAsia="zh-CN"/>
        </w:rPr>
        <w:t>负责耒宜高速扩容工程、零道高速公路、桂新高速公路3个项目全线的水土保持施工监理工作</w:t>
      </w:r>
      <w:r>
        <w:rPr>
          <w:rStyle w:val="12"/>
          <w:rFonts w:hint="eastAsia" w:ascii="Times New Roman" w:hAnsi="Times New Roman" w:eastAsia="黑体" w:cs="Times New Roman"/>
          <w:sz w:val="24"/>
          <w:szCs w:val="24"/>
        </w:rPr>
        <w:t>。</w:t>
      </w:r>
    </w:p>
    <w:p>
      <w:pPr>
        <w:pStyle w:val="14"/>
        <w:spacing w:line="400" w:lineRule="atLeast"/>
        <w:ind w:firstLine="540" w:firstLineChars="225"/>
        <w:rPr>
          <w:rStyle w:val="12"/>
          <w:rFonts w:hint="eastAsia" w:ascii="Times New Roman" w:hAnsi="Times New Roman" w:eastAsia="黑体" w:cs="Times New Roman"/>
          <w:sz w:val="24"/>
          <w:szCs w:val="24"/>
          <w:lang w:val="en-US" w:eastAsia="zh-CN"/>
        </w:rPr>
      </w:pPr>
      <w:r>
        <w:rPr>
          <w:rStyle w:val="12"/>
          <w:rFonts w:hint="eastAsia" w:ascii="Times New Roman" w:hAnsi="Times New Roman" w:eastAsia="黑体" w:cs="Times New Roman"/>
          <w:sz w:val="24"/>
          <w:szCs w:val="24"/>
          <w:lang w:val="en-US" w:eastAsia="zh-CN"/>
        </w:rPr>
        <w:t>其中：</w:t>
      </w:r>
    </w:p>
    <w:p>
      <w:pPr>
        <w:pStyle w:val="14"/>
        <w:spacing w:line="400" w:lineRule="atLeast"/>
        <w:ind w:firstLine="540" w:firstLineChars="225"/>
        <w:rPr>
          <w:rStyle w:val="12"/>
          <w:rFonts w:hint="eastAsia" w:ascii="Times New Roman" w:hAnsi="Times New Roman" w:eastAsia="黑体" w:cs="Times New Roman"/>
          <w:sz w:val="24"/>
          <w:szCs w:val="24"/>
          <w:lang w:val="en-US" w:eastAsia="zh-CN"/>
        </w:rPr>
      </w:pPr>
      <w:r>
        <w:rPr>
          <w:rStyle w:val="12"/>
          <w:rFonts w:hint="eastAsia" w:ascii="Times New Roman" w:hAnsi="Times New Roman" w:eastAsia="黑体" w:cs="Times New Roman"/>
          <w:sz w:val="24"/>
          <w:szCs w:val="24"/>
          <w:lang w:val="en-US" w:eastAsia="zh-CN"/>
        </w:rPr>
        <w:t>耒宜高速扩容工程计划开工时间为2023年10月，计划通车时间2026年10月，缺陷责任期24个月；</w:t>
      </w:r>
    </w:p>
    <w:p>
      <w:pPr>
        <w:pStyle w:val="14"/>
        <w:spacing w:line="400" w:lineRule="atLeast"/>
        <w:ind w:firstLine="540" w:firstLineChars="225"/>
        <w:rPr>
          <w:rStyle w:val="12"/>
          <w:rFonts w:hint="eastAsia" w:ascii="Times New Roman" w:hAnsi="Times New Roman" w:eastAsia="黑体" w:cs="Times New Roman"/>
          <w:sz w:val="24"/>
          <w:szCs w:val="24"/>
        </w:rPr>
      </w:pPr>
      <w:r>
        <w:rPr>
          <w:rStyle w:val="12"/>
          <w:rFonts w:hint="eastAsia" w:ascii="Times New Roman" w:hAnsi="Times New Roman" w:eastAsia="黑体" w:cs="Times New Roman"/>
          <w:sz w:val="24"/>
          <w:szCs w:val="24"/>
          <w:lang w:val="en-US" w:eastAsia="zh-CN"/>
        </w:rPr>
        <w:t>零道高速公路计划开工时间为2023年9月，计划通车时间2027年9月，缺陷责任期24个月；</w:t>
      </w:r>
    </w:p>
    <w:p>
      <w:pPr>
        <w:pStyle w:val="14"/>
        <w:spacing w:line="400" w:lineRule="atLeast"/>
        <w:ind w:firstLine="540" w:firstLineChars="225"/>
        <w:rPr>
          <w:rStyle w:val="12"/>
          <w:rFonts w:hint="eastAsia" w:ascii="Times New Roman" w:hAnsi="Times New Roman" w:eastAsia="黑体" w:cs="Times New Roman"/>
          <w:sz w:val="24"/>
          <w:szCs w:val="24"/>
        </w:rPr>
      </w:pPr>
      <w:r>
        <w:rPr>
          <w:rStyle w:val="12"/>
          <w:rFonts w:hint="eastAsia" w:ascii="Times New Roman" w:hAnsi="Times New Roman" w:eastAsia="黑体" w:cs="Times New Roman"/>
          <w:sz w:val="24"/>
          <w:szCs w:val="24"/>
          <w:lang w:val="en-US" w:eastAsia="zh-CN"/>
        </w:rPr>
        <w:t>桂新高速公路计划开工时间为2023年9月，计划通车时间2026年9月，缺陷责任期24个月。</w:t>
      </w:r>
    </w:p>
    <w:p>
      <w:pPr>
        <w:pStyle w:val="14"/>
        <w:spacing w:line="400" w:lineRule="atLeast"/>
        <w:ind w:firstLine="540" w:firstLineChars="225"/>
        <w:rPr>
          <w:rStyle w:val="12"/>
          <w:rFonts w:ascii="Times New Roman" w:hAnsi="Times New Roman" w:eastAsia="黑体" w:cs="Times New Roman"/>
          <w:sz w:val="24"/>
          <w:szCs w:val="24"/>
        </w:rPr>
      </w:pPr>
      <w:r>
        <w:rPr>
          <w:rStyle w:val="12"/>
          <w:rFonts w:hint="eastAsia" w:ascii="Times New Roman" w:hAnsi="Times New Roman" w:eastAsia="黑体" w:cs="Times New Roman"/>
          <w:sz w:val="24"/>
          <w:szCs w:val="24"/>
        </w:rPr>
        <w:t>本次施工监理招标工程共分为</w:t>
      </w:r>
      <w:r>
        <w:rPr>
          <w:rStyle w:val="12"/>
          <w:rFonts w:hint="eastAsia" w:ascii="Times New Roman" w:hAnsi="Times New Roman" w:eastAsia="黑体" w:cs="Times New Roman"/>
          <w:sz w:val="24"/>
          <w:szCs w:val="24"/>
          <w:u w:val="single"/>
          <w:lang w:val="en-US" w:eastAsia="zh-CN"/>
        </w:rPr>
        <w:t>1</w:t>
      </w:r>
      <w:r>
        <w:rPr>
          <w:rStyle w:val="12"/>
          <w:rFonts w:hint="eastAsia" w:ascii="Times New Roman" w:hAnsi="Times New Roman" w:eastAsia="黑体" w:cs="Times New Roman"/>
          <w:sz w:val="24"/>
          <w:szCs w:val="24"/>
        </w:rPr>
        <w:t>个标段。其标段划分及工程内容等见下表。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46"/>
        <w:gridCol w:w="1166"/>
        <w:gridCol w:w="4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683" w:type="pct"/>
            <w:tcBorders>
              <w:top w:val="single" w:color="auto" w:sz="4" w:space="0"/>
              <w:left w:val="single" w:color="auto" w:sz="4" w:space="0"/>
              <w:bottom w:val="single" w:color="auto" w:sz="4" w:space="0"/>
              <w:right w:val="single" w:color="auto" w:sz="4" w:space="0"/>
            </w:tcBorders>
            <w:noWrap w:val="0"/>
            <w:vAlign w:val="center"/>
          </w:tcPr>
          <w:p>
            <w:pPr>
              <w:pStyle w:val="14"/>
              <w:spacing w:line="240" w:lineRule="exact"/>
              <w:jc w:val="center"/>
              <w:rPr>
                <w:rStyle w:val="12"/>
                <w:rFonts w:ascii="Times New Roman" w:hAnsi="Times New Roman" w:eastAsia="黑体" w:cs="Times New Roman"/>
                <w:sz w:val="24"/>
                <w:szCs w:val="24"/>
              </w:rPr>
            </w:pPr>
            <w:r>
              <w:rPr>
                <w:rStyle w:val="12"/>
                <w:rFonts w:hint="eastAsia" w:ascii="Times New Roman" w:hAnsi="Times New Roman" w:eastAsia="黑体" w:cs="Times New Roman"/>
                <w:sz w:val="24"/>
                <w:szCs w:val="24"/>
              </w:rPr>
              <w:t>标段号</w:t>
            </w:r>
          </w:p>
        </w:tc>
        <w:tc>
          <w:tcPr>
            <w:tcW w:w="731" w:type="pct"/>
            <w:tcBorders>
              <w:top w:val="single" w:color="auto" w:sz="4" w:space="0"/>
              <w:left w:val="single" w:color="auto" w:sz="4" w:space="0"/>
              <w:bottom w:val="single" w:color="auto" w:sz="4" w:space="0"/>
              <w:right w:val="single" w:color="auto" w:sz="4" w:space="0"/>
            </w:tcBorders>
            <w:noWrap w:val="0"/>
            <w:vAlign w:val="center"/>
          </w:tcPr>
          <w:p>
            <w:pPr>
              <w:pStyle w:val="14"/>
              <w:spacing w:line="240" w:lineRule="exact"/>
              <w:jc w:val="center"/>
              <w:rPr>
                <w:rStyle w:val="12"/>
                <w:rFonts w:ascii="Times New Roman" w:hAnsi="Times New Roman" w:eastAsia="黑体" w:cs="Times New Roman"/>
                <w:sz w:val="24"/>
                <w:szCs w:val="24"/>
              </w:rPr>
            </w:pPr>
            <w:r>
              <w:rPr>
                <w:rStyle w:val="12"/>
                <w:rFonts w:hint="eastAsia" w:ascii="黑体" w:hAnsi="黑体" w:eastAsia="黑体" w:cs="黑体"/>
                <w:sz w:val="24"/>
                <w:szCs w:val="24"/>
                <w:lang w:val="en-US" w:eastAsia="zh-CN"/>
              </w:rPr>
              <w:t>高速公路项目名称</w:t>
            </w:r>
          </w:p>
        </w:tc>
        <w:tc>
          <w:tcPr>
            <w:tcW w:w="684" w:type="pct"/>
            <w:tcBorders>
              <w:top w:val="single" w:color="auto" w:sz="4" w:space="0"/>
              <w:left w:val="single" w:color="auto" w:sz="4" w:space="0"/>
              <w:bottom w:val="single" w:color="auto" w:sz="4" w:space="0"/>
              <w:right w:val="single" w:color="auto" w:sz="4" w:space="0"/>
            </w:tcBorders>
            <w:noWrap w:val="0"/>
            <w:vAlign w:val="center"/>
          </w:tcPr>
          <w:p>
            <w:pPr>
              <w:pStyle w:val="14"/>
              <w:spacing w:line="240" w:lineRule="exact"/>
              <w:jc w:val="center"/>
              <w:rPr>
                <w:rStyle w:val="12"/>
                <w:rFonts w:ascii="Times New Roman" w:hAnsi="Times New Roman" w:eastAsia="黑体" w:cs="Times New Roman"/>
                <w:sz w:val="24"/>
                <w:szCs w:val="24"/>
              </w:rPr>
            </w:pPr>
            <w:r>
              <w:rPr>
                <w:rStyle w:val="12"/>
                <w:rFonts w:hint="eastAsia" w:ascii="Times New Roman" w:hAnsi="Times New Roman" w:eastAsia="黑体" w:cs="Times New Roman"/>
                <w:sz w:val="24"/>
                <w:szCs w:val="24"/>
              </w:rPr>
              <w:t>长度</w:t>
            </w:r>
          </w:p>
          <w:p>
            <w:pPr>
              <w:pStyle w:val="14"/>
              <w:spacing w:line="240" w:lineRule="exact"/>
              <w:jc w:val="center"/>
              <w:rPr>
                <w:rStyle w:val="12"/>
                <w:rFonts w:ascii="Times New Roman" w:hAnsi="Times New Roman" w:eastAsia="黑体" w:cs="Times New Roman"/>
                <w:sz w:val="24"/>
                <w:szCs w:val="24"/>
              </w:rPr>
            </w:pPr>
            <w:r>
              <w:rPr>
                <w:rStyle w:val="12"/>
                <w:rFonts w:hint="eastAsia" w:ascii="Times New Roman" w:hAnsi="Times New Roman" w:eastAsia="黑体" w:cs="Times New Roman"/>
                <w:sz w:val="24"/>
                <w:szCs w:val="24"/>
              </w:rPr>
              <w:t>（</w:t>
            </w:r>
            <w:r>
              <w:rPr>
                <w:rStyle w:val="12"/>
                <w:rFonts w:ascii="Times New Roman" w:hAnsi="Times New Roman" w:eastAsia="黑体" w:cs="Times New Roman"/>
                <w:sz w:val="24"/>
                <w:szCs w:val="24"/>
              </w:rPr>
              <w:t>Km</w:t>
            </w:r>
            <w:r>
              <w:rPr>
                <w:rStyle w:val="12"/>
                <w:rFonts w:hint="eastAsia" w:ascii="Times New Roman" w:hAnsi="Times New Roman" w:eastAsia="黑体" w:cs="Times New Roman"/>
                <w:sz w:val="24"/>
                <w:szCs w:val="24"/>
              </w:rPr>
              <w:t>）</w:t>
            </w:r>
          </w:p>
        </w:tc>
        <w:tc>
          <w:tcPr>
            <w:tcW w:w="2901" w:type="pct"/>
            <w:tcBorders>
              <w:top w:val="single" w:color="auto" w:sz="4" w:space="0"/>
              <w:left w:val="single" w:color="auto" w:sz="4" w:space="0"/>
              <w:bottom w:val="single" w:color="auto" w:sz="4" w:space="0"/>
              <w:right w:val="single" w:color="auto" w:sz="4" w:space="0"/>
            </w:tcBorders>
            <w:noWrap w:val="0"/>
            <w:vAlign w:val="center"/>
          </w:tcPr>
          <w:p>
            <w:pPr>
              <w:pStyle w:val="14"/>
              <w:spacing w:line="240" w:lineRule="exact"/>
              <w:jc w:val="center"/>
              <w:rPr>
                <w:rStyle w:val="12"/>
                <w:rFonts w:ascii="Times New Roman" w:hAnsi="Times New Roman" w:eastAsia="黑体" w:cs="Times New Roman"/>
                <w:sz w:val="24"/>
                <w:szCs w:val="24"/>
              </w:rPr>
            </w:pPr>
            <w:r>
              <w:rPr>
                <w:rStyle w:val="12"/>
                <w:rFonts w:hint="eastAsia" w:ascii="Times New Roman" w:hAnsi="Times New Roman" w:eastAsia="黑体" w:cs="Times New Roman"/>
                <w:sz w:val="24"/>
                <w:szCs w:val="24"/>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83" w:type="pct"/>
            <w:vMerge w:val="restart"/>
            <w:tcBorders>
              <w:top w:val="single" w:color="auto" w:sz="4" w:space="0"/>
              <w:left w:val="single" w:color="auto" w:sz="4" w:space="0"/>
              <w:right w:val="single" w:color="auto" w:sz="4" w:space="0"/>
            </w:tcBorders>
            <w:noWrap w:val="0"/>
            <w:vAlign w:val="center"/>
          </w:tcPr>
          <w:p>
            <w:pPr>
              <w:pStyle w:val="14"/>
              <w:adjustRightInd w:val="0"/>
              <w:snapToGrid w:val="0"/>
              <w:spacing w:line="240" w:lineRule="exact"/>
              <w:jc w:val="center"/>
              <w:rPr>
                <w:rStyle w:val="12"/>
                <w:rFonts w:hint="default" w:ascii="Times New Roman" w:hAnsi="Times New Roman" w:eastAsia="黑体" w:cs="Times New Roman"/>
                <w:sz w:val="24"/>
                <w:szCs w:val="24"/>
                <w:lang w:val="en-US" w:eastAsia="zh-CN"/>
              </w:rPr>
            </w:pPr>
            <w:r>
              <w:rPr>
                <w:rStyle w:val="12"/>
                <w:rFonts w:hint="eastAsia" w:ascii="Times New Roman" w:hAnsi="Times New Roman" w:eastAsia="黑体" w:cs="Times New Roman"/>
                <w:sz w:val="24"/>
                <w:szCs w:val="24"/>
                <w:lang w:val="en-US" w:eastAsia="zh-CN"/>
              </w:rPr>
              <w:t>SJ01</w:t>
            </w:r>
          </w:p>
        </w:tc>
        <w:tc>
          <w:tcPr>
            <w:tcW w:w="731" w:type="pct"/>
            <w:tcBorders>
              <w:top w:val="single" w:color="auto" w:sz="4" w:space="0"/>
              <w:left w:val="single" w:color="auto" w:sz="4" w:space="0"/>
              <w:bottom w:val="single" w:color="auto" w:sz="4" w:space="0"/>
              <w:right w:val="single" w:color="auto" w:sz="4" w:space="0"/>
            </w:tcBorders>
            <w:noWrap w:val="0"/>
            <w:vAlign w:val="center"/>
          </w:tcPr>
          <w:p>
            <w:pPr>
              <w:pStyle w:val="15"/>
              <w:pageBreakBefore w:val="0"/>
              <w:kinsoku/>
              <w:overflowPunct/>
              <w:bidi w:val="0"/>
              <w:spacing w:line="240" w:lineRule="exact"/>
              <w:jc w:val="center"/>
              <w:textAlignment w:val="auto"/>
              <w:outlineLvl w:val="9"/>
              <w:rPr>
                <w:rStyle w:val="12"/>
                <w:rFonts w:ascii="Times New Roman" w:hAnsi="Times New Roman" w:eastAsia="黑体"/>
                <w:sz w:val="24"/>
                <w:szCs w:val="24"/>
              </w:rPr>
            </w:pPr>
            <w:r>
              <w:rPr>
                <w:rStyle w:val="12"/>
                <w:rFonts w:hint="eastAsia" w:ascii="黑体" w:hAnsi="黑体" w:eastAsia="黑体" w:cs="黑体"/>
                <w:sz w:val="24"/>
                <w:szCs w:val="24"/>
                <w:lang w:val="en-US" w:eastAsia="zh-CN"/>
              </w:rPr>
              <w:t>耒宜高速扩容工程</w:t>
            </w:r>
          </w:p>
        </w:tc>
        <w:tc>
          <w:tcPr>
            <w:tcW w:w="684" w:type="pct"/>
            <w:tcBorders>
              <w:top w:val="single" w:color="auto" w:sz="4" w:space="0"/>
              <w:left w:val="single" w:color="auto" w:sz="4" w:space="0"/>
              <w:bottom w:val="single" w:color="auto" w:sz="4" w:space="0"/>
              <w:right w:val="single" w:color="auto" w:sz="4" w:space="0"/>
            </w:tcBorders>
            <w:noWrap w:val="0"/>
            <w:vAlign w:val="center"/>
          </w:tcPr>
          <w:p>
            <w:pPr>
              <w:pStyle w:val="15"/>
              <w:pageBreakBefore w:val="0"/>
              <w:kinsoku/>
              <w:overflowPunct/>
              <w:bidi w:val="0"/>
              <w:spacing w:line="240" w:lineRule="exact"/>
              <w:jc w:val="center"/>
              <w:textAlignment w:val="auto"/>
              <w:outlineLvl w:val="9"/>
              <w:rPr>
                <w:rStyle w:val="12"/>
                <w:rFonts w:ascii="Times New Roman" w:hAnsi="Times New Roman" w:eastAsia="黑体"/>
                <w:sz w:val="24"/>
                <w:szCs w:val="24"/>
              </w:rPr>
            </w:pPr>
            <w:r>
              <w:rPr>
                <w:rStyle w:val="12"/>
                <w:rFonts w:hint="eastAsia" w:ascii="黑体" w:hAnsi="黑体" w:eastAsia="黑体" w:cs="黑体"/>
                <w:sz w:val="24"/>
                <w:szCs w:val="24"/>
                <w:lang w:val="en-US" w:eastAsia="zh-CN"/>
              </w:rPr>
              <w:t>144.339</w:t>
            </w:r>
          </w:p>
        </w:tc>
        <w:tc>
          <w:tcPr>
            <w:tcW w:w="2901" w:type="pct"/>
            <w:vMerge w:val="restart"/>
            <w:tcBorders>
              <w:top w:val="single" w:color="auto" w:sz="4" w:space="0"/>
              <w:left w:val="single" w:color="auto" w:sz="4" w:space="0"/>
              <w:right w:val="single" w:color="auto" w:sz="4" w:space="0"/>
            </w:tcBorders>
            <w:noWrap w:val="0"/>
            <w:vAlign w:val="center"/>
          </w:tcPr>
          <w:p>
            <w:pPr>
              <w:pStyle w:val="14"/>
              <w:adjustRightInd w:val="0"/>
              <w:snapToGrid w:val="0"/>
              <w:jc w:val="left"/>
              <w:rPr>
                <w:rStyle w:val="12"/>
                <w:rFonts w:ascii="Times New Roman" w:hAnsi="Times New Roman" w:eastAsia="黑体" w:cs="Times New Roman"/>
                <w:sz w:val="24"/>
                <w:szCs w:val="24"/>
              </w:rPr>
            </w:pPr>
            <w:r>
              <w:rPr>
                <w:rStyle w:val="12"/>
                <w:rFonts w:hint="eastAsia" w:ascii="黑体" w:hAnsi="黑体" w:eastAsia="黑体" w:cs="黑体"/>
                <w:sz w:val="24"/>
                <w:szCs w:val="24"/>
                <w:lang w:val="en-US" w:eastAsia="zh-CN"/>
              </w:rPr>
              <w:t>SJ1标段包括耒宜高速扩容工程、零道高速公路、桂新高速公路共计3个在建项目施工准备阶段、施工阶段、交工验收和缺陷责任期阶段的水土保持监理工作，编制监理工作报告，为项目水土保持设施竣工验收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83" w:type="pct"/>
            <w:vMerge w:val="continue"/>
            <w:tcBorders>
              <w:left w:val="single" w:color="auto" w:sz="4" w:space="0"/>
              <w:right w:val="single" w:color="auto" w:sz="4" w:space="0"/>
            </w:tcBorders>
            <w:noWrap w:val="0"/>
            <w:vAlign w:val="center"/>
          </w:tcPr>
          <w:p>
            <w:pPr>
              <w:pStyle w:val="14"/>
              <w:spacing w:line="240" w:lineRule="exact"/>
              <w:jc w:val="center"/>
              <w:rPr>
                <w:rStyle w:val="12"/>
                <w:rFonts w:ascii="Times New Roman" w:hAnsi="Times New Roman" w:eastAsia="黑体" w:cs="Times New Roman"/>
                <w:sz w:val="24"/>
                <w:szCs w:val="24"/>
              </w:rPr>
            </w:pPr>
          </w:p>
        </w:tc>
        <w:tc>
          <w:tcPr>
            <w:tcW w:w="731" w:type="pct"/>
            <w:tcBorders>
              <w:top w:val="single" w:color="auto" w:sz="4" w:space="0"/>
              <w:left w:val="single" w:color="auto" w:sz="4" w:space="0"/>
              <w:bottom w:val="single" w:color="auto" w:sz="4" w:space="0"/>
              <w:right w:val="single" w:color="auto" w:sz="4" w:space="0"/>
            </w:tcBorders>
            <w:noWrap w:val="0"/>
            <w:vAlign w:val="center"/>
          </w:tcPr>
          <w:p>
            <w:pPr>
              <w:pStyle w:val="15"/>
              <w:pageBreakBefore w:val="0"/>
              <w:kinsoku/>
              <w:overflowPunct/>
              <w:bidi w:val="0"/>
              <w:spacing w:line="240" w:lineRule="exact"/>
              <w:jc w:val="center"/>
              <w:textAlignment w:val="auto"/>
              <w:outlineLvl w:val="9"/>
              <w:rPr>
                <w:rStyle w:val="12"/>
                <w:rFonts w:ascii="Times New Roman" w:hAnsi="Times New Roman" w:eastAsia="黑体"/>
                <w:sz w:val="24"/>
                <w:szCs w:val="24"/>
              </w:rPr>
            </w:pPr>
            <w:r>
              <w:rPr>
                <w:rStyle w:val="12"/>
                <w:rFonts w:hint="eastAsia" w:ascii="黑体" w:hAnsi="黑体" w:eastAsia="黑体" w:cs="黑体"/>
                <w:sz w:val="24"/>
                <w:szCs w:val="24"/>
                <w:lang w:val="en-US" w:eastAsia="zh-CN"/>
              </w:rPr>
              <w:t>零道高速公路</w:t>
            </w:r>
          </w:p>
        </w:tc>
        <w:tc>
          <w:tcPr>
            <w:tcW w:w="684" w:type="pct"/>
            <w:tcBorders>
              <w:top w:val="single" w:color="auto" w:sz="4" w:space="0"/>
              <w:left w:val="single" w:color="auto" w:sz="4" w:space="0"/>
              <w:bottom w:val="single" w:color="auto" w:sz="4" w:space="0"/>
              <w:right w:val="single" w:color="auto" w:sz="4" w:space="0"/>
            </w:tcBorders>
            <w:noWrap w:val="0"/>
            <w:vAlign w:val="center"/>
          </w:tcPr>
          <w:p>
            <w:pPr>
              <w:pStyle w:val="15"/>
              <w:pageBreakBefore w:val="0"/>
              <w:kinsoku/>
              <w:overflowPunct/>
              <w:bidi w:val="0"/>
              <w:spacing w:line="240" w:lineRule="exact"/>
              <w:jc w:val="center"/>
              <w:textAlignment w:val="auto"/>
              <w:outlineLvl w:val="9"/>
              <w:rPr>
                <w:rStyle w:val="12"/>
                <w:rFonts w:ascii="Times New Roman" w:hAnsi="Times New Roman" w:eastAsia="黑体"/>
                <w:sz w:val="24"/>
                <w:szCs w:val="24"/>
              </w:rPr>
            </w:pPr>
            <w:r>
              <w:rPr>
                <w:rStyle w:val="12"/>
                <w:rFonts w:hint="eastAsia" w:ascii="黑体" w:hAnsi="黑体" w:eastAsia="黑体" w:cs="黑体"/>
                <w:sz w:val="24"/>
                <w:szCs w:val="24"/>
                <w:lang w:val="en-US" w:eastAsia="zh-CN"/>
              </w:rPr>
              <w:t>74.837</w:t>
            </w:r>
          </w:p>
        </w:tc>
        <w:tc>
          <w:tcPr>
            <w:tcW w:w="2901" w:type="pct"/>
            <w:vMerge w:val="continue"/>
            <w:tcBorders>
              <w:left w:val="single" w:color="auto" w:sz="4" w:space="0"/>
              <w:right w:val="single" w:color="auto" w:sz="4" w:space="0"/>
            </w:tcBorders>
            <w:noWrap w:val="0"/>
            <w:vAlign w:val="center"/>
          </w:tcPr>
          <w:p>
            <w:pPr>
              <w:pStyle w:val="14"/>
              <w:jc w:val="left"/>
              <w:rPr>
                <w:rStyle w:val="12"/>
                <w:rFonts w:ascii="Times New Roman" w:hAnsi="Times New Roman" w:eastAsia="黑体"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83" w:type="pct"/>
            <w:vMerge w:val="continue"/>
            <w:tcBorders>
              <w:left w:val="single" w:color="auto" w:sz="4" w:space="0"/>
              <w:bottom w:val="single" w:color="auto" w:sz="4" w:space="0"/>
              <w:right w:val="single" w:color="auto" w:sz="4" w:space="0"/>
            </w:tcBorders>
            <w:noWrap w:val="0"/>
            <w:vAlign w:val="center"/>
          </w:tcPr>
          <w:p>
            <w:pPr>
              <w:pStyle w:val="14"/>
              <w:spacing w:line="240" w:lineRule="exact"/>
              <w:jc w:val="center"/>
              <w:rPr>
                <w:rStyle w:val="12"/>
                <w:rFonts w:ascii="Times New Roman" w:hAnsi="Times New Roman" w:eastAsia="黑体" w:cs="Times New Roman"/>
                <w:sz w:val="24"/>
                <w:szCs w:val="24"/>
              </w:rPr>
            </w:pPr>
          </w:p>
        </w:tc>
        <w:tc>
          <w:tcPr>
            <w:tcW w:w="731" w:type="pct"/>
            <w:tcBorders>
              <w:top w:val="single" w:color="auto" w:sz="4" w:space="0"/>
              <w:left w:val="single" w:color="auto" w:sz="4" w:space="0"/>
              <w:bottom w:val="single" w:color="auto" w:sz="4" w:space="0"/>
              <w:right w:val="single" w:color="auto" w:sz="4" w:space="0"/>
            </w:tcBorders>
            <w:noWrap w:val="0"/>
            <w:vAlign w:val="center"/>
          </w:tcPr>
          <w:p>
            <w:pPr>
              <w:pStyle w:val="15"/>
              <w:pageBreakBefore w:val="0"/>
              <w:kinsoku/>
              <w:overflowPunct/>
              <w:bidi w:val="0"/>
              <w:spacing w:line="240" w:lineRule="exact"/>
              <w:jc w:val="center"/>
              <w:textAlignment w:val="auto"/>
              <w:outlineLvl w:val="9"/>
              <w:rPr>
                <w:rStyle w:val="12"/>
                <w:rFonts w:ascii="Times New Roman" w:hAnsi="Times New Roman" w:eastAsia="黑体"/>
                <w:sz w:val="24"/>
                <w:szCs w:val="24"/>
              </w:rPr>
            </w:pPr>
            <w:r>
              <w:rPr>
                <w:rStyle w:val="12"/>
                <w:rFonts w:hint="eastAsia" w:ascii="黑体" w:hAnsi="黑体" w:eastAsia="黑体" w:cs="黑体"/>
                <w:sz w:val="24"/>
                <w:szCs w:val="24"/>
                <w:lang w:val="en-US" w:eastAsia="zh-CN"/>
              </w:rPr>
              <w:t>桂新高速公路</w:t>
            </w:r>
          </w:p>
        </w:tc>
        <w:tc>
          <w:tcPr>
            <w:tcW w:w="684" w:type="pct"/>
            <w:tcBorders>
              <w:top w:val="single" w:color="auto" w:sz="4" w:space="0"/>
              <w:left w:val="single" w:color="auto" w:sz="4" w:space="0"/>
              <w:bottom w:val="single" w:color="auto" w:sz="4" w:space="0"/>
              <w:right w:val="single" w:color="auto" w:sz="4" w:space="0"/>
            </w:tcBorders>
            <w:noWrap w:val="0"/>
            <w:vAlign w:val="center"/>
          </w:tcPr>
          <w:p>
            <w:pPr>
              <w:pStyle w:val="15"/>
              <w:pageBreakBefore w:val="0"/>
              <w:kinsoku/>
              <w:overflowPunct/>
              <w:bidi w:val="0"/>
              <w:spacing w:line="240" w:lineRule="exact"/>
              <w:jc w:val="center"/>
              <w:textAlignment w:val="auto"/>
              <w:outlineLvl w:val="9"/>
              <w:rPr>
                <w:rStyle w:val="12"/>
                <w:rFonts w:ascii="Times New Roman" w:hAnsi="Times New Roman" w:eastAsia="黑体"/>
                <w:sz w:val="24"/>
                <w:szCs w:val="24"/>
              </w:rPr>
            </w:pPr>
            <w:r>
              <w:rPr>
                <w:rStyle w:val="12"/>
                <w:rFonts w:hint="eastAsia" w:ascii="黑体" w:hAnsi="黑体" w:eastAsia="黑体" w:cs="黑体"/>
                <w:sz w:val="24"/>
                <w:szCs w:val="24"/>
                <w:lang w:val="en-US" w:eastAsia="zh-CN"/>
              </w:rPr>
              <w:t>58.045</w:t>
            </w:r>
          </w:p>
        </w:tc>
        <w:tc>
          <w:tcPr>
            <w:tcW w:w="2901" w:type="pct"/>
            <w:vMerge w:val="continue"/>
            <w:tcBorders>
              <w:left w:val="single" w:color="auto" w:sz="4" w:space="0"/>
              <w:bottom w:val="single" w:color="auto" w:sz="4" w:space="0"/>
              <w:right w:val="single" w:color="auto" w:sz="4" w:space="0"/>
            </w:tcBorders>
            <w:noWrap w:val="0"/>
            <w:vAlign w:val="center"/>
          </w:tcPr>
          <w:p>
            <w:pPr>
              <w:pStyle w:val="14"/>
              <w:jc w:val="left"/>
              <w:rPr>
                <w:rStyle w:val="12"/>
                <w:rFonts w:ascii="Times New Roman" w:hAnsi="Times New Roman" w:eastAsia="黑体" w:cs="Times New Roman"/>
                <w:iCs/>
                <w:sz w:val="24"/>
                <w:szCs w:val="24"/>
              </w:rPr>
            </w:pPr>
          </w:p>
        </w:tc>
      </w:tr>
    </w:tbl>
    <w:p>
      <w:pPr>
        <w:pStyle w:val="14"/>
        <w:spacing w:line="400" w:lineRule="atLeast"/>
        <w:ind w:firstLine="540" w:firstLineChars="225"/>
        <w:rPr>
          <w:rStyle w:val="12"/>
          <w:rFonts w:hint="default" w:ascii="Times New Roman" w:hAnsi="Times New Roman" w:eastAsia="黑体" w:cs="Times New Roman"/>
          <w:bCs/>
          <w:kern w:val="44"/>
          <w:sz w:val="24"/>
          <w:szCs w:val="24"/>
          <w:u w:val="single"/>
          <w:lang w:val="en-US" w:eastAsia="zh-CN"/>
        </w:rPr>
      </w:pPr>
      <w:r>
        <w:rPr>
          <w:rStyle w:val="12"/>
          <w:rFonts w:hint="eastAsia" w:ascii="Times New Roman" w:hAnsi="Times New Roman" w:eastAsia="黑体" w:cs="Times New Roman"/>
          <w:sz w:val="24"/>
          <w:szCs w:val="24"/>
        </w:rPr>
        <w:t>本次招标施工监理服务期限为：</w:t>
      </w:r>
      <w:r>
        <w:rPr>
          <w:rStyle w:val="12"/>
          <w:rFonts w:hint="eastAsia" w:ascii="Times New Roman" w:hAnsi="Times New Roman" w:eastAsia="黑体" w:cs="Times New Roman"/>
          <w:bCs/>
          <w:kern w:val="44"/>
          <w:sz w:val="24"/>
          <w:szCs w:val="24"/>
          <w:u w:val="single"/>
          <w:lang w:val="zh-CN" w:eastAsia="zh-CN"/>
        </w:rPr>
        <w:t>自合同签订之日起至各项目竣工验收之日止，包含各项目施工准备阶段、施工阶段、交工验收和缺陷责任期阶段的水土保持监理。</w:t>
      </w:r>
      <w:r>
        <w:rPr>
          <w:rStyle w:val="12"/>
          <w:rFonts w:hint="eastAsia" w:ascii="Times New Roman" w:hAnsi="Times New Roman" w:eastAsia="黑体" w:cs="Times New Roman"/>
          <w:bCs/>
          <w:kern w:val="44"/>
          <w:sz w:val="24"/>
          <w:szCs w:val="24"/>
          <w:u w:val="single"/>
          <w:lang w:val="en-US" w:eastAsia="zh-CN"/>
        </w:rPr>
        <w:t>实际日期以各项目最终签订合同是确定的服务时间为准。</w:t>
      </w:r>
    </w:p>
    <w:p>
      <w:pPr>
        <w:pStyle w:val="14"/>
        <w:keepNext/>
        <w:keepLines/>
        <w:spacing w:before="240" w:after="240" w:line="240" w:lineRule="atLeast"/>
        <w:outlineLvl w:val="0"/>
        <w:rPr>
          <w:rStyle w:val="12"/>
          <w:rFonts w:ascii="Times New Roman" w:hAnsi="Times New Roman" w:eastAsia="黑体" w:cs="Times New Roman"/>
          <w:b/>
          <w:bCs/>
          <w:kern w:val="44"/>
          <w:sz w:val="28"/>
          <w:szCs w:val="28"/>
        </w:rPr>
      </w:pPr>
      <w:bookmarkStart w:id="6" w:name="_Toc256000004"/>
      <w:bookmarkStart w:id="7" w:name="_Toc503235716"/>
      <w:bookmarkStart w:id="8" w:name="_Toc510015651"/>
      <w:r>
        <w:rPr>
          <w:rStyle w:val="12"/>
          <w:rFonts w:ascii="Times New Roman" w:hAnsi="Times New Roman" w:eastAsia="黑体" w:cs="Times New Roman"/>
          <w:b/>
          <w:bCs/>
          <w:kern w:val="44"/>
          <w:sz w:val="28"/>
          <w:szCs w:val="28"/>
        </w:rPr>
        <w:t xml:space="preserve">3. </w:t>
      </w:r>
      <w:r>
        <w:rPr>
          <w:rStyle w:val="12"/>
          <w:rFonts w:hint="eastAsia" w:ascii="Times New Roman" w:hAnsi="Times New Roman" w:eastAsia="黑体" w:cs="Times New Roman"/>
          <w:b/>
          <w:bCs/>
          <w:kern w:val="44"/>
          <w:sz w:val="28"/>
          <w:szCs w:val="28"/>
        </w:rPr>
        <w:t>投标人资格要求</w:t>
      </w:r>
      <w:bookmarkEnd w:id="6"/>
      <w:bookmarkEnd w:id="7"/>
      <w:bookmarkEnd w:id="8"/>
    </w:p>
    <w:p>
      <w:pPr>
        <w:pStyle w:val="14"/>
        <w:spacing w:line="400" w:lineRule="atLeast"/>
        <w:ind w:firstLine="480" w:firstLineChars="200"/>
        <w:rPr>
          <w:rStyle w:val="12"/>
          <w:rFonts w:ascii="Times New Roman" w:hAnsi="Times New Roman" w:eastAsia="宋体" w:cs="Times New Roman"/>
          <w:sz w:val="24"/>
          <w:szCs w:val="24"/>
          <w:u w:val="none"/>
        </w:rPr>
      </w:pPr>
      <w:r>
        <w:rPr>
          <w:rStyle w:val="12"/>
          <w:rFonts w:ascii="Times New Roman" w:hAnsi="Times New Roman" w:eastAsia="宋体" w:cs="Times New Roman"/>
          <w:sz w:val="24"/>
          <w:szCs w:val="24"/>
        </w:rPr>
        <w:t xml:space="preserve">3.1 </w:t>
      </w:r>
      <w:r>
        <w:rPr>
          <w:rStyle w:val="12"/>
          <w:rFonts w:hint="eastAsia" w:ascii="Times New Roman" w:hAnsi="Times New Roman" w:eastAsia="宋体" w:cs="Times New Roman"/>
          <w:sz w:val="24"/>
          <w:szCs w:val="24"/>
        </w:rPr>
        <w:t>本次招标要求投标人须具备</w:t>
      </w:r>
      <w:r>
        <w:rPr>
          <w:rStyle w:val="12"/>
          <w:rFonts w:hint="eastAsia" w:ascii="Times New Roman" w:hAnsi="Times New Roman" w:eastAsia="宋体" w:cs="Times New Roman"/>
          <w:sz w:val="24"/>
          <w:szCs w:val="24"/>
          <w:u w:val="single"/>
          <w:lang w:val="en-US" w:eastAsia="zh-CN"/>
        </w:rPr>
        <w:t>水利部核发的在有效期内的水土保持施工监理甲级</w:t>
      </w:r>
      <w:r>
        <w:rPr>
          <w:rStyle w:val="12"/>
          <w:rFonts w:hint="eastAsia" w:ascii="Times New Roman" w:hAnsi="Times New Roman" w:eastAsia="宋体" w:cs="Times New Roman"/>
          <w:sz w:val="24"/>
          <w:szCs w:val="24"/>
          <w:u w:val="none"/>
        </w:rPr>
        <w:t>资质</w:t>
      </w:r>
      <w:bookmarkStart w:id="9" w:name="EBb3c107446dad480ea0237d5e6a670a32_0"/>
      <w:r>
        <w:rPr>
          <w:rStyle w:val="12"/>
          <w:rFonts w:hint="eastAsia" w:ascii="Times New Roman" w:hAnsi="Times New Roman" w:eastAsia="宋体" w:cs="Times New Roman"/>
          <w:sz w:val="24"/>
          <w:szCs w:val="24"/>
          <w:u w:val="none"/>
          <w:lang w:val="en-US" w:eastAsia="zh-CN"/>
        </w:rPr>
        <w:t>、</w:t>
      </w:r>
      <w:r>
        <w:rPr>
          <w:rStyle w:val="12"/>
          <w:rFonts w:hint="eastAsia" w:ascii="Times New Roman" w:hAnsi="Times New Roman" w:eastAsia="宋体" w:cs="Times New Roman"/>
          <w:sz w:val="24"/>
          <w:szCs w:val="24"/>
          <w:u w:val="single"/>
          <w:lang w:val="en-US" w:eastAsia="zh-CN"/>
        </w:rPr>
        <w:t>最近8年（投标文件递交截止之日前一日往前回溯8年）完成过：1个交通运输类项目</w:t>
      </w:r>
      <w:r>
        <w:rPr>
          <w:rStyle w:val="16"/>
          <w:rFonts w:hint="eastAsia" w:ascii="Times New Roman" w:hAnsi="Times New Roman" w:eastAsia="宋体" w:cs="Times New Roman"/>
          <w:sz w:val="24"/>
          <w:szCs w:val="24"/>
          <w:u w:val="single"/>
          <w:lang w:val="en-US" w:eastAsia="zh-CN"/>
        </w:rPr>
        <w:footnoteReference w:id="0"/>
      </w:r>
      <w:r>
        <w:rPr>
          <w:rStyle w:val="12"/>
          <w:rFonts w:hint="eastAsia" w:ascii="Times New Roman" w:hAnsi="Times New Roman" w:eastAsia="宋体" w:cs="Times New Roman"/>
          <w:sz w:val="24"/>
          <w:szCs w:val="24"/>
          <w:u w:val="single"/>
          <w:lang w:val="en-US" w:eastAsia="zh-CN"/>
        </w:rPr>
        <w:t>水土保持工程施工监理</w:t>
      </w:r>
      <w:bookmarkEnd w:id="9"/>
      <w:r>
        <w:rPr>
          <w:rStyle w:val="12"/>
          <w:rFonts w:hint="eastAsia" w:ascii="Times New Roman" w:hAnsi="Times New Roman" w:eastAsia="宋体" w:cs="Times New Roman"/>
          <w:sz w:val="24"/>
          <w:szCs w:val="24"/>
          <w:u w:val="none"/>
        </w:rPr>
        <w:t>业绩，并在人员等方面具有相应的施工监理能力。</w:t>
      </w:r>
    </w:p>
    <w:p>
      <w:pPr>
        <w:pStyle w:val="14"/>
        <w:spacing w:line="400" w:lineRule="atLeast"/>
        <w:ind w:firstLine="480" w:firstLineChars="200"/>
        <w:rPr>
          <w:rStyle w:val="12"/>
          <w:rFonts w:ascii="Times New Roman" w:hAnsi="Times New Roman" w:eastAsia="宋体" w:cs="Times New Roman"/>
          <w:sz w:val="24"/>
          <w:szCs w:val="24"/>
        </w:rPr>
      </w:pPr>
      <w:r>
        <w:rPr>
          <w:rStyle w:val="12"/>
          <w:rFonts w:hint="eastAsia" w:ascii="Times New Roman" w:hAnsi="Times New Roman" w:eastAsia="宋体" w:cs="Times New Roman"/>
          <w:sz w:val="24"/>
          <w:szCs w:val="24"/>
        </w:rPr>
        <w:t>投标人</w:t>
      </w:r>
      <w:r>
        <w:rPr>
          <w:rStyle w:val="12"/>
          <w:rFonts w:hint="eastAsia" w:ascii="Times New Roman" w:hAnsi="Times New Roman" w:eastAsia="宋体" w:cs="Times New Roman"/>
          <w:sz w:val="24"/>
          <w:szCs w:val="24"/>
          <w:lang w:val="en-US" w:eastAsia="zh-CN"/>
        </w:rPr>
        <w:t>必须是在水利部水利建设市场监管平台和湖南省水利建设市场综合监管系统建立信用档案的市场主体单位</w:t>
      </w:r>
      <w:r>
        <w:rPr>
          <w:rStyle w:val="12"/>
          <w:rFonts w:hint="eastAsia" w:ascii="Times New Roman" w:hAnsi="Times New Roman" w:eastAsia="宋体" w:cs="Times New Roman"/>
          <w:sz w:val="24"/>
          <w:szCs w:val="24"/>
        </w:rPr>
        <w:t>，且投标人名称和资质与该</w:t>
      </w:r>
      <w:r>
        <w:rPr>
          <w:rStyle w:val="12"/>
          <w:rFonts w:hint="eastAsia" w:ascii="Times New Roman" w:hAnsi="Times New Roman" w:eastAsia="宋体" w:cs="Times New Roman"/>
          <w:sz w:val="24"/>
          <w:szCs w:val="24"/>
          <w:lang w:val="en-US" w:eastAsia="zh-CN"/>
        </w:rPr>
        <w:t>信用档案</w:t>
      </w:r>
      <w:r>
        <w:rPr>
          <w:rStyle w:val="12"/>
          <w:rFonts w:hint="eastAsia" w:ascii="Times New Roman" w:hAnsi="Times New Roman" w:eastAsia="宋体" w:cs="Times New Roman"/>
          <w:sz w:val="24"/>
          <w:szCs w:val="24"/>
        </w:rPr>
        <w:t>中的相应企业名称和资质完全一致。</w:t>
      </w:r>
    </w:p>
    <w:p>
      <w:pPr>
        <w:pStyle w:val="14"/>
        <w:spacing w:line="420" w:lineRule="exact"/>
        <w:ind w:firstLine="480" w:firstLineChars="200"/>
        <w:rPr>
          <w:rStyle w:val="12"/>
          <w:rFonts w:ascii="Times New Roman" w:hAnsi="Times New Roman" w:eastAsia="宋体" w:cs="Times New Roman"/>
          <w:sz w:val="24"/>
          <w:szCs w:val="20"/>
        </w:rPr>
      </w:pPr>
      <w:r>
        <w:rPr>
          <w:rStyle w:val="12"/>
          <w:rFonts w:ascii="Times New Roman" w:hAnsi="Times New Roman" w:eastAsia="宋体" w:cs="Times New Roman"/>
          <w:sz w:val="24"/>
          <w:szCs w:val="20"/>
        </w:rPr>
        <w:t xml:space="preserve">3.2 </w:t>
      </w:r>
      <w:r>
        <w:rPr>
          <w:rStyle w:val="12"/>
          <w:rFonts w:hint="eastAsia" w:ascii="Times New Roman" w:hAnsi="Times New Roman" w:eastAsia="宋体" w:cs="Times New Roman"/>
          <w:sz w:val="24"/>
          <w:szCs w:val="24"/>
        </w:rPr>
        <w:t>本次招标</w:t>
      </w:r>
      <w:r>
        <w:rPr>
          <w:rStyle w:val="12"/>
          <w:rFonts w:hint="eastAsia" w:ascii="Times New Roman" w:hAnsi="Times New Roman" w:eastAsia="宋体" w:cs="Times New Roman"/>
          <w:sz w:val="24"/>
          <w:szCs w:val="24"/>
          <w:u w:val="single"/>
        </w:rPr>
        <w:t>不接受</w:t>
      </w:r>
      <w:r>
        <w:rPr>
          <w:rStyle w:val="12"/>
          <w:rFonts w:hint="eastAsia" w:ascii="Times New Roman" w:hAnsi="Times New Roman" w:eastAsia="宋体" w:cs="Times New Roman"/>
          <w:sz w:val="24"/>
          <w:szCs w:val="24"/>
        </w:rPr>
        <w:t>联合体投标。联合体投标的，联合体所有成员数量不得超过</w:t>
      </w:r>
      <w:r>
        <w:rPr>
          <w:rStyle w:val="12"/>
          <w:rFonts w:hint="eastAsia" w:ascii="Times New Roman" w:hAnsi="Times New Roman" w:eastAsia="宋体" w:cs="Times New Roman"/>
          <w:sz w:val="24"/>
          <w:szCs w:val="24"/>
          <w:u w:val="single"/>
          <w:lang w:val="en-US" w:eastAsia="zh-CN"/>
        </w:rPr>
        <w:t>/</w:t>
      </w:r>
      <w:r>
        <w:rPr>
          <w:rStyle w:val="12"/>
          <w:rFonts w:hint="eastAsia" w:ascii="Times New Roman" w:hAnsi="Times New Roman" w:eastAsia="宋体" w:cs="Times New Roman"/>
          <w:sz w:val="24"/>
          <w:szCs w:val="24"/>
        </w:rPr>
        <w:t>家，且应满足下列要求：</w:t>
      </w:r>
      <w:r>
        <w:rPr>
          <w:rStyle w:val="12"/>
          <w:rFonts w:hint="eastAsia" w:ascii="Times New Roman" w:hAnsi="Times New Roman" w:eastAsia="宋体" w:cs="Times New Roman"/>
          <w:sz w:val="24"/>
          <w:szCs w:val="20"/>
          <w:u w:val="single"/>
          <w:lang w:val="en-US" w:eastAsia="zh-CN"/>
        </w:rPr>
        <w:t>/</w:t>
      </w:r>
      <w:r>
        <w:rPr>
          <w:rStyle w:val="12"/>
          <w:rFonts w:hint="eastAsia" w:ascii="Times New Roman" w:hAnsi="Times New Roman" w:eastAsia="宋体" w:cs="Times New Roman"/>
          <w:sz w:val="24"/>
          <w:szCs w:val="20"/>
        </w:rPr>
        <w:t>。</w:t>
      </w:r>
    </w:p>
    <w:p>
      <w:pPr>
        <w:pStyle w:val="14"/>
        <w:spacing w:line="420" w:lineRule="exact"/>
        <w:ind w:firstLine="480" w:firstLineChars="200"/>
        <w:rPr>
          <w:rStyle w:val="12"/>
          <w:rFonts w:hint="eastAsia" w:ascii="Times New Roman" w:hAnsi="Times New Roman" w:eastAsia="黑体" w:cs="Times New Roman"/>
          <w:sz w:val="24"/>
          <w:szCs w:val="24"/>
          <w:lang w:eastAsia="zh-CN"/>
        </w:rPr>
      </w:pPr>
      <w:bookmarkStart w:id="10" w:name="_Hlk2752085"/>
      <w:r>
        <w:rPr>
          <w:rStyle w:val="12"/>
          <w:rFonts w:ascii="Times New Roman" w:hAnsi="Times New Roman" w:eastAsia="黑体" w:cs="Times New Roman"/>
          <w:sz w:val="24"/>
          <w:szCs w:val="20"/>
        </w:rPr>
        <w:t>3.3</w:t>
      </w:r>
      <w:r>
        <w:rPr>
          <w:rStyle w:val="12"/>
          <w:rFonts w:ascii="Times New Roman" w:hAnsi="Times New Roman" w:eastAsia="黑体" w:cs="Times New Roman"/>
          <w:sz w:val="24"/>
          <w:szCs w:val="24"/>
        </w:rPr>
        <w:t xml:space="preserve"> </w:t>
      </w:r>
      <w:r>
        <w:rPr>
          <w:rStyle w:val="12"/>
          <w:rFonts w:hint="eastAsia" w:ascii="Times New Roman" w:hAnsi="Times New Roman" w:eastAsia="黑体" w:cs="Times New Roman"/>
          <w:sz w:val="24"/>
          <w:szCs w:val="24"/>
        </w:rPr>
        <w:t>每个投标人可在本次招标中对</w:t>
      </w:r>
      <w:r>
        <w:rPr>
          <w:rStyle w:val="12"/>
          <w:rFonts w:hint="eastAsia" w:ascii="Times New Roman" w:hAnsi="Times New Roman" w:eastAsia="黑体" w:cs="Times New Roman"/>
          <w:sz w:val="24"/>
          <w:szCs w:val="24"/>
          <w:u w:val="single"/>
          <w:lang w:val="en-US" w:eastAsia="zh-CN"/>
        </w:rPr>
        <w:t>1</w:t>
      </w:r>
      <w:r>
        <w:rPr>
          <w:rStyle w:val="12"/>
          <w:rFonts w:hint="eastAsia" w:ascii="Times New Roman" w:hAnsi="Times New Roman" w:eastAsia="黑体" w:cs="Times New Roman"/>
          <w:sz w:val="24"/>
          <w:szCs w:val="24"/>
        </w:rPr>
        <w:t>个标段投标，</w:t>
      </w:r>
      <w:r>
        <w:rPr>
          <w:rStyle w:val="12"/>
          <w:rFonts w:hint="eastAsia" w:ascii="Times New Roman" w:hAnsi="Times New Roman" w:eastAsia="黑体" w:cs="Times New Roman"/>
          <w:sz w:val="24"/>
          <w:szCs w:val="24"/>
          <w:lang w:val="en-US" w:eastAsia="zh-CN"/>
        </w:rPr>
        <w:t>1</w:t>
      </w:r>
      <w:r>
        <w:rPr>
          <w:rStyle w:val="12"/>
          <w:rFonts w:hint="eastAsia" w:ascii="Times New Roman" w:hAnsi="Times New Roman" w:eastAsia="黑体" w:cs="Times New Roman"/>
          <w:sz w:val="24"/>
          <w:szCs w:val="24"/>
        </w:rPr>
        <w:t>每个投标人允许中</w:t>
      </w:r>
      <w:r>
        <w:rPr>
          <w:rStyle w:val="12"/>
          <w:rFonts w:hint="eastAsia" w:ascii="Times New Roman" w:hAnsi="Times New Roman" w:eastAsia="黑体" w:cs="Times New Roman"/>
          <w:sz w:val="24"/>
          <w:szCs w:val="24"/>
          <w:u w:val="single"/>
          <w:lang w:val="en-US" w:eastAsia="zh-CN"/>
        </w:rPr>
        <w:t>1</w:t>
      </w:r>
      <w:r>
        <w:rPr>
          <w:rStyle w:val="12"/>
          <w:rFonts w:hint="eastAsia" w:ascii="Times New Roman" w:hAnsi="Times New Roman" w:eastAsia="黑体" w:cs="Times New Roman"/>
          <w:sz w:val="24"/>
          <w:szCs w:val="24"/>
        </w:rPr>
        <w:t>个标。</w:t>
      </w:r>
    </w:p>
    <w:bookmarkEnd w:id="10"/>
    <w:p>
      <w:pPr>
        <w:pStyle w:val="14"/>
        <w:autoSpaceDE w:val="0"/>
        <w:autoSpaceDN w:val="0"/>
        <w:adjustRightInd w:val="0"/>
        <w:spacing w:line="400" w:lineRule="exact"/>
        <w:ind w:firstLine="480"/>
        <w:rPr>
          <w:rStyle w:val="12"/>
          <w:rFonts w:ascii="Times New Roman" w:hAnsi="Times New Roman" w:eastAsia="宋体" w:cs="Times New Roman"/>
          <w:kern w:val="0"/>
          <w:sz w:val="24"/>
          <w:szCs w:val="24"/>
        </w:rPr>
      </w:pPr>
      <w:r>
        <w:rPr>
          <w:rStyle w:val="12"/>
          <w:rFonts w:ascii="Times New Roman" w:hAnsi="Times New Roman" w:eastAsia="宋体" w:cs="Times New Roman"/>
          <w:sz w:val="24"/>
          <w:szCs w:val="20"/>
        </w:rPr>
        <w:t xml:space="preserve">3.4 </w:t>
      </w:r>
      <w:r>
        <w:rPr>
          <w:rStyle w:val="12"/>
          <w:rFonts w:hint="eastAsia" w:ascii="Times New Roman" w:hAnsi="Times New Roman" w:eastAsia="宋体" w:cs="Times New Roman"/>
          <w:sz w:val="24"/>
          <w:szCs w:val="24"/>
        </w:rPr>
        <w:t>与招标人存在利害关系且可能影响招标公正性的单位，不得参加投标。</w:t>
      </w:r>
      <w:r>
        <w:rPr>
          <w:rStyle w:val="12"/>
          <w:rFonts w:hint="eastAsia" w:ascii="Times New Roman" w:hAnsi="Times New Roman" w:eastAsia="宋体" w:cs="Times New Roman"/>
          <w:kern w:val="0"/>
          <w:sz w:val="24"/>
          <w:szCs w:val="24"/>
        </w:rPr>
        <w:t>单位负责人</w:t>
      </w:r>
      <w:r>
        <w:rPr>
          <w:rStyle w:val="12"/>
          <w:rFonts w:ascii="Times New Roman" w:hAnsi="Times New Roman" w:eastAsia="宋体" w:cs="Times New Roman"/>
          <w:kern w:val="0"/>
          <w:sz w:val="24"/>
          <w:szCs w:val="24"/>
          <w:vertAlign w:val="superscript"/>
        </w:rPr>
        <w:footnoteReference w:id="1"/>
      </w:r>
      <w:r>
        <w:rPr>
          <w:rStyle w:val="12"/>
          <w:rFonts w:hint="eastAsia" w:ascii="Times New Roman" w:hAnsi="Times New Roman" w:eastAsia="宋体" w:cs="Times New Roman"/>
          <w:kern w:val="0"/>
          <w:sz w:val="24"/>
          <w:szCs w:val="24"/>
        </w:rPr>
        <w:t>为同一人或者存在控股</w:t>
      </w:r>
      <w:r>
        <w:rPr>
          <w:rStyle w:val="12"/>
          <w:rFonts w:ascii="Times New Roman" w:hAnsi="Times New Roman" w:eastAsia="宋体" w:cs="Times New Roman"/>
          <w:kern w:val="0"/>
          <w:sz w:val="24"/>
          <w:szCs w:val="24"/>
          <w:vertAlign w:val="superscript"/>
        </w:rPr>
        <w:footnoteReference w:id="2"/>
      </w:r>
      <w:r>
        <w:rPr>
          <w:rStyle w:val="12"/>
          <w:rFonts w:hint="eastAsia" w:ascii="Times New Roman" w:hAnsi="Times New Roman" w:eastAsia="宋体" w:cs="Times New Roman"/>
          <w:kern w:val="0"/>
          <w:sz w:val="24"/>
          <w:szCs w:val="24"/>
        </w:rPr>
        <w:t>、管理</w:t>
      </w:r>
      <w:r>
        <w:rPr>
          <w:rStyle w:val="12"/>
          <w:rFonts w:ascii="Times New Roman" w:hAnsi="Times New Roman" w:eastAsia="宋体" w:cs="Times New Roman"/>
          <w:kern w:val="0"/>
          <w:sz w:val="24"/>
          <w:szCs w:val="24"/>
          <w:vertAlign w:val="superscript"/>
        </w:rPr>
        <w:footnoteReference w:id="3"/>
      </w:r>
      <w:r>
        <w:rPr>
          <w:rStyle w:val="12"/>
          <w:rFonts w:hint="eastAsia" w:ascii="Times New Roman" w:hAnsi="Times New Roman" w:eastAsia="宋体" w:cs="Times New Roman"/>
          <w:kern w:val="0"/>
          <w:sz w:val="24"/>
          <w:szCs w:val="24"/>
        </w:rPr>
        <w:t>关系的不同单位，不得参加同一标段投标，否则，相关投标均无效。</w:t>
      </w:r>
    </w:p>
    <w:p>
      <w:pPr>
        <w:pStyle w:val="14"/>
        <w:spacing w:line="420" w:lineRule="exact"/>
        <w:ind w:firstLine="480" w:firstLineChars="200"/>
        <w:rPr>
          <w:rStyle w:val="12"/>
          <w:rFonts w:ascii="Times New Roman" w:hAnsi="Times New Roman" w:eastAsia="黑体" w:cs="Times New Roman"/>
          <w:sz w:val="24"/>
          <w:szCs w:val="24"/>
        </w:rPr>
      </w:pPr>
      <w:r>
        <w:rPr>
          <w:rStyle w:val="12"/>
          <w:rFonts w:ascii="Times New Roman" w:hAnsi="Times New Roman" w:eastAsia="黑体" w:cs="Times New Roman"/>
          <w:sz w:val="24"/>
          <w:szCs w:val="20"/>
        </w:rPr>
        <w:t>3.5</w:t>
      </w:r>
      <w:r>
        <w:rPr>
          <w:rStyle w:val="12"/>
          <w:rFonts w:ascii="Times New Roman" w:hAnsi="Times New Roman" w:eastAsia="黑体" w:cs="Times New Roman"/>
          <w:sz w:val="24"/>
          <w:szCs w:val="24"/>
        </w:rPr>
        <w:t xml:space="preserve"> </w:t>
      </w:r>
      <w:r>
        <w:rPr>
          <w:rStyle w:val="12"/>
          <w:rFonts w:hint="eastAsia" w:ascii="Times New Roman" w:hAnsi="Times New Roman" w:eastAsia="黑体" w:cs="Times New Roman"/>
          <w:sz w:val="24"/>
          <w:szCs w:val="24"/>
          <w:lang w:val="en-US" w:eastAsia="zh-CN"/>
        </w:rPr>
        <w:t>依据《湖南省水利厅关于印发&lt;湖南省水利工程建设项目招标投标管理实施办法&gt;的通知》（湘水办〔2017〕113号）、《湖南省水利厅关于印发&lt;湖南省水利建设市场主体红黑名单管理办法&gt;的通知》（湘水发〔2018〕28号），凡被列入水利部水利建设市场监管平台黑名单或湖南省水利建设市场主体黑名单并在有效期内的从业单位和从业人员，受到湖南省人民政府及湖南省直有关部门取消投标资格以上处罚并在有效期内的从业单位和从业人员，以及被人力资源和社会保障行政部门列入拖欠工资“黑名单”并在有效期内的从业单位和从业人员，禁止参与本次投标</w:t>
      </w:r>
      <w:r>
        <w:rPr>
          <w:rStyle w:val="12"/>
          <w:rFonts w:hint="eastAsia" w:ascii="Times New Roman" w:hAnsi="Times New Roman" w:eastAsia="黑体" w:cs="Times New Roman"/>
          <w:sz w:val="24"/>
          <w:szCs w:val="24"/>
        </w:rPr>
        <w:t>。</w:t>
      </w:r>
    </w:p>
    <w:p>
      <w:pPr>
        <w:pStyle w:val="14"/>
        <w:widowControl/>
        <w:spacing w:line="420" w:lineRule="atLeast"/>
        <w:ind w:firstLine="482" w:firstLineChars="200"/>
        <w:rPr>
          <w:rStyle w:val="12"/>
          <w:rFonts w:ascii="Times New Roman" w:hAnsi="Times New Roman" w:eastAsia="华文新魏" w:cs="Times New Roman"/>
          <w:sz w:val="24"/>
        </w:rPr>
      </w:pPr>
      <w:r>
        <w:rPr>
          <w:rStyle w:val="12"/>
          <w:rFonts w:ascii="Times New Roman" w:hAnsi="Times New Roman" w:eastAsia="黑体" w:cs="Times New Roman"/>
          <w:b/>
          <w:bCs/>
          <w:sz w:val="24"/>
          <w:szCs w:val="20"/>
        </w:rPr>
        <w:t xml:space="preserve">3.6 </w:t>
      </w:r>
      <w:r>
        <w:rPr>
          <w:rStyle w:val="12"/>
          <w:rFonts w:hint="eastAsia" w:ascii="Times New Roman" w:hAnsi="Times New Roman" w:eastAsia="黑体" w:cs="Times New Roman"/>
          <w:sz w:val="24"/>
          <w:szCs w:val="20"/>
        </w:rPr>
        <w:t>招标人不接受</w:t>
      </w:r>
      <w:r>
        <w:rPr>
          <w:rStyle w:val="12"/>
          <w:rFonts w:hint="eastAsia" w:ascii="Times New Roman" w:hAnsi="Times New Roman" w:eastAsia="黑体" w:cs="Times New Roman"/>
          <w:sz w:val="24"/>
        </w:rPr>
        <w:t>在全国企业信用信息公示系统（</w:t>
      </w:r>
      <w:r>
        <w:rPr>
          <w:rStyle w:val="12"/>
          <w:rFonts w:ascii="Times New Roman" w:hAnsi="Times New Roman" w:eastAsia="黑体" w:cs="Times New Roman"/>
          <w:sz w:val="24"/>
        </w:rPr>
        <w:t>http://www.gsxt.gov.cn</w:t>
      </w:r>
      <w:r>
        <w:rPr>
          <w:rStyle w:val="12"/>
          <w:rFonts w:hint="eastAsia" w:ascii="Times New Roman" w:hAnsi="Times New Roman" w:eastAsia="黑体" w:cs="Times New Roman"/>
          <w:sz w:val="24"/>
        </w:rPr>
        <w:t>）中被列入严重违法失信企业名单的或在</w:t>
      </w:r>
      <w:r>
        <w:rPr>
          <w:rStyle w:val="12"/>
          <w:rFonts w:ascii="Times New Roman" w:hAnsi="Times New Roman" w:eastAsia="黑体" w:cs="Times New Roman"/>
          <w:sz w:val="24"/>
        </w:rPr>
        <w:t>“</w:t>
      </w:r>
      <w:r>
        <w:rPr>
          <w:rStyle w:val="12"/>
          <w:rFonts w:hint="eastAsia" w:ascii="Times New Roman" w:hAnsi="Times New Roman" w:eastAsia="黑体" w:cs="Times New Roman"/>
          <w:sz w:val="24"/>
        </w:rPr>
        <w:t>信用中国</w:t>
      </w:r>
      <w:r>
        <w:rPr>
          <w:rStyle w:val="12"/>
          <w:rFonts w:ascii="Times New Roman" w:hAnsi="Times New Roman" w:eastAsia="黑体" w:cs="Times New Roman"/>
          <w:sz w:val="24"/>
        </w:rPr>
        <w:t>”</w:t>
      </w:r>
      <w:r>
        <w:rPr>
          <w:rStyle w:val="12"/>
          <w:rFonts w:hint="eastAsia" w:ascii="Times New Roman" w:hAnsi="Times New Roman" w:eastAsia="黑体" w:cs="Times New Roman"/>
          <w:sz w:val="24"/>
        </w:rPr>
        <w:t>网站（</w:t>
      </w:r>
      <w:r>
        <w:rPr>
          <w:rStyle w:val="12"/>
          <w:rFonts w:ascii="Times New Roman" w:hAnsi="Times New Roman" w:eastAsia="黑体" w:cs="Times New Roman"/>
          <w:sz w:val="24"/>
        </w:rPr>
        <w:t>www.creditchina.gov.cn</w:t>
      </w:r>
      <w:r>
        <w:rPr>
          <w:rStyle w:val="12"/>
          <w:rFonts w:hint="eastAsia" w:ascii="Times New Roman" w:hAnsi="Times New Roman" w:eastAsia="黑体" w:cs="Times New Roman"/>
          <w:sz w:val="24"/>
        </w:rPr>
        <w:t>）中被列入失信被执行人名单的投标人投标。</w:t>
      </w:r>
    </w:p>
    <w:p>
      <w:pPr>
        <w:pStyle w:val="14"/>
        <w:keepNext/>
        <w:keepLines/>
        <w:spacing w:before="240" w:after="240" w:line="240" w:lineRule="atLeast"/>
        <w:outlineLvl w:val="0"/>
        <w:rPr>
          <w:rStyle w:val="12"/>
          <w:rFonts w:ascii="Times New Roman" w:hAnsi="Times New Roman" w:eastAsia="黑体" w:cs="Times New Roman"/>
          <w:b/>
          <w:bCs/>
          <w:kern w:val="44"/>
          <w:sz w:val="28"/>
          <w:szCs w:val="28"/>
        </w:rPr>
      </w:pPr>
      <w:bookmarkStart w:id="11" w:name="_Toc510015652"/>
      <w:bookmarkStart w:id="12" w:name="_Toc256000005"/>
      <w:bookmarkStart w:id="13" w:name="_Toc503235718"/>
      <w:r>
        <w:rPr>
          <w:rStyle w:val="12"/>
          <w:rFonts w:ascii="Times New Roman" w:hAnsi="Times New Roman" w:eastAsia="黑体" w:cs="Times New Roman"/>
          <w:b/>
          <w:bCs/>
          <w:kern w:val="44"/>
          <w:sz w:val="28"/>
          <w:szCs w:val="28"/>
        </w:rPr>
        <w:t xml:space="preserve">4. </w:t>
      </w:r>
      <w:r>
        <w:rPr>
          <w:rStyle w:val="12"/>
          <w:rFonts w:hint="eastAsia" w:ascii="Times New Roman" w:hAnsi="Times New Roman" w:eastAsia="黑体" w:cs="Times New Roman"/>
          <w:b/>
          <w:bCs/>
          <w:kern w:val="44"/>
          <w:sz w:val="28"/>
          <w:szCs w:val="28"/>
        </w:rPr>
        <w:t>招标文件的获取</w:t>
      </w:r>
      <w:bookmarkEnd w:id="11"/>
      <w:bookmarkEnd w:id="12"/>
      <w:bookmarkEnd w:id="13"/>
    </w:p>
    <w:p>
      <w:pPr>
        <w:pStyle w:val="14"/>
        <w:spacing w:line="400" w:lineRule="atLeast"/>
        <w:ind w:firstLine="480" w:firstLineChars="200"/>
        <w:rPr>
          <w:rStyle w:val="12"/>
          <w:rFonts w:hint="eastAsia" w:ascii="Times New Roman" w:hAnsi="Times New Roman" w:eastAsia="宋体" w:cs="Times New Roman"/>
          <w:sz w:val="24"/>
          <w:szCs w:val="24"/>
        </w:rPr>
      </w:pPr>
      <w:r>
        <w:rPr>
          <w:rStyle w:val="12"/>
          <w:rFonts w:hint="eastAsia" w:ascii="Times New Roman" w:hAnsi="Times New Roman" w:eastAsia="宋体" w:cs="Times New Roman"/>
          <w:sz w:val="24"/>
          <w:szCs w:val="24"/>
        </w:rPr>
        <w:t>4.1 凡有意参加投标者，请登录湖南省公路建设市场信用信息管理系统（网址：http://218.76.40.80:8000/gljs）中注册、完善、公开本单位信息（新用户注册请联系湖南省交通运输厅《关于湖南省公路建设市场信用信息管理系统（新开发）运行的通知》（厅办函〔2016〕204号）文件中的联系方式办理），并在湖南省公共资源交易中心办理CA数字证书（具体流程参见网址：http://www.hunca.com.cn/xmzq/ggzy/ggzyfscg/）。</w:t>
      </w:r>
    </w:p>
    <w:p>
      <w:pPr>
        <w:pStyle w:val="14"/>
        <w:spacing w:line="400" w:lineRule="atLeast"/>
        <w:ind w:firstLine="480" w:firstLineChars="200"/>
        <w:rPr>
          <w:rStyle w:val="12"/>
          <w:rFonts w:hint="eastAsia" w:ascii="Times New Roman" w:hAnsi="Times New Roman" w:eastAsia="宋体" w:cs="Times New Roman"/>
          <w:sz w:val="24"/>
          <w:szCs w:val="24"/>
          <w:vertAlign w:val="superscript"/>
        </w:rPr>
      </w:pPr>
      <w:r>
        <w:rPr>
          <w:rStyle w:val="12"/>
          <w:rFonts w:hint="eastAsia" w:ascii="Times New Roman" w:hAnsi="Times New Roman" w:eastAsia="宋体" w:cs="Times New Roman"/>
          <w:sz w:val="24"/>
          <w:szCs w:val="24"/>
        </w:rPr>
        <w:t>4.2 办理完成CA数字认证后，请于招标公告发布之日至投标文件递交截止之日前一日（北京时间，下同），通过互联网使用CA数字证书登录湖南省公共资源交易中心进场交易系统（以下简称：“电子交易平台”，网址：http://222.240.80.75/tpbidder），进行报名后下载招标文件、图纸等相关资料，完成报名。</w:t>
      </w:r>
      <w:r>
        <w:rPr>
          <w:rStyle w:val="12"/>
          <w:rFonts w:hint="eastAsia" w:ascii="Times New Roman" w:hAnsi="Times New Roman" w:eastAsia="宋体" w:cs="Times New Roman"/>
          <w:sz w:val="24"/>
          <w:szCs w:val="24"/>
          <w:vertAlign w:val="superscript"/>
        </w:rPr>
        <w:footnoteReference w:id="4"/>
      </w:r>
    </w:p>
    <w:p>
      <w:pPr>
        <w:pStyle w:val="14"/>
        <w:spacing w:line="400" w:lineRule="atLeast"/>
        <w:ind w:firstLine="480" w:firstLineChars="200"/>
        <w:rPr>
          <w:rStyle w:val="12"/>
          <w:rFonts w:ascii="Times New Roman" w:hAnsi="Times New Roman" w:eastAsia="宋体" w:cs="Times New Roman"/>
          <w:sz w:val="24"/>
          <w:szCs w:val="24"/>
        </w:rPr>
      </w:pPr>
      <w:r>
        <w:rPr>
          <w:rStyle w:val="12"/>
          <w:rFonts w:hint="eastAsia" w:ascii="Times New Roman" w:hAnsi="Times New Roman" w:eastAsia="宋体" w:cs="Times New Roman"/>
          <w:sz w:val="24"/>
          <w:szCs w:val="24"/>
        </w:rPr>
        <w:t>4.3 投标人应及时关注网上相关招标信息，如有遗漏招标人概不负责，所造成的投标失败或损失由投标人自行负责。投标人在办理CA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企业投同一标段的，按否决其投标处理。未按规定从湖南省公共资源交易中心进场交易系统下载招标文件的，招标人将拒收其投标。</w:t>
      </w:r>
    </w:p>
    <w:p>
      <w:pPr>
        <w:pStyle w:val="14"/>
        <w:keepNext/>
        <w:keepLines/>
        <w:spacing w:before="240" w:after="240" w:line="240" w:lineRule="atLeast"/>
        <w:outlineLvl w:val="0"/>
        <w:rPr>
          <w:rStyle w:val="12"/>
          <w:rFonts w:ascii="Times New Roman" w:hAnsi="Times New Roman" w:eastAsia="黑体" w:cs="Times New Roman"/>
          <w:b/>
          <w:bCs/>
          <w:kern w:val="44"/>
          <w:sz w:val="28"/>
          <w:szCs w:val="28"/>
        </w:rPr>
      </w:pPr>
      <w:bookmarkStart w:id="14" w:name="_Toc510015653"/>
      <w:bookmarkStart w:id="15" w:name="_Toc256000006"/>
      <w:bookmarkStart w:id="16" w:name="_Toc503235719"/>
      <w:r>
        <w:rPr>
          <w:rStyle w:val="12"/>
          <w:rFonts w:ascii="Times New Roman" w:hAnsi="Times New Roman" w:eastAsia="黑体" w:cs="Times New Roman"/>
          <w:b/>
          <w:bCs/>
          <w:kern w:val="44"/>
          <w:sz w:val="28"/>
          <w:szCs w:val="28"/>
        </w:rPr>
        <w:t xml:space="preserve">5. </w:t>
      </w:r>
      <w:r>
        <w:rPr>
          <w:rStyle w:val="12"/>
          <w:rFonts w:hint="eastAsia" w:ascii="Times New Roman" w:hAnsi="Times New Roman" w:eastAsia="黑体" w:cs="Times New Roman"/>
          <w:b/>
          <w:bCs/>
          <w:kern w:val="44"/>
          <w:sz w:val="28"/>
          <w:szCs w:val="28"/>
        </w:rPr>
        <w:t>投标文件的递交及相关事宜</w:t>
      </w:r>
      <w:bookmarkEnd w:id="14"/>
      <w:bookmarkEnd w:id="15"/>
      <w:bookmarkEnd w:id="16"/>
    </w:p>
    <w:p>
      <w:pPr>
        <w:pStyle w:val="14"/>
        <w:autoSpaceDE w:val="0"/>
        <w:autoSpaceDN w:val="0"/>
        <w:adjustRightInd w:val="0"/>
        <w:spacing w:line="400" w:lineRule="exact"/>
        <w:ind w:firstLine="480"/>
        <w:rPr>
          <w:rStyle w:val="12"/>
          <w:rFonts w:hint="eastAsia" w:ascii="Times New Roman" w:hAnsi="Times New Roman" w:eastAsia="宋体" w:cs="Times New Roman"/>
          <w:sz w:val="24"/>
          <w:szCs w:val="24"/>
        </w:rPr>
      </w:pPr>
      <w:r>
        <w:rPr>
          <w:rStyle w:val="12"/>
          <w:rFonts w:hint="eastAsia" w:ascii="Times New Roman" w:hAnsi="Times New Roman" w:eastAsia="宋体" w:cs="Times New Roman"/>
          <w:sz w:val="24"/>
          <w:szCs w:val="24"/>
        </w:rPr>
        <w:t>5.1 招标人不组织工程现场踏勘及投标预备会。</w:t>
      </w:r>
    </w:p>
    <w:p>
      <w:pPr>
        <w:pStyle w:val="14"/>
        <w:autoSpaceDE w:val="0"/>
        <w:autoSpaceDN w:val="0"/>
        <w:adjustRightInd w:val="0"/>
        <w:spacing w:line="400" w:lineRule="exact"/>
        <w:ind w:firstLine="480"/>
        <w:rPr>
          <w:rStyle w:val="12"/>
          <w:rFonts w:hint="eastAsia" w:ascii="Times New Roman" w:hAnsi="Times New Roman" w:eastAsia="宋体" w:cs="Times New Roman"/>
          <w:sz w:val="24"/>
          <w:szCs w:val="24"/>
        </w:rPr>
      </w:pPr>
      <w:r>
        <w:rPr>
          <w:rStyle w:val="12"/>
          <w:rFonts w:hint="eastAsia" w:ascii="Times New Roman" w:hAnsi="Times New Roman" w:eastAsia="宋体" w:cs="Times New Roman"/>
          <w:sz w:val="24"/>
          <w:szCs w:val="24"/>
        </w:rPr>
        <w:t>5.2</w:t>
      </w:r>
      <w:bookmarkStart w:id="17" w:name="_Hlk13754210"/>
      <w:r>
        <w:rPr>
          <w:rStyle w:val="12"/>
          <w:rFonts w:hint="eastAsia" w:ascii="Times New Roman" w:hAnsi="Times New Roman" w:eastAsia="宋体" w:cs="Times New Roman"/>
          <w:sz w:val="24"/>
          <w:szCs w:val="24"/>
        </w:rPr>
        <w:t>投标文件递交截止时间（投标截止时间，下同）见外网招标公告。</w:t>
      </w:r>
    </w:p>
    <w:bookmarkEnd w:id="17"/>
    <w:p>
      <w:pPr>
        <w:pStyle w:val="14"/>
        <w:autoSpaceDE w:val="0"/>
        <w:autoSpaceDN w:val="0"/>
        <w:adjustRightInd w:val="0"/>
        <w:spacing w:line="400" w:lineRule="exact"/>
        <w:ind w:firstLine="480"/>
        <w:rPr>
          <w:rStyle w:val="12"/>
          <w:rFonts w:hint="eastAsia" w:ascii="Times New Roman" w:hAnsi="Times New Roman" w:eastAsia="宋体" w:cs="Times New Roman"/>
          <w:sz w:val="24"/>
          <w:szCs w:val="24"/>
          <w:lang w:val="en-US" w:eastAsia="zh-CN"/>
        </w:rPr>
      </w:pPr>
      <w:r>
        <w:rPr>
          <w:rStyle w:val="12"/>
          <w:rFonts w:hint="eastAsia" w:ascii="Times New Roman" w:hAnsi="Times New Roman" w:eastAsia="宋体" w:cs="Times New Roman"/>
          <w:sz w:val="24"/>
          <w:szCs w:val="24"/>
          <w:lang w:val="en-US" w:eastAsia="zh-CN"/>
        </w:rPr>
        <w:t>投标人应当在投标截止时间前，通过互联网使用CA数字证书登录“电子交易平台”，将加密的电子投标文件（投标文件第一信封（商务和技术文件）和投标文件第二信封（报价文件））上传，并保存上传成功后系统自动生成的电子签收凭证，递交时间即为电子签收凭证时间。逾期未完成上传或未按规定加密的电子投标文件，招标人将拒收。原件等资料送达：本次招标实行网上解密和开标。湖南省公共资源交易中心目前已全面启动电子化开评标，不见面开标项目无需现场参与，投标人可自行登录“不见面开标大厅”在线解密和收看开标现场。招标人允许投标人将投标保函原件（如有）、银行查询授权书原件（如有）按照招标文件要求密封后（封套注明项目名称、标段号、招标编号、投标人名称），采用邮寄方式最晚于开标之日前一日下午 17:00 时前交招标代理机构签收（以签收时间为准），邮寄地址：湖南省长沙市开福区三一大道500号金色比华利小区16栋2单元104室（联系人：车先生，联系电话0731-83285781/0731-85222202）。</w:t>
      </w:r>
    </w:p>
    <w:p>
      <w:pPr>
        <w:pStyle w:val="14"/>
        <w:autoSpaceDE w:val="0"/>
        <w:autoSpaceDN w:val="0"/>
        <w:adjustRightInd w:val="0"/>
        <w:spacing w:line="400" w:lineRule="exact"/>
        <w:ind w:firstLine="480"/>
        <w:rPr>
          <w:rStyle w:val="12"/>
          <w:rFonts w:hint="eastAsia" w:ascii="Times New Roman" w:hAnsi="Times New Roman" w:eastAsia="宋体" w:cs="Times New Roman"/>
          <w:sz w:val="24"/>
          <w:szCs w:val="24"/>
        </w:rPr>
      </w:pPr>
      <w:r>
        <w:rPr>
          <w:rStyle w:val="12"/>
          <w:rFonts w:hint="eastAsia" w:ascii="Times New Roman" w:hAnsi="Times New Roman" w:eastAsia="宋体" w:cs="Times New Roman"/>
          <w:sz w:val="24"/>
          <w:szCs w:val="24"/>
          <w:lang w:val="en-US" w:eastAsia="zh-CN"/>
        </w:rPr>
        <w:t>若投标人自愿到达开标现场参加开标活动的，应当在开标当日投标截止时间之前，将投标保函原件（如有）、银行查询授权书原件（如有）按照招标文件要求密封后，递交至湖南省长沙市雨花区万家丽南路二段 29 号湖南省公共资源交易中心开标室（具体开标室请见一楼电子显示屏）交招标人签收；投标人在原件等资料递交完成后，请在三楼休息区、一楼办事大厅休息，禁止进入不见面开标室或在门口、过道聚集。投标人可到开标现场完成投标文件解密工作，也可以按时远程登陆“电子交易平台”参与网上开标，完成投标文件远程解密工作，参与网上开标的投标人应保持通讯方式畅通。若投标人在现场解密，则须携带加密投标文件的CA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p>
    <w:p>
      <w:pPr>
        <w:pStyle w:val="14"/>
        <w:autoSpaceDE w:val="0"/>
        <w:autoSpaceDN w:val="0"/>
        <w:adjustRightInd w:val="0"/>
        <w:spacing w:line="400" w:lineRule="exact"/>
        <w:ind w:firstLine="480"/>
        <w:rPr>
          <w:rStyle w:val="12"/>
          <w:rFonts w:hint="eastAsia" w:ascii="黑体" w:hAnsi="黑体" w:eastAsia="黑体" w:cs="黑体"/>
          <w:b/>
          <w:bCs/>
          <w:sz w:val="24"/>
          <w:szCs w:val="24"/>
        </w:rPr>
      </w:pPr>
      <w:r>
        <w:rPr>
          <w:rStyle w:val="12"/>
          <w:rFonts w:hint="eastAsia" w:ascii="黑体" w:hAnsi="黑体" w:eastAsia="黑体" w:cs="黑体"/>
          <w:b/>
          <w:bCs/>
          <w:sz w:val="24"/>
          <w:szCs w:val="24"/>
        </w:rPr>
        <w:t>5.3 投标保证金的递交：</w:t>
      </w:r>
    </w:p>
    <w:p>
      <w:pPr>
        <w:pStyle w:val="14"/>
        <w:autoSpaceDE w:val="0"/>
        <w:autoSpaceDN w:val="0"/>
        <w:adjustRightInd w:val="0"/>
        <w:spacing w:line="400" w:lineRule="exact"/>
        <w:ind w:firstLine="480"/>
        <w:rPr>
          <w:rStyle w:val="12"/>
          <w:rFonts w:hint="eastAsia" w:ascii="黑体" w:hAnsi="黑体" w:eastAsia="黑体" w:cs="黑体"/>
          <w:b/>
          <w:bCs/>
          <w:sz w:val="24"/>
          <w:szCs w:val="24"/>
        </w:rPr>
      </w:pPr>
      <w:r>
        <w:rPr>
          <w:rStyle w:val="12"/>
          <w:rFonts w:hint="eastAsia" w:ascii="黑体" w:hAnsi="黑体" w:eastAsia="黑体" w:cs="黑体"/>
          <w:b/>
          <w:bCs/>
          <w:sz w:val="24"/>
          <w:szCs w:val="24"/>
        </w:rPr>
        <w:t>投标保证金的金额：</w:t>
      </w:r>
      <w:r>
        <w:rPr>
          <w:rStyle w:val="12"/>
          <w:rFonts w:hint="eastAsia" w:ascii="黑体" w:hAnsi="黑体" w:eastAsia="黑体" w:cs="黑体"/>
          <w:b/>
          <w:bCs/>
          <w:sz w:val="24"/>
          <w:szCs w:val="24"/>
          <w:lang w:val="en-US" w:eastAsia="zh-CN"/>
        </w:rPr>
        <w:t>SJ01</w:t>
      </w:r>
      <w:r>
        <w:rPr>
          <w:rStyle w:val="12"/>
          <w:rFonts w:hint="eastAsia" w:ascii="黑体" w:hAnsi="黑体" w:eastAsia="黑体" w:cs="黑体"/>
          <w:b/>
          <w:bCs/>
          <w:sz w:val="24"/>
          <w:szCs w:val="24"/>
        </w:rPr>
        <w:t>标段</w:t>
      </w:r>
      <w:r>
        <w:rPr>
          <w:rStyle w:val="12"/>
          <w:rFonts w:hint="eastAsia" w:ascii="黑体" w:hAnsi="黑体" w:eastAsia="黑体" w:cs="黑体"/>
          <w:b/>
          <w:bCs/>
          <w:sz w:val="24"/>
          <w:szCs w:val="24"/>
          <w:lang w:val="en-US" w:eastAsia="zh-CN"/>
        </w:rPr>
        <w:t>5</w:t>
      </w:r>
      <w:r>
        <w:rPr>
          <w:rStyle w:val="12"/>
          <w:rFonts w:hint="eastAsia" w:ascii="黑体" w:hAnsi="黑体" w:eastAsia="黑体" w:cs="黑体"/>
          <w:b/>
          <w:bCs/>
          <w:sz w:val="24"/>
          <w:szCs w:val="24"/>
        </w:rPr>
        <w:t>万元</w:t>
      </w:r>
    </w:p>
    <w:p>
      <w:pPr>
        <w:pStyle w:val="14"/>
        <w:autoSpaceDE w:val="0"/>
        <w:autoSpaceDN w:val="0"/>
        <w:adjustRightInd w:val="0"/>
        <w:spacing w:line="400" w:lineRule="exact"/>
        <w:ind w:firstLine="480"/>
        <w:rPr>
          <w:rStyle w:val="12"/>
          <w:rFonts w:hint="eastAsia" w:ascii="黑体" w:hAnsi="黑体" w:eastAsia="黑体" w:cs="黑体"/>
          <w:b/>
          <w:bCs/>
          <w:sz w:val="24"/>
          <w:szCs w:val="24"/>
        </w:rPr>
      </w:pPr>
      <w:r>
        <w:rPr>
          <w:rStyle w:val="12"/>
          <w:rFonts w:hint="eastAsia" w:ascii="黑体" w:hAnsi="黑体" w:eastAsia="黑体" w:cs="黑体"/>
          <w:b/>
          <w:bCs/>
          <w:sz w:val="24"/>
          <w:szCs w:val="24"/>
        </w:rPr>
        <w:t>（1）</w:t>
      </w:r>
      <w:bookmarkStart w:id="18" w:name="_Hlk11941435"/>
      <w:r>
        <w:rPr>
          <w:rStyle w:val="12"/>
          <w:rFonts w:hint="eastAsia" w:ascii="黑体" w:hAnsi="黑体" w:eastAsia="黑体" w:cs="黑体"/>
          <w:b/>
          <w:bCs/>
          <w:sz w:val="24"/>
          <w:szCs w:val="24"/>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18"/>
      <w:r>
        <w:rPr>
          <w:rStyle w:val="12"/>
          <w:rFonts w:hint="eastAsia" w:ascii="黑体" w:hAnsi="黑体" w:eastAsia="黑体" w:cs="黑体"/>
          <w:b/>
          <w:bCs/>
          <w:sz w:val="24"/>
          <w:szCs w:val="24"/>
        </w:rPr>
        <w:t>。</w:t>
      </w:r>
    </w:p>
    <w:p>
      <w:pPr>
        <w:pStyle w:val="14"/>
        <w:autoSpaceDE w:val="0"/>
        <w:autoSpaceDN w:val="0"/>
        <w:adjustRightInd w:val="0"/>
        <w:spacing w:line="400" w:lineRule="exact"/>
        <w:ind w:firstLine="480"/>
        <w:rPr>
          <w:rStyle w:val="12"/>
          <w:rFonts w:hint="eastAsia" w:ascii="黑体" w:hAnsi="黑体" w:eastAsia="黑体" w:cs="黑体"/>
          <w:b/>
          <w:bCs/>
          <w:sz w:val="24"/>
          <w:szCs w:val="24"/>
        </w:rPr>
      </w:pPr>
      <w:r>
        <w:rPr>
          <w:rStyle w:val="12"/>
          <w:rFonts w:hint="eastAsia" w:ascii="黑体" w:hAnsi="黑体" w:eastAsia="黑体" w:cs="黑体"/>
          <w:b/>
          <w:bCs/>
          <w:sz w:val="24"/>
          <w:szCs w:val="24"/>
        </w:rPr>
        <w:t>招标标段：</w:t>
      </w:r>
      <w:r>
        <w:rPr>
          <w:rStyle w:val="12"/>
          <w:rFonts w:hint="eastAsia" w:ascii="黑体" w:hAnsi="黑体" w:eastAsia="黑体" w:cs="黑体"/>
          <w:b/>
          <w:bCs/>
          <w:sz w:val="24"/>
          <w:szCs w:val="24"/>
          <w:lang w:val="en-US" w:eastAsia="zh-CN"/>
        </w:rPr>
        <w:t>SJ01</w:t>
      </w:r>
      <w:r>
        <w:rPr>
          <w:rStyle w:val="12"/>
          <w:rFonts w:hint="eastAsia" w:ascii="黑体" w:hAnsi="黑体" w:eastAsia="黑体" w:cs="黑体"/>
          <w:b/>
          <w:bCs/>
          <w:sz w:val="24"/>
          <w:szCs w:val="24"/>
        </w:rPr>
        <w:t>标段</w:t>
      </w:r>
    </w:p>
    <w:p>
      <w:pPr>
        <w:pStyle w:val="14"/>
        <w:autoSpaceDE w:val="0"/>
        <w:autoSpaceDN w:val="0"/>
        <w:adjustRightInd w:val="0"/>
        <w:spacing w:line="400" w:lineRule="exact"/>
        <w:ind w:firstLine="480"/>
        <w:rPr>
          <w:rStyle w:val="12"/>
          <w:rFonts w:hint="eastAsia" w:ascii="黑体" w:hAnsi="黑体" w:eastAsia="黑体" w:cs="黑体"/>
          <w:b/>
          <w:bCs/>
          <w:sz w:val="24"/>
          <w:szCs w:val="24"/>
          <w:highlight w:val="none"/>
        </w:rPr>
      </w:pPr>
      <w:r>
        <w:rPr>
          <w:rStyle w:val="12"/>
          <w:rFonts w:hint="eastAsia" w:ascii="黑体" w:hAnsi="黑体" w:eastAsia="黑体" w:cs="黑体"/>
          <w:b/>
          <w:bCs/>
          <w:sz w:val="24"/>
          <w:szCs w:val="24"/>
          <w:highlight w:val="none"/>
        </w:rPr>
        <w:t>户    名：</w:t>
      </w:r>
      <w:r>
        <w:rPr>
          <w:rStyle w:val="12"/>
          <w:rFonts w:hint="eastAsia" w:ascii="黑体" w:hAnsi="黑体" w:eastAsia="黑体" w:cs="黑体"/>
          <w:b/>
          <w:bCs/>
          <w:sz w:val="24"/>
          <w:szCs w:val="24"/>
          <w:highlight w:val="none"/>
          <w:lang w:val="en-US" w:eastAsia="zh-CN"/>
        </w:rPr>
        <w:t>湖南省公共资源交易中心工程建设保证户</w:t>
      </w:r>
    </w:p>
    <w:p>
      <w:pPr>
        <w:pStyle w:val="14"/>
        <w:autoSpaceDE w:val="0"/>
        <w:autoSpaceDN w:val="0"/>
        <w:adjustRightInd w:val="0"/>
        <w:spacing w:line="400" w:lineRule="exact"/>
        <w:ind w:firstLine="480"/>
        <w:rPr>
          <w:rStyle w:val="12"/>
          <w:rFonts w:hint="eastAsia" w:ascii="黑体" w:hAnsi="黑体" w:eastAsia="黑体" w:cs="黑体"/>
          <w:b/>
          <w:bCs/>
          <w:sz w:val="24"/>
          <w:szCs w:val="24"/>
          <w:highlight w:val="none"/>
        </w:rPr>
      </w:pPr>
      <w:r>
        <w:rPr>
          <w:rStyle w:val="12"/>
          <w:rFonts w:hint="eastAsia" w:ascii="黑体" w:hAnsi="黑体" w:eastAsia="黑体" w:cs="黑体"/>
          <w:b/>
          <w:bCs/>
          <w:sz w:val="24"/>
          <w:szCs w:val="24"/>
          <w:highlight w:val="none"/>
        </w:rPr>
        <w:t>开户银行：</w:t>
      </w:r>
      <w:r>
        <w:rPr>
          <w:rStyle w:val="12"/>
          <w:rFonts w:hint="eastAsia" w:ascii="黑体" w:hAnsi="黑体" w:eastAsia="黑体" w:cs="黑体"/>
          <w:b/>
          <w:bCs/>
          <w:sz w:val="24"/>
          <w:szCs w:val="24"/>
          <w:highlight w:val="none"/>
          <w:lang w:val="en-US" w:eastAsia="zh-CN"/>
        </w:rPr>
        <w:t>中国农业银行股份有限公司长沙芙蓉区支行</w:t>
      </w:r>
    </w:p>
    <w:p>
      <w:pPr>
        <w:pStyle w:val="14"/>
        <w:autoSpaceDE w:val="0"/>
        <w:autoSpaceDN w:val="0"/>
        <w:adjustRightInd w:val="0"/>
        <w:spacing w:line="400" w:lineRule="exact"/>
        <w:ind w:firstLine="480"/>
        <w:rPr>
          <w:rStyle w:val="12"/>
          <w:rFonts w:hint="eastAsia" w:ascii="黑体" w:hAnsi="黑体" w:eastAsia="黑体" w:cs="黑体"/>
          <w:b/>
          <w:bCs/>
          <w:sz w:val="24"/>
          <w:szCs w:val="24"/>
          <w:highlight w:val="none"/>
          <w:lang w:eastAsia="zh-CN"/>
        </w:rPr>
      </w:pPr>
      <w:r>
        <w:rPr>
          <w:rStyle w:val="12"/>
          <w:rFonts w:hint="eastAsia" w:ascii="黑体" w:hAnsi="黑体" w:eastAsia="黑体" w:cs="黑体"/>
          <w:b/>
          <w:bCs/>
          <w:sz w:val="24"/>
          <w:szCs w:val="24"/>
          <w:highlight w:val="none"/>
        </w:rPr>
        <w:t>账    号：</w:t>
      </w:r>
      <w:r>
        <w:rPr>
          <w:rStyle w:val="12"/>
          <w:rFonts w:hint="eastAsia" w:ascii="黑体" w:hAnsi="黑体" w:eastAsia="黑体" w:cs="黑体"/>
          <w:b/>
          <w:bCs/>
          <w:sz w:val="24"/>
          <w:szCs w:val="24"/>
          <w:highlight w:val="none"/>
          <w:lang w:val="en-US" w:eastAsia="zh-CN"/>
        </w:rPr>
        <w:t xml:space="preserve">180619010400118220010000450 </w:t>
      </w:r>
    </w:p>
    <w:p>
      <w:pPr>
        <w:pStyle w:val="14"/>
        <w:autoSpaceDE w:val="0"/>
        <w:autoSpaceDN w:val="0"/>
        <w:adjustRightInd w:val="0"/>
        <w:spacing w:line="400" w:lineRule="exact"/>
        <w:ind w:firstLine="480"/>
        <w:rPr>
          <w:rStyle w:val="12"/>
          <w:rFonts w:hint="eastAsia" w:ascii="黑体" w:hAnsi="黑体" w:eastAsia="黑体" w:cs="黑体"/>
          <w:b/>
          <w:bCs/>
          <w:sz w:val="24"/>
          <w:szCs w:val="20"/>
        </w:rPr>
      </w:pPr>
      <w:r>
        <w:rPr>
          <w:rStyle w:val="12"/>
          <w:rFonts w:hint="eastAsia" w:ascii="黑体" w:hAnsi="黑体" w:eastAsia="黑体" w:cs="黑体"/>
          <w:b/>
          <w:bCs/>
          <w:sz w:val="24"/>
          <w:szCs w:val="24"/>
        </w:rPr>
        <w:t>（2）采用银行保函时，应由投标人开立基本账户的银行出具（联合体投标的，由牵头人开立基本账户的银行出具）保函，与银行查询授权书原件一并在投标截止时间前交招标人</w:t>
      </w:r>
      <w:r>
        <w:rPr>
          <w:rStyle w:val="12"/>
          <w:rFonts w:hint="eastAsia" w:ascii="黑体" w:hAnsi="黑体" w:eastAsia="黑体" w:cs="黑体"/>
          <w:b/>
          <w:bCs/>
          <w:sz w:val="24"/>
          <w:szCs w:val="20"/>
        </w:rPr>
        <w:t>。</w:t>
      </w:r>
    </w:p>
    <w:p>
      <w:pPr>
        <w:pStyle w:val="14"/>
        <w:keepNext/>
        <w:keepLines/>
        <w:spacing w:before="240" w:after="240" w:line="240" w:lineRule="atLeast"/>
        <w:outlineLvl w:val="0"/>
        <w:rPr>
          <w:rStyle w:val="12"/>
          <w:rFonts w:ascii="Times New Roman" w:hAnsi="Times New Roman" w:eastAsia="黑体" w:cs="Times New Roman"/>
          <w:b/>
          <w:bCs/>
          <w:kern w:val="44"/>
          <w:sz w:val="28"/>
          <w:szCs w:val="28"/>
        </w:rPr>
      </w:pPr>
      <w:bookmarkStart w:id="19" w:name="_Toc517377022"/>
      <w:bookmarkStart w:id="20" w:name="_Toc256000007"/>
      <w:r>
        <w:rPr>
          <w:rStyle w:val="12"/>
          <w:rFonts w:ascii="Times New Roman" w:hAnsi="Times New Roman" w:eastAsia="黑体" w:cs="Times New Roman"/>
          <w:b/>
          <w:bCs/>
          <w:kern w:val="44"/>
          <w:sz w:val="28"/>
          <w:szCs w:val="28"/>
        </w:rPr>
        <w:t>6</w:t>
      </w:r>
      <w:r>
        <w:rPr>
          <w:rStyle w:val="12"/>
          <w:rFonts w:hint="eastAsia" w:ascii="Times New Roman" w:hAnsi="Times New Roman" w:eastAsia="黑体" w:cs="Times New Roman"/>
          <w:b/>
          <w:bCs/>
          <w:kern w:val="44"/>
          <w:sz w:val="28"/>
          <w:szCs w:val="28"/>
        </w:rPr>
        <w:t>．评标办法</w:t>
      </w:r>
      <w:bookmarkEnd w:id="19"/>
      <w:bookmarkEnd w:id="20"/>
    </w:p>
    <w:p>
      <w:pPr>
        <w:pStyle w:val="14"/>
        <w:topLinePunct/>
        <w:spacing w:line="400" w:lineRule="atLeast"/>
        <w:ind w:firstLine="360" w:firstLineChars="150"/>
        <w:rPr>
          <w:rStyle w:val="12"/>
          <w:rFonts w:ascii="Times New Roman" w:hAnsi="Times New Roman" w:eastAsia="黑体" w:cs="Times New Roman"/>
          <w:sz w:val="24"/>
          <w:szCs w:val="20"/>
        </w:rPr>
      </w:pPr>
      <w:r>
        <w:rPr>
          <w:rStyle w:val="12"/>
          <w:rFonts w:hint="eastAsia" w:ascii="Times New Roman" w:hAnsi="Times New Roman" w:eastAsia="黑体" w:cs="Times New Roman"/>
          <w:sz w:val="24"/>
          <w:szCs w:val="20"/>
        </w:rPr>
        <w:t>本项目评标办法采用综合评估法。</w:t>
      </w:r>
    </w:p>
    <w:p>
      <w:pPr>
        <w:pStyle w:val="14"/>
        <w:keepNext/>
        <w:keepLines/>
        <w:spacing w:before="240" w:after="240" w:line="240" w:lineRule="atLeast"/>
        <w:outlineLvl w:val="0"/>
        <w:rPr>
          <w:rStyle w:val="12"/>
          <w:rFonts w:ascii="Times New Roman" w:hAnsi="Times New Roman" w:eastAsia="黑体" w:cs="Times New Roman"/>
          <w:b/>
          <w:bCs/>
          <w:kern w:val="44"/>
          <w:sz w:val="28"/>
          <w:szCs w:val="28"/>
        </w:rPr>
      </w:pPr>
      <w:bookmarkStart w:id="21" w:name="_Toc503235720"/>
      <w:bookmarkStart w:id="22" w:name="_Toc256000008"/>
      <w:bookmarkStart w:id="23" w:name="_Toc510015654"/>
      <w:r>
        <w:rPr>
          <w:rStyle w:val="12"/>
          <w:rFonts w:ascii="Times New Roman" w:hAnsi="Times New Roman" w:eastAsia="黑体" w:cs="Times New Roman"/>
          <w:b/>
          <w:bCs/>
          <w:kern w:val="44"/>
          <w:sz w:val="28"/>
          <w:szCs w:val="28"/>
        </w:rPr>
        <w:t xml:space="preserve">7. </w:t>
      </w:r>
      <w:r>
        <w:rPr>
          <w:rStyle w:val="12"/>
          <w:rFonts w:hint="eastAsia" w:ascii="Times New Roman" w:hAnsi="Times New Roman" w:eastAsia="黑体" w:cs="Times New Roman"/>
          <w:b/>
          <w:bCs/>
          <w:kern w:val="44"/>
          <w:sz w:val="28"/>
          <w:szCs w:val="28"/>
        </w:rPr>
        <w:t>发布公告的媒介</w:t>
      </w:r>
      <w:bookmarkEnd w:id="21"/>
      <w:bookmarkEnd w:id="22"/>
      <w:bookmarkEnd w:id="23"/>
    </w:p>
    <w:p>
      <w:pPr>
        <w:pStyle w:val="14"/>
        <w:topLinePunct/>
        <w:spacing w:line="400" w:lineRule="atLeast"/>
        <w:ind w:firstLine="480" w:firstLineChars="200"/>
        <w:rPr>
          <w:rStyle w:val="12"/>
          <w:rFonts w:ascii="Times New Roman" w:hAnsi="Times New Roman" w:eastAsia="黑体" w:cs="Times New Roman"/>
          <w:sz w:val="24"/>
          <w:szCs w:val="24"/>
        </w:rPr>
      </w:pPr>
      <w:bookmarkStart w:id="24" w:name="_Hlk2752506"/>
      <w:r>
        <w:rPr>
          <w:rStyle w:val="12"/>
          <w:rFonts w:hint="eastAsia" w:ascii="Times New Roman" w:hAnsi="Times New Roman" w:eastAsia="黑体" w:cs="Times New Roman"/>
          <w:sz w:val="24"/>
          <w:szCs w:val="24"/>
        </w:rPr>
        <w:t>本次招标公告同时在湖南省招标投标监管网：http://bidding.fgw.hunan.gov.cn/、 湖南省交通运输厅（http://jtt.hunan.gov.cn/）上发布。</w:t>
      </w:r>
      <w:bookmarkEnd w:id="24"/>
    </w:p>
    <w:p>
      <w:pPr>
        <w:pStyle w:val="14"/>
        <w:keepNext/>
        <w:keepLines/>
        <w:spacing w:before="240" w:after="240" w:line="240" w:lineRule="atLeast"/>
        <w:outlineLvl w:val="0"/>
        <w:rPr>
          <w:rStyle w:val="12"/>
          <w:rFonts w:ascii="Times New Roman" w:hAnsi="Times New Roman" w:eastAsia="黑体" w:cs="Times New Roman"/>
          <w:b/>
          <w:bCs/>
          <w:kern w:val="44"/>
          <w:sz w:val="28"/>
          <w:szCs w:val="28"/>
        </w:rPr>
      </w:pPr>
      <w:bookmarkStart w:id="25" w:name="_Toc256000009"/>
      <w:bookmarkStart w:id="26" w:name="_Toc516774588"/>
      <w:r>
        <w:rPr>
          <w:rStyle w:val="12"/>
          <w:rFonts w:ascii="Times New Roman" w:hAnsi="Times New Roman" w:eastAsia="黑体" w:cs="Times New Roman"/>
          <w:b/>
          <w:bCs/>
          <w:kern w:val="44"/>
          <w:sz w:val="28"/>
          <w:szCs w:val="28"/>
        </w:rPr>
        <w:t xml:space="preserve">8. </w:t>
      </w:r>
      <w:r>
        <w:rPr>
          <w:rStyle w:val="12"/>
          <w:rFonts w:hint="eastAsia" w:ascii="Times New Roman" w:hAnsi="Times New Roman" w:eastAsia="黑体" w:cs="Times New Roman"/>
          <w:b/>
          <w:bCs/>
          <w:kern w:val="44"/>
          <w:sz w:val="28"/>
          <w:szCs w:val="28"/>
        </w:rPr>
        <w:t>附件</w:t>
      </w:r>
      <w:bookmarkEnd w:id="25"/>
      <w:bookmarkEnd w:id="26"/>
    </w:p>
    <w:p>
      <w:pPr>
        <w:pStyle w:val="14"/>
        <w:topLinePunct/>
        <w:spacing w:line="400" w:lineRule="atLeast"/>
        <w:ind w:firstLine="480" w:firstLineChars="200"/>
        <w:rPr>
          <w:rStyle w:val="12"/>
          <w:rFonts w:ascii="Times New Roman" w:hAnsi="Times New Roman" w:eastAsia="黑体" w:cs="Times New Roman"/>
          <w:sz w:val="24"/>
          <w:szCs w:val="24"/>
        </w:rPr>
      </w:pPr>
      <w:r>
        <w:rPr>
          <w:rStyle w:val="12"/>
          <w:rFonts w:hint="eastAsia" w:ascii="Times New Roman" w:hAnsi="Times New Roman" w:eastAsia="黑体" w:cs="Times New Roman"/>
          <w:sz w:val="24"/>
          <w:szCs w:val="24"/>
        </w:rPr>
        <w:t>附件</w:t>
      </w:r>
      <w:r>
        <w:rPr>
          <w:rStyle w:val="12"/>
          <w:rFonts w:ascii="Times New Roman" w:hAnsi="Times New Roman" w:eastAsia="黑体" w:cs="Times New Roman"/>
          <w:sz w:val="24"/>
          <w:szCs w:val="24"/>
        </w:rPr>
        <w:t>1</w:t>
      </w:r>
      <w:r>
        <w:rPr>
          <w:rStyle w:val="12"/>
          <w:rFonts w:hint="eastAsia" w:ascii="Times New Roman" w:hAnsi="Times New Roman" w:eastAsia="黑体" w:cs="Times New Roman"/>
          <w:sz w:val="24"/>
          <w:szCs w:val="24"/>
        </w:rPr>
        <w:t>：资格审查条件要求（详见第二章</w:t>
      </w:r>
      <w:r>
        <w:rPr>
          <w:rStyle w:val="12"/>
          <w:rFonts w:ascii="Times New Roman" w:hAnsi="Times New Roman" w:eastAsia="黑体" w:cs="Times New Roman"/>
          <w:sz w:val="24"/>
          <w:szCs w:val="24"/>
        </w:rPr>
        <w:t xml:space="preserve"> </w:t>
      </w:r>
      <w:r>
        <w:rPr>
          <w:rStyle w:val="12"/>
          <w:rFonts w:hint="eastAsia" w:ascii="Times New Roman" w:hAnsi="Times New Roman" w:eastAsia="黑体" w:cs="Times New Roman"/>
          <w:sz w:val="24"/>
          <w:szCs w:val="24"/>
        </w:rPr>
        <w:t>投标人须知之附录）</w:t>
      </w:r>
    </w:p>
    <w:p>
      <w:pPr>
        <w:pStyle w:val="14"/>
        <w:topLinePunct/>
        <w:spacing w:line="400" w:lineRule="atLeast"/>
        <w:ind w:firstLine="480" w:firstLineChars="200"/>
        <w:rPr>
          <w:rStyle w:val="12"/>
          <w:rFonts w:ascii="Times New Roman" w:hAnsi="Times New Roman" w:eastAsia="黑体" w:cs="Times New Roman"/>
          <w:sz w:val="24"/>
          <w:szCs w:val="24"/>
        </w:rPr>
      </w:pPr>
      <w:r>
        <w:rPr>
          <w:rStyle w:val="12"/>
          <w:rFonts w:hint="eastAsia" w:ascii="Times New Roman" w:hAnsi="Times New Roman" w:eastAsia="黑体" w:cs="Times New Roman"/>
          <w:sz w:val="24"/>
          <w:szCs w:val="24"/>
        </w:rPr>
        <w:t>附件</w:t>
      </w:r>
      <w:r>
        <w:rPr>
          <w:rStyle w:val="12"/>
          <w:rFonts w:ascii="Times New Roman" w:hAnsi="Times New Roman" w:eastAsia="黑体" w:cs="Times New Roman"/>
          <w:sz w:val="24"/>
          <w:szCs w:val="24"/>
        </w:rPr>
        <w:t>2</w:t>
      </w:r>
      <w:r>
        <w:rPr>
          <w:rStyle w:val="12"/>
          <w:rFonts w:hint="eastAsia" w:ascii="Times New Roman" w:hAnsi="Times New Roman" w:eastAsia="黑体" w:cs="Times New Roman"/>
          <w:sz w:val="24"/>
          <w:szCs w:val="24"/>
        </w:rPr>
        <w:t>：评标办法</w:t>
      </w:r>
      <w:r>
        <w:rPr>
          <w:rStyle w:val="12"/>
          <w:rFonts w:ascii="Times New Roman" w:hAnsi="Times New Roman" w:eastAsia="黑体" w:cs="Times New Roman"/>
          <w:sz w:val="24"/>
          <w:szCs w:val="24"/>
        </w:rPr>
        <w:t>(</w:t>
      </w:r>
      <w:r>
        <w:rPr>
          <w:rStyle w:val="12"/>
          <w:rFonts w:hint="eastAsia" w:ascii="Times New Roman" w:hAnsi="Times New Roman" w:eastAsia="黑体" w:cs="Times New Roman"/>
          <w:sz w:val="24"/>
          <w:szCs w:val="24"/>
        </w:rPr>
        <w:t>详见第三章</w:t>
      </w:r>
      <w:r>
        <w:rPr>
          <w:rStyle w:val="12"/>
          <w:rFonts w:ascii="Times New Roman" w:hAnsi="Times New Roman" w:eastAsia="黑体" w:cs="Times New Roman"/>
          <w:sz w:val="24"/>
          <w:szCs w:val="24"/>
        </w:rPr>
        <w:t xml:space="preserve"> </w:t>
      </w:r>
      <w:r>
        <w:rPr>
          <w:rStyle w:val="12"/>
          <w:rFonts w:hint="eastAsia" w:ascii="Times New Roman" w:hAnsi="Times New Roman" w:eastAsia="黑体" w:cs="Times New Roman"/>
          <w:sz w:val="24"/>
          <w:szCs w:val="24"/>
        </w:rPr>
        <w:t>评标办法</w:t>
      </w:r>
      <w:r>
        <w:rPr>
          <w:rStyle w:val="12"/>
          <w:rFonts w:ascii="Times New Roman" w:hAnsi="Times New Roman" w:eastAsia="黑体" w:cs="Times New Roman"/>
          <w:sz w:val="24"/>
          <w:szCs w:val="24"/>
        </w:rPr>
        <w:t>)</w:t>
      </w:r>
    </w:p>
    <w:p>
      <w:pPr>
        <w:pStyle w:val="14"/>
        <w:topLinePunct/>
        <w:spacing w:line="400" w:lineRule="atLeast"/>
        <w:ind w:firstLine="480" w:firstLineChars="200"/>
        <w:rPr>
          <w:rStyle w:val="12"/>
          <w:rFonts w:ascii="Times New Roman" w:hAnsi="Times New Roman" w:eastAsia="黑体" w:cs="Times New Roman"/>
          <w:sz w:val="24"/>
          <w:szCs w:val="24"/>
        </w:rPr>
      </w:pPr>
      <w:r>
        <w:rPr>
          <w:rStyle w:val="12"/>
          <w:rFonts w:hint="eastAsia" w:ascii="Times New Roman" w:hAnsi="Times New Roman" w:eastAsia="黑体" w:cs="Times New Roman"/>
          <w:sz w:val="24"/>
          <w:szCs w:val="24"/>
        </w:rPr>
        <w:t>附件</w:t>
      </w:r>
      <w:r>
        <w:rPr>
          <w:rStyle w:val="12"/>
          <w:rFonts w:ascii="Times New Roman" w:hAnsi="Times New Roman" w:eastAsia="黑体" w:cs="Times New Roman"/>
          <w:sz w:val="24"/>
          <w:szCs w:val="24"/>
        </w:rPr>
        <w:t>3</w:t>
      </w:r>
      <w:r>
        <w:rPr>
          <w:rStyle w:val="12"/>
          <w:rFonts w:hint="eastAsia" w:ascii="Times New Roman" w:hAnsi="Times New Roman" w:eastAsia="黑体" w:cs="Times New Roman"/>
          <w:sz w:val="24"/>
          <w:szCs w:val="24"/>
        </w:rPr>
        <w:t>：项目概况</w:t>
      </w:r>
    </w:p>
    <w:p>
      <w:pPr>
        <w:pStyle w:val="14"/>
        <w:keepNext/>
        <w:keepLines/>
        <w:spacing w:before="240" w:after="240" w:line="240" w:lineRule="atLeast"/>
        <w:outlineLvl w:val="0"/>
        <w:rPr>
          <w:rStyle w:val="12"/>
          <w:rFonts w:ascii="Times New Roman" w:hAnsi="Times New Roman" w:eastAsia="黑体" w:cs="Times New Roman"/>
          <w:b/>
          <w:bCs/>
          <w:kern w:val="44"/>
          <w:sz w:val="28"/>
          <w:szCs w:val="28"/>
        </w:rPr>
      </w:pPr>
      <w:bookmarkStart w:id="27" w:name="_Toc256000010"/>
      <w:bookmarkStart w:id="28" w:name="_Toc503235721"/>
      <w:bookmarkStart w:id="29" w:name="_Toc510015655"/>
      <w:r>
        <w:rPr>
          <w:rStyle w:val="12"/>
          <w:rFonts w:ascii="Times New Roman" w:hAnsi="Times New Roman" w:eastAsia="黑体" w:cs="Times New Roman"/>
          <w:b/>
          <w:bCs/>
          <w:kern w:val="44"/>
          <w:sz w:val="28"/>
          <w:szCs w:val="28"/>
        </w:rPr>
        <w:t xml:space="preserve">9. </w:t>
      </w:r>
      <w:r>
        <w:rPr>
          <w:rStyle w:val="12"/>
          <w:rFonts w:hint="eastAsia" w:ascii="Times New Roman" w:hAnsi="Times New Roman" w:eastAsia="黑体" w:cs="Times New Roman"/>
          <w:b/>
          <w:bCs/>
          <w:kern w:val="44"/>
          <w:sz w:val="28"/>
          <w:szCs w:val="28"/>
        </w:rPr>
        <w:t>联系方式</w:t>
      </w:r>
      <w:bookmarkEnd w:id="27"/>
      <w:bookmarkEnd w:id="28"/>
      <w:bookmarkEnd w:id="29"/>
    </w:p>
    <w:p>
      <w:pPr>
        <w:pStyle w:val="17"/>
        <w:topLinePunct/>
        <w:spacing w:line="400" w:lineRule="atLeast"/>
        <w:ind w:firstLine="480" w:firstLineChars="200"/>
        <w:rPr>
          <w:rStyle w:val="12"/>
          <w:rFonts w:hint="eastAsia" w:ascii="宋体" w:hAnsi="宋体" w:eastAsia="宋体" w:cs="宋体"/>
          <w:color w:val="auto"/>
          <w:sz w:val="24"/>
          <w:szCs w:val="24"/>
          <w:highlight w:val="none"/>
          <w:u w:val="none"/>
        </w:rPr>
      </w:pPr>
      <w:r>
        <w:rPr>
          <w:rStyle w:val="12"/>
          <w:rFonts w:hint="eastAsia" w:ascii="宋体" w:hAnsi="宋体" w:eastAsia="宋体" w:cs="宋体"/>
          <w:color w:val="auto"/>
          <w:sz w:val="24"/>
          <w:szCs w:val="24"/>
          <w:highlight w:val="none"/>
          <w:u w:val="none"/>
        </w:rPr>
        <w:t>招标人：湖南省高速公路集团有限公司</w:t>
      </w:r>
    </w:p>
    <w:p>
      <w:pPr>
        <w:pStyle w:val="17"/>
        <w:topLinePunct/>
        <w:spacing w:line="400" w:lineRule="atLeast"/>
        <w:ind w:firstLine="480" w:firstLineChars="200"/>
        <w:rPr>
          <w:rStyle w:val="12"/>
          <w:rFonts w:hint="eastAsia" w:ascii="宋体" w:hAnsi="宋体" w:eastAsia="宋体" w:cs="宋体"/>
          <w:color w:val="auto"/>
          <w:sz w:val="24"/>
          <w:szCs w:val="24"/>
          <w:highlight w:val="none"/>
          <w:u w:val="none"/>
        </w:rPr>
      </w:pPr>
      <w:r>
        <w:rPr>
          <w:rStyle w:val="12"/>
          <w:rFonts w:hint="eastAsia" w:ascii="宋体" w:hAnsi="宋体" w:eastAsia="宋体" w:cs="宋体"/>
          <w:color w:val="auto"/>
          <w:sz w:val="24"/>
          <w:szCs w:val="24"/>
          <w:highlight w:val="none"/>
          <w:u w:val="none"/>
        </w:rPr>
        <w:t>地址：长沙市开福区三一大道500号</w:t>
      </w:r>
    </w:p>
    <w:p>
      <w:pPr>
        <w:pStyle w:val="17"/>
        <w:topLinePunct/>
        <w:spacing w:line="400" w:lineRule="atLeast"/>
        <w:ind w:firstLine="480" w:firstLineChars="200"/>
        <w:rPr>
          <w:rStyle w:val="12"/>
          <w:rFonts w:hint="eastAsia" w:ascii="宋体" w:hAnsi="宋体" w:eastAsia="宋体" w:cs="宋体"/>
          <w:color w:val="auto"/>
          <w:sz w:val="24"/>
          <w:szCs w:val="24"/>
          <w:highlight w:val="none"/>
          <w:u w:val="none"/>
        </w:rPr>
      </w:pPr>
      <w:r>
        <w:rPr>
          <w:rStyle w:val="12"/>
          <w:rFonts w:hint="eastAsia" w:ascii="宋体" w:hAnsi="宋体" w:eastAsia="宋体" w:cs="宋体"/>
          <w:color w:val="auto"/>
          <w:sz w:val="24"/>
          <w:szCs w:val="24"/>
          <w:highlight w:val="none"/>
          <w:u w:val="none"/>
        </w:rPr>
        <w:t>联系人：谷女士</w:t>
      </w:r>
    </w:p>
    <w:p>
      <w:pPr>
        <w:pStyle w:val="17"/>
        <w:topLinePunct/>
        <w:spacing w:line="400" w:lineRule="atLeast"/>
        <w:ind w:firstLine="480" w:firstLineChars="200"/>
        <w:rPr>
          <w:rStyle w:val="12"/>
          <w:rFonts w:hint="eastAsia" w:ascii="宋体" w:hAnsi="宋体" w:eastAsia="宋体" w:cs="宋体"/>
          <w:color w:val="auto"/>
          <w:sz w:val="24"/>
          <w:szCs w:val="24"/>
          <w:highlight w:val="none"/>
          <w:u w:val="none"/>
        </w:rPr>
      </w:pPr>
      <w:r>
        <w:rPr>
          <w:rStyle w:val="12"/>
          <w:rFonts w:hint="eastAsia" w:ascii="宋体" w:hAnsi="宋体" w:eastAsia="宋体" w:cs="宋体"/>
          <w:color w:val="auto"/>
          <w:sz w:val="24"/>
          <w:szCs w:val="24"/>
          <w:highlight w:val="none"/>
          <w:u w:val="none"/>
        </w:rPr>
        <w:t>电话：0731-89757153</w:t>
      </w:r>
    </w:p>
    <w:p>
      <w:pPr>
        <w:pStyle w:val="17"/>
        <w:topLinePunct/>
        <w:spacing w:line="400" w:lineRule="atLeast"/>
        <w:ind w:firstLine="480" w:firstLineChars="200"/>
        <w:rPr>
          <w:rStyle w:val="12"/>
          <w:rFonts w:hint="eastAsia" w:ascii="宋体" w:hAnsi="宋体" w:eastAsia="宋体" w:cs="宋体"/>
          <w:color w:val="auto"/>
          <w:sz w:val="24"/>
          <w:szCs w:val="24"/>
          <w:highlight w:val="none"/>
          <w:u w:val="none"/>
        </w:rPr>
      </w:pPr>
      <w:r>
        <w:rPr>
          <w:rStyle w:val="12"/>
          <w:rFonts w:hint="eastAsia" w:ascii="宋体" w:hAnsi="宋体" w:eastAsia="宋体" w:cs="宋体"/>
          <w:color w:val="auto"/>
          <w:sz w:val="24"/>
          <w:szCs w:val="24"/>
          <w:highlight w:val="none"/>
          <w:u w:val="none"/>
        </w:rPr>
        <w:t>异议联系人：郑女士</w:t>
      </w:r>
    </w:p>
    <w:p>
      <w:pPr>
        <w:pStyle w:val="17"/>
        <w:topLinePunct/>
        <w:spacing w:line="400" w:lineRule="atLeast"/>
        <w:ind w:firstLine="480" w:firstLineChars="200"/>
        <w:rPr>
          <w:rStyle w:val="12"/>
          <w:rFonts w:hint="eastAsia" w:ascii="宋体" w:hAnsi="宋体" w:eastAsia="宋体" w:cs="宋体"/>
          <w:color w:val="auto"/>
          <w:sz w:val="24"/>
          <w:szCs w:val="24"/>
          <w:highlight w:val="none"/>
          <w:u w:val="none"/>
        </w:rPr>
      </w:pPr>
      <w:r>
        <w:rPr>
          <w:rStyle w:val="12"/>
          <w:rFonts w:hint="eastAsia" w:ascii="宋体" w:hAnsi="宋体" w:eastAsia="宋体" w:cs="宋体"/>
          <w:color w:val="auto"/>
          <w:sz w:val="24"/>
          <w:szCs w:val="24"/>
          <w:highlight w:val="none"/>
          <w:u w:val="none"/>
        </w:rPr>
        <w:t>电话：0731-89757153</w:t>
      </w:r>
    </w:p>
    <w:p>
      <w:pPr>
        <w:pStyle w:val="17"/>
        <w:topLinePunct/>
        <w:spacing w:line="400" w:lineRule="atLeast"/>
        <w:ind w:firstLine="480" w:firstLineChars="200"/>
        <w:rPr>
          <w:rStyle w:val="12"/>
          <w:rFonts w:hint="eastAsia" w:ascii="宋体" w:hAnsi="宋体" w:eastAsia="宋体" w:cs="宋体"/>
          <w:color w:val="auto"/>
          <w:sz w:val="24"/>
          <w:szCs w:val="24"/>
          <w:highlight w:val="none"/>
          <w:u w:val="none"/>
        </w:rPr>
      </w:pPr>
    </w:p>
    <w:p>
      <w:pPr>
        <w:pStyle w:val="17"/>
        <w:topLinePunct/>
        <w:spacing w:line="400" w:lineRule="atLeast"/>
        <w:ind w:firstLine="480" w:firstLineChars="200"/>
        <w:rPr>
          <w:rStyle w:val="12"/>
          <w:rFonts w:hint="eastAsia" w:ascii="宋体" w:hAnsi="宋体" w:eastAsia="宋体" w:cs="宋体"/>
          <w:color w:val="auto"/>
          <w:sz w:val="24"/>
          <w:szCs w:val="24"/>
          <w:highlight w:val="none"/>
          <w:u w:val="none"/>
        </w:rPr>
      </w:pPr>
      <w:r>
        <w:rPr>
          <w:rStyle w:val="12"/>
          <w:rFonts w:hint="eastAsia" w:ascii="宋体" w:hAnsi="宋体" w:eastAsia="宋体" w:cs="宋体"/>
          <w:color w:val="auto"/>
          <w:sz w:val="24"/>
          <w:szCs w:val="24"/>
          <w:highlight w:val="none"/>
          <w:u w:val="none"/>
        </w:rPr>
        <w:t>招标代理机构：湖南高速工程咨询有限公司</w:t>
      </w:r>
    </w:p>
    <w:p>
      <w:pPr>
        <w:pStyle w:val="17"/>
        <w:topLinePunct/>
        <w:spacing w:line="400" w:lineRule="atLeast"/>
        <w:ind w:firstLine="480" w:firstLineChars="200"/>
        <w:rPr>
          <w:rStyle w:val="12"/>
          <w:rFonts w:hint="eastAsia" w:ascii="宋体" w:hAnsi="宋体" w:eastAsia="宋体" w:cs="宋体"/>
          <w:color w:val="auto"/>
          <w:sz w:val="24"/>
          <w:szCs w:val="24"/>
          <w:highlight w:val="none"/>
          <w:u w:val="none"/>
        </w:rPr>
      </w:pPr>
      <w:r>
        <w:rPr>
          <w:rStyle w:val="12"/>
          <w:rFonts w:hint="eastAsia" w:ascii="宋体" w:hAnsi="宋体" w:eastAsia="宋体" w:cs="宋体"/>
          <w:color w:val="auto"/>
          <w:sz w:val="24"/>
          <w:szCs w:val="24"/>
          <w:highlight w:val="none"/>
          <w:u w:val="none"/>
        </w:rPr>
        <w:t>地址：长沙市开福区三一大道500号马兰山公寓综合楼</w:t>
      </w:r>
    </w:p>
    <w:p>
      <w:pPr>
        <w:pStyle w:val="17"/>
        <w:topLinePunct/>
        <w:spacing w:line="400" w:lineRule="atLeast"/>
        <w:ind w:firstLine="480" w:firstLineChars="200"/>
        <w:rPr>
          <w:rStyle w:val="12"/>
          <w:rFonts w:hint="eastAsia" w:ascii="宋体" w:hAnsi="宋体" w:eastAsia="宋体" w:cs="宋体"/>
          <w:color w:val="auto"/>
          <w:sz w:val="24"/>
          <w:szCs w:val="24"/>
          <w:highlight w:val="none"/>
          <w:u w:val="none"/>
          <w:lang w:val="en-US" w:eastAsia="zh-CN"/>
        </w:rPr>
      </w:pPr>
      <w:r>
        <w:rPr>
          <w:rStyle w:val="12"/>
          <w:rFonts w:hint="eastAsia" w:ascii="宋体" w:hAnsi="宋体" w:eastAsia="宋体" w:cs="宋体"/>
          <w:color w:val="auto"/>
          <w:sz w:val="24"/>
          <w:szCs w:val="24"/>
          <w:highlight w:val="none"/>
          <w:u w:val="none"/>
        </w:rPr>
        <w:t>项目负责人：</w:t>
      </w:r>
      <w:r>
        <w:rPr>
          <w:rStyle w:val="12"/>
          <w:rFonts w:hint="eastAsia" w:ascii="宋体" w:hAnsi="宋体" w:cs="宋体"/>
          <w:color w:val="auto"/>
          <w:sz w:val="24"/>
          <w:szCs w:val="24"/>
          <w:highlight w:val="none"/>
          <w:u w:val="none"/>
          <w:lang w:val="en-US" w:eastAsia="zh-CN"/>
        </w:rPr>
        <w:t>车旭东</w:t>
      </w:r>
    </w:p>
    <w:p>
      <w:pPr>
        <w:pStyle w:val="17"/>
        <w:topLinePunct/>
        <w:spacing w:line="400" w:lineRule="atLeast"/>
        <w:ind w:firstLine="480" w:firstLineChars="200"/>
        <w:rPr>
          <w:rStyle w:val="12"/>
          <w:rFonts w:hint="default" w:ascii="宋体" w:hAnsi="宋体" w:eastAsia="宋体" w:cs="宋体"/>
          <w:color w:val="auto"/>
          <w:sz w:val="24"/>
          <w:szCs w:val="24"/>
          <w:highlight w:val="none"/>
          <w:u w:val="none"/>
          <w:lang w:val="en-US" w:eastAsia="zh-CN"/>
        </w:rPr>
      </w:pPr>
      <w:r>
        <w:rPr>
          <w:rStyle w:val="12"/>
          <w:rFonts w:hint="eastAsia" w:ascii="宋体" w:hAnsi="宋体" w:eastAsia="宋体" w:cs="宋体"/>
          <w:color w:val="auto"/>
          <w:sz w:val="24"/>
          <w:szCs w:val="24"/>
          <w:highlight w:val="none"/>
          <w:u w:val="none"/>
        </w:rPr>
        <w:t>联系人：</w:t>
      </w:r>
      <w:r>
        <w:rPr>
          <w:rStyle w:val="12"/>
          <w:rFonts w:hint="eastAsia" w:ascii="宋体" w:hAnsi="宋体" w:cs="宋体"/>
          <w:color w:val="auto"/>
          <w:sz w:val="24"/>
          <w:szCs w:val="24"/>
          <w:highlight w:val="none"/>
          <w:u w:val="none"/>
          <w:lang w:val="en-US" w:eastAsia="zh-CN"/>
        </w:rPr>
        <w:t>车旭东</w:t>
      </w:r>
      <w:r>
        <w:rPr>
          <w:rStyle w:val="12"/>
          <w:rFonts w:hint="eastAsia" w:ascii="宋体" w:hAnsi="宋体" w:eastAsia="宋体" w:cs="宋体"/>
          <w:color w:val="auto"/>
          <w:sz w:val="24"/>
          <w:szCs w:val="24"/>
          <w:highlight w:val="none"/>
          <w:u w:val="none"/>
        </w:rPr>
        <w:t>、</w:t>
      </w:r>
      <w:r>
        <w:rPr>
          <w:rStyle w:val="12"/>
          <w:rFonts w:hint="eastAsia" w:ascii="宋体" w:hAnsi="宋体" w:cs="宋体"/>
          <w:color w:val="auto"/>
          <w:sz w:val="24"/>
          <w:szCs w:val="24"/>
          <w:highlight w:val="none"/>
          <w:u w:val="none"/>
          <w:lang w:val="en-US" w:eastAsia="zh-CN"/>
        </w:rPr>
        <w:t>郭聪</w:t>
      </w:r>
    </w:p>
    <w:p>
      <w:pPr>
        <w:pStyle w:val="20"/>
        <w:topLinePunct/>
        <w:spacing w:line="400" w:lineRule="atLeast"/>
        <w:ind w:firstLine="480" w:firstLineChars="200"/>
        <w:rPr>
          <w:rStyle w:val="12"/>
          <w:rFonts w:hint="default" w:ascii="宋体" w:hAnsi="宋体" w:eastAsia="宋体" w:cs="宋体"/>
          <w:color w:val="auto"/>
          <w:sz w:val="24"/>
          <w:szCs w:val="24"/>
          <w:highlight w:val="none"/>
          <w:u w:val="none"/>
          <w:lang w:val="en-US" w:eastAsia="zh-CN"/>
        </w:rPr>
      </w:pPr>
      <w:r>
        <w:rPr>
          <w:rStyle w:val="12"/>
          <w:rFonts w:hint="eastAsia" w:ascii="宋体" w:hAnsi="宋体" w:eastAsia="宋体" w:cs="宋体"/>
          <w:color w:val="auto"/>
          <w:sz w:val="24"/>
          <w:szCs w:val="24"/>
          <w:highlight w:val="none"/>
          <w:u w:val="none"/>
        </w:rPr>
        <w:t>电话：</w:t>
      </w:r>
      <w:r>
        <w:rPr>
          <w:rStyle w:val="12"/>
          <w:rFonts w:hint="eastAsia" w:ascii="宋体" w:hAnsi="宋体" w:eastAsia="宋体" w:cs="宋体"/>
          <w:sz w:val="24"/>
          <w:szCs w:val="24"/>
          <w:highlight w:val="none"/>
          <w:lang w:val="en-US" w:eastAsia="zh-CN"/>
        </w:rPr>
        <w:t>0731-83285781/0731-85222202</w:t>
      </w:r>
    </w:p>
    <w:p>
      <w:pPr>
        <w:pStyle w:val="21"/>
        <w:topLinePunct/>
        <w:spacing w:line="400" w:lineRule="atLeast"/>
        <w:ind w:firstLine="480" w:firstLineChars="200"/>
        <w:rPr>
          <w:rStyle w:val="12"/>
          <w:rFonts w:hint="eastAsia" w:ascii="宋体" w:hAnsi="宋体" w:eastAsia="宋体" w:cs="宋体"/>
          <w:color w:val="auto"/>
          <w:sz w:val="24"/>
          <w:szCs w:val="24"/>
          <w:highlight w:val="none"/>
          <w:u w:val="none"/>
        </w:rPr>
      </w:pPr>
      <w:r>
        <w:rPr>
          <w:rStyle w:val="12"/>
          <w:rFonts w:hint="eastAsia" w:ascii="宋体" w:hAnsi="宋体" w:eastAsia="宋体" w:cs="宋体"/>
          <w:color w:val="auto"/>
          <w:sz w:val="24"/>
          <w:szCs w:val="24"/>
          <w:highlight w:val="none"/>
          <w:u w:val="none"/>
        </w:rPr>
        <w:t>　　　　　　　 　       　　　</w:t>
      </w:r>
    </w:p>
    <w:p>
      <w:pPr>
        <w:pStyle w:val="17"/>
        <w:topLinePunct/>
        <w:spacing w:line="400" w:lineRule="atLeast"/>
        <w:ind w:firstLine="480" w:firstLineChars="200"/>
        <w:rPr>
          <w:rStyle w:val="12"/>
          <w:rFonts w:hint="eastAsia" w:ascii="宋体" w:hAnsi="宋体" w:eastAsia="宋体" w:cs="宋体"/>
          <w:color w:val="auto"/>
          <w:sz w:val="24"/>
          <w:szCs w:val="24"/>
          <w:highlight w:val="none"/>
          <w:u w:val="none"/>
        </w:rPr>
      </w:pPr>
      <w:r>
        <w:rPr>
          <w:rStyle w:val="12"/>
          <w:rFonts w:hint="eastAsia" w:ascii="宋体" w:hAnsi="宋体" w:eastAsia="宋体" w:cs="宋体"/>
          <w:color w:val="auto"/>
          <w:sz w:val="24"/>
          <w:szCs w:val="24"/>
          <w:highlight w:val="none"/>
          <w:u w:val="none"/>
        </w:rPr>
        <w:t>监督部门：湖南省交通运输厅</w:t>
      </w:r>
    </w:p>
    <w:p>
      <w:pPr>
        <w:pStyle w:val="17"/>
        <w:topLinePunct/>
        <w:spacing w:line="400" w:lineRule="atLeast"/>
        <w:ind w:firstLine="480" w:firstLineChars="200"/>
        <w:rPr>
          <w:rStyle w:val="12"/>
          <w:rFonts w:hint="eastAsia" w:ascii="宋体" w:hAnsi="宋体" w:eastAsia="宋体" w:cs="宋体"/>
          <w:color w:val="auto"/>
          <w:sz w:val="24"/>
          <w:szCs w:val="24"/>
          <w:highlight w:val="none"/>
          <w:u w:val="none"/>
        </w:rPr>
      </w:pPr>
      <w:r>
        <w:rPr>
          <w:rStyle w:val="12"/>
          <w:rFonts w:hint="eastAsia" w:ascii="宋体" w:hAnsi="宋体" w:eastAsia="宋体" w:cs="宋体"/>
          <w:color w:val="auto"/>
          <w:sz w:val="24"/>
          <w:szCs w:val="24"/>
          <w:highlight w:val="none"/>
          <w:u w:val="none"/>
        </w:rPr>
        <w:t>地址：长沙市湘府西路199号</w:t>
      </w:r>
    </w:p>
    <w:p>
      <w:pPr>
        <w:pStyle w:val="17"/>
        <w:topLinePunct/>
        <w:spacing w:line="400" w:lineRule="atLeast"/>
        <w:ind w:firstLine="480" w:firstLineChars="200"/>
        <w:rPr>
          <w:rStyle w:val="12"/>
          <w:rFonts w:hint="eastAsia" w:ascii="宋体" w:hAnsi="宋体" w:eastAsia="宋体" w:cs="宋体"/>
          <w:color w:val="auto"/>
          <w:sz w:val="24"/>
          <w:szCs w:val="24"/>
          <w:highlight w:val="none"/>
          <w:u w:val="none"/>
        </w:rPr>
      </w:pPr>
      <w:r>
        <w:rPr>
          <w:rStyle w:val="12"/>
          <w:rFonts w:hint="eastAsia" w:ascii="宋体" w:hAnsi="宋体" w:eastAsia="宋体" w:cs="宋体"/>
          <w:color w:val="auto"/>
          <w:sz w:val="24"/>
          <w:szCs w:val="24"/>
          <w:highlight w:val="none"/>
          <w:u w:val="none"/>
        </w:rPr>
        <w:t>电话：0731-8877009</w:t>
      </w:r>
      <w:r>
        <w:rPr>
          <w:rStyle w:val="12"/>
          <w:rFonts w:hint="eastAsia" w:ascii="宋体" w:hAnsi="宋体" w:cs="宋体"/>
          <w:color w:val="auto"/>
          <w:sz w:val="24"/>
          <w:szCs w:val="24"/>
          <w:highlight w:val="none"/>
          <w:u w:val="none"/>
          <w:lang w:val="en-US" w:eastAsia="zh-CN"/>
        </w:rPr>
        <w:t>5</w:t>
      </w:r>
      <w:r>
        <w:rPr>
          <w:rStyle w:val="12"/>
          <w:rFonts w:hint="eastAsia" w:ascii="宋体" w:hAnsi="宋体" w:eastAsia="宋体" w:cs="宋体"/>
          <w:color w:val="auto"/>
          <w:sz w:val="24"/>
          <w:szCs w:val="24"/>
          <w:highlight w:val="none"/>
          <w:u w:val="none"/>
        </w:rPr>
        <w:t xml:space="preserve">（基本建设处）  </w:t>
      </w:r>
    </w:p>
    <w:p>
      <w:pPr>
        <w:pStyle w:val="17"/>
        <w:topLinePunct/>
        <w:spacing w:line="400" w:lineRule="atLeast"/>
        <w:ind w:firstLine="480" w:firstLineChars="200"/>
        <w:rPr>
          <w:rStyle w:val="12"/>
          <w:rFonts w:hint="eastAsia" w:ascii="宋体" w:hAnsi="宋体" w:eastAsia="宋体" w:cs="宋体"/>
          <w:color w:val="auto"/>
          <w:sz w:val="24"/>
          <w:szCs w:val="24"/>
          <w:highlight w:val="none"/>
          <w:u w:val="none"/>
        </w:rPr>
      </w:pPr>
      <w:r>
        <w:rPr>
          <w:rStyle w:val="12"/>
          <w:rFonts w:hint="eastAsia" w:ascii="宋体" w:hAnsi="宋体" w:eastAsia="宋体" w:cs="宋体"/>
          <w:color w:val="auto"/>
          <w:sz w:val="24"/>
          <w:szCs w:val="24"/>
          <w:highlight w:val="none"/>
          <w:u w:val="none"/>
        </w:rPr>
        <w:t>传真：0731-88770094（基本建设处）</w:t>
      </w:r>
    </w:p>
    <w:p>
      <w:pPr>
        <w:pStyle w:val="14"/>
        <w:topLinePunct/>
        <w:spacing w:line="400" w:lineRule="atLeast"/>
        <w:ind w:firstLine="480" w:firstLineChars="200"/>
        <w:rPr>
          <w:rStyle w:val="12"/>
          <w:rFonts w:ascii="Times New Roman" w:hAnsi="Times New Roman" w:eastAsia="黑体" w:cs="Times New Roman"/>
          <w:sz w:val="24"/>
          <w:szCs w:val="24"/>
        </w:rPr>
      </w:pPr>
      <w:r>
        <w:rPr>
          <w:rStyle w:val="12"/>
          <w:rFonts w:hint="eastAsia" w:ascii="宋体" w:hAnsi="宋体" w:eastAsia="宋体" w:cs="宋体"/>
          <w:color w:val="auto"/>
          <w:sz w:val="24"/>
          <w:szCs w:val="24"/>
          <w:highlight w:val="none"/>
          <w:u w:val="none"/>
        </w:rPr>
        <w:t>邮编：410004</w:t>
      </w:r>
    </w:p>
    <w:p>
      <w:pPr>
        <w:rPr>
          <w:rStyle w:val="12"/>
          <w:rFonts w:hint="eastAsia" w:ascii="Times New Roman" w:hAnsi="Times New Roman" w:eastAsia="黑体" w:cs="Times New Roman"/>
          <w:b/>
          <w:bCs/>
          <w:sz w:val="24"/>
          <w:szCs w:val="24"/>
        </w:rPr>
      </w:pPr>
      <w:r>
        <w:rPr>
          <w:rStyle w:val="12"/>
          <w:rFonts w:hint="eastAsia" w:ascii="Times New Roman" w:hAnsi="Times New Roman" w:eastAsia="黑体" w:cs="Times New Roman"/>
          <w:b/>
          <w:bCs/>
          <w:sz w:val="24"/>
          <w:szCs w:val="24"/>
        </w:rPr>
        <w:t>附件</w:t>
      </w:r>
      <w:r>
        <w:rPr>
          <w:rStyle w:val="12"/>
          <w:rFonts w:ascii="Times New Roman" w:hAnsi="Times New Roman" w:eastAsia="黑体" w:cs="Times New Roman"/>
          <w:b/>
          <w:bCs/>
          <w:sz w:val="24"/>
          <w:szCs w:val="24"/>
        </w:rPr>
        <w:t>1</w:t>
      </w:r>
      <w:r>
        <w:rPr>
          <w:rStyle w:val="12"/>
          <w:rFonts w:hint="eastAsia" w:ascii="Times New Roman" w:hAnsi="Times New Roman" w:eastAsia="黑体" w:cs="Times New Roman"/>
          <w:b/>
          <w:bCs/>
          <w:sz w:val="24"/>
          <w:szCs w:val="24"/>
        </w:rPr>
        <w:t>：资格审查条件要求</w:t>
      </w:r>
    </w:p>
    <w:p>
      <w:pPr>
        <w:pStyle w:val="2"/>
        <w:rPr>
          <w:rFonts w:hint="eastAsia"/>
          <w:lang w:eastAsia="zh-CN"/>
        </w:rPr>
      </w:pPr>
      <w:bookmarkStart w:id="30" w:name="_Toc510015669"/>
      <w:bookmarkStart w:id="31" w:name="_Toc234832863"/>
      <w:bookmarkStart w:id="32" w:name="_Toc17366007"/>
      <w:r>
        <w:rPr>
          <w:rFonts w:hint="eastAsia"/>
          <w:sz w:val="28"/>
          <w:szCs w:val="28"/>
          <w:highlight w:val="white"/>
        </w:rPr>
        <w:t>附录</w:t>
      </w:r>
      <w:r>
        <w:rPr>
          <w:sz w:val="28"/>
          <w:szCs w:val="28"/>
          <w:highlight w:val="white"/>
        </w:rPr>
        <w:t xml:space="preserve">1  </w:t>
      </w:r>
      <w:r>
        <w:rPr>
          <w:rFonts w:hint="eastAsia"/>
          <w:sz w:val="28"/>
          <w:szCs w:val="28"/>
          <w:highlight w:val="white"/>
        </w:rPr>
        <w:t>资格审查条件</w:t>
      </w:r>
      <w:r>
        <w:rPr>
          <w:rFonts w:hint="eastAsia"/>
          <w:sz w:val="28"/>
          <w:szCs w:val="28"/>
          <w:highlight w:val="white"/>
          <w:lang w:eastAsia="zh-CN"/>
        </w:rPr>
        <w:t>（</w:t>
      </w:r>
      <w:r>
        <w:rPr>
          <w:rFonts w:hint="eastAsia"/>
          <w:sz w:val="28"/>
          <w:szCs w:val="28"/>
          <w:highlight w:val="white"/>
        </w:rPr>
        <w:t>资质最低要求</w:t>
      </w:r>
      <w:r>
        <w:rPr>
          <w:rFonts w:hint="eastAsia"/>
          <w:sz w:val="28"/>
          <w:szCs w:val="28"/>
          <w:highlight w:val="white"/>
          <w:lang w:eastAsia="zh-CN"/>
        </w:rPr>
        <w:t>）</w:t>
      </w:r>
      <w:bookmarkEnd w:id="30"/>
      <w:bookmarkEnd w:id="31"/>
      <w:bookmarkEnd w:id="32"/>
      <w:r>
        <w:rPr>
          <w:rStyle w:val="13"/>
          <w:rFonts w:hint="eastAsia"/>
          <w:sz w:val="28"/>
          <w:szCs w:val="28"/>
          <w:highlight w:val="white"/>
          <w:lang w:eastAsia="zh-CN"/>
        </w:rPr>
        <w:t>1</w:t>
      </w:r>
    </w:p>
    <w:tbl>
      <w:tblPr>
        <w:tblStyle w:val="11"/>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监理企业资质等级要求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both"/>
              <w:rPr>
                <w:rFonts w:ascii="等线" w:hAnsi="等线" w:eastAsia="等线"/>
                <w:kern w:val="2"/>
                <w:sz w:val="21"/>
                <w:szCs w:val="21"/>
                <w:highlight w:val="green"/>
                <w:lang w:val="en-US" w:eastAsia="zh-CN" w:bidi="ar-SA"/>
              </w:rPr>
            </w:pPr>
            <w:bookmarkStart w:id="33" w:name="EB36c7e3bde2fb4dab816fcd2162d3a731"/>
            <w:r>
              <w:rPr>
                <w:rFonts w:hint="eastAsia" w:ascii="等线" w:hAnsi="等线" w:eastAsia="等线"/>
                <w:color w:val="0000FF"/>
                <w:kern w:val="2"/>
                <w:sz w:val="21"/>
                <w:szCs w:val="21"/>
                <w:highlight w:val="white"/>
                <w:lang w:val="en-US" w:eastAsia="zh-CN" w:bidi="ar-SA"/>
              </w:rPr>
              <w:t xml:space="preserve">1、独立法人资格，持有有效的营业执照（或事业单位法人证书, 或社会团体法人登记证书） (投标人为企业的，还应具备组织机构代码证，按照“三证合一”或“五证合一”登记制度进行登记的，可仅提供营业执照副本；投标人为依法允许经营的事业单位的，应具有事业单位法人证书和组织机构代码证，下同)；  </w:t>
            </w:r>
          </w:p>
          <w:p>
            <w:pPr>
              <w:widowControl w:val="0"/>
              <w:adjustRightInd w:val="0"/>
              <w:snapToGrid w:val="0"/>
              <w:spacing w:line="400" w:lineRule="atLeast"/>
              <w:jc w:val="both"/>
              <w:rPr>
                <w:rFonts w:hint="eastAsia" w:ascii="等线" w:hAnsi="等线" w:eastAsia="等线"/>
                <w:color w:val="0000FF"/>
                <w:kern w:val="2"/>
                <w:sz w:val="21"/>
                <w:szCs w:val="21"/>
                <w:highlight w:val="white"/>
                <w:lang w:val="en-US" w:eastAsia="zh-CN" w:bidi="ar-SA"/>
              </w:rPr>
            </w:pPr>
            <w:r>
              <w:rPr>
                <w:rFonts w:hint="eastAsia" w:ascii="等线" w:hAnsi="等线" w:eastAsia="等线"/>
                <w:color w:val="0000FF"/>
                <w:kern w:val="2"/>
                <w:sz w:val="21"/>
                <w:szCs w:val="21"/>
                <w:highlight w:val="white"/>
                <w:lang w:val="en-US" w:eastAsia="zh-CN" w:bidi="ar-SA"/>
              </w:rPr>
              <w:t>2、具有水利部核发的在有效期内的水土保持施工监理甲级资质。</w:t>
            </w:r>
            <w:bookmarkEnd w:id="33"/>
          </w:p>
        </w:tc>
      </w:tr>
    </w:tbl>
    <w:p>
      <w:pPr>
        <w:adjustRightInd w:val="0"/>
        <w:snapToGrid w:val="0"/>
        <w:spacing w:line="300" w:lineRule="exact"/>
        <w:rPr>
          <w:rFonts w:hint="eastAsia" w:eastAsia="隶书"/>
          <w:b/>
          <w:color w:val="000080"/>
          <w:sz w:val="20"/>
          <w:highlight w:val="cyan"/>
        </w:rPr>
      </w:pPr>
      <w:bookmarkStart w:id="34" w:name="EB844d9da55a754f33991ae8ed8f459a04"/>
      <w:r>
        <w:rPr>
          <w:rFonts w:hint="eastAsia" w:eastAsia="隶书"/>
          <w:b/>
          <w:sz w:val="20"/>
          <w:highlight w:val="white"/>
        </w:rPr>
        <w:t xml:space="preserve"> </w:t>
      </w:r>
      <w:bookmarkEnd w:id="34"/>
      <w:bookmarkStart w:id="35" w:name="_Toc510015670"/>
      <w:bookmarkStart w:id="36" w:name="_Toc17366008"/>
      <w:bookmarkStart w:id="37" w:name="_Toc234832865"/>
    </w:p>
    <w:p>
      <w:pPr>
        <w:adjustRightInd w:val="0"/>
        <w:snapToGrid w:val="0"/>
        <w:spacing w:line="300" w:lineRule="exact"/>
        <w:rPr>
          <w:rFonts w:hint="eastAsia"/>
          <w:highlight w:val="yellow"/>
        </w:rPr>
      </w:pPr>
      <w:bookmarkStart w:id="38" w:name="EBeb88fa050b8d4e9b941ed0e2b33f6c04"/>
      <w:r>
        <w:rPr>
          <w:rFonts w:hint="eastAsia"/>
          <w:color w:val="000080"/>
          <w:sz w:val="20"/>
          <w:highlight w:val="white"/>
        </w:rPr>
        <w:t xml:space="preserve"> </w:t>
      </w:r>
      <w:bookmarkEnd w:id="38"/>
      <w:bookmarkStart w:id="39" w:name="EBec42d049e0bc4865aaa6664123b1a8fa"/>
      <w:r>
        <w:rPr>
          <w:rFonts w:hint="eastAsia"/>
          <w:color w:val="000080"/>
          <w:sz w:val="20"/>
          <w:highlight w:val="white"/>
        </w:rPr>
        <w:t xml:space="preserve"> </w:t>
      </w:r>
      <w:bookmarkEnd w:id="39"/>
    </w:p>
    <w:p>
      <w:pPr>
        <w:pStyle w:val="2"/>
        <w:rPr>
          <w:rFonts w:hint="eastAsia"/>
          <w:sz w:val="28"/>
          <w:szCs w:val="28"/>
          <w:lang w:eastAsia="zh-CN"/>
        </w:rPr>
      </w:pPr>
      <w:r>
        <w:rPr>
          <w:rFonts w:hint="eastAsia"/>
          <w:sz w:val="28"/>
          <w:szCs w:val="28"/>
          <w:highlight w:val="white"/>
        </w:rPr>
        <w:t>附录</w:t>
      </w:r>
      <w:r>
        <w:rPr>
          <w:sz w:val="28"/>
          <w:szCs w:val="28"/>
          <w:highlight w:val="white"/>
        </w:rPr>
        <w:t xml:space="preserve">2 </w:t>
      </w:r>
      <w:r>
        <w:rPr>
          <w:sz w:val="28"/>
          <w:szCs w:val="28"/>
          <w:highlight w:val="white"/>
          <w:lang w:eastAsia="zh-CN"/>
        </w:rPr>
        <w:t xml:space="preserve"> </w:t>
      </w:r>
      <w:r>
        <w:rPr>
          <w:rFonts w:hint="eastAsia"/>
          <w:sz w:val="28"/>
          <w:szCs w:val="28"/>
          <w:highlight w:val="white"/>
        </w:rPr>
        <w:t>资格审查条件</w:t>
      </w:r>
      <w:r>
        <w:rPr>
          <w:rFonts w:hint="eastAsia"/>
          <w:sz w:val="28"/>
          <w:szCs w:val="28"/>
          <w:highlight w:val="white"/>
          <w:lang w:eastAsia="zh-CN"/>
        </w:rPr>
        <w:t>（</w:t>
      </w:r>
      <w:r>
        <w:rPr>
          <w:rFonts w:hint="eastAsia"/>
          <w:sz w:val="28"/>
          <w:szCs w:val="28"/>
          <w:highlight w:val="white"/>
        </w:rPr>
        <w:t>业绩最低要求</w:t>
      </w:r>
      <w:r>
        <w:rPr>
          <w:rFonts w:hint="eastAsia"/>
          <w:sz w:val="28"/>
          <w:szCs w:val="28"/>
          <w:highlight w:val="white"/>
          <w:lang w:eastAsia="zh-CN"/>
        </w:rPr>
        <w:t>）</w:t>
      </w:r>
      <w:bookmarkEnd w:id="35"/>
      <w:bookmarkEnd w:id="36"/>
      <w:bookmarkEnd w:id="37"/>
      <w:r>
        <w:rPr>
          <w:rStyle w:val="13"/>
          <w:rFonts w:hint="eastAsia"/>
          <w:sz w:val="28"/>
          <w:szCs w:val="28"/>
          <w:highlight w:val="white"/>
          <w:lang w:eastAsia="zh-CN"/>
        </w:rPr>
        <w:t>1</w:t>
      </w:r>
    </w:p>
    <w:tbl>
      <w:tblPr>
        <w:tblStyle w:val="11"/>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业</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绩</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要</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both"/>
              <w:rPr>
                <w:rFonts w:ascii="等线" w:hAnsi="等线" w:eastAsia="等线"/>
                <w:kern w:val="2"/>
                <w:sz w:val="21"/>
                <w:szCs w:val="21"/>
                <w:highlight w:val="green"/>
                <w:lang w:val="en-US" w:eastAsia="zh-CN" w:bidi="ar-SA"/>
              </w:rPr>
            </w:pPr>
            <w:bookmarkStart w:id="40" w:name="EBb3c107446dad480ea0237d5e6a670a32"/>
            <w:r>
              <w:rPr>
                <w:rFonts w:hint="eastAsia" w:ascii="等线" w:hAnsi="等线" w:eastAsia="等线"/>
                <w:color w:val="0000FF"/>
                <w:kern w:val="2"/>
                <w:sz w:val="21"/>
                <w:szCs w:val="21"/>
                <w:highlight w:val="white"/>
                <w:lang w:val="en-US" w:eastAsia="zh-CN" w:bidi="ar-SA"/>
              </w:rPr>
              <w:t>最近8年（投标文件递交截止之日前一日往前回溯8年）完成过：1个交通运输类[交通运输类项目包括：铁路、公路、水运、航空运输（机场）、城市道路、轨道交通等工程项目，招标文件有关交通运输类项目的表述均按此解释]项目水土保持工程施工监理业绩。</w:t>
            </w:r>
            <w:bookmarkEnd w:id="40"/>
          </w:p>
        </w:tc>
      </w:tr>
    </w:tbl>
    <w:p>
      <w:pPr>
        <w:adjustRightInd w:val="0"/>
        <w:snapToGrid w:val="0"/>
        <w:spacing w:line="300" w:lineRule="exact"/>
        <w:rPr>
          <w:rFonts w:hint="eastAsia" w:eastAsia="隶书"/>
          <w:b/>
          <w:sz w:val="20"/>
        </w:rPr>
      </w:pPr>
      <w:bookmarkStart w:id="41" w:name="EB5a53bce691bd49a1a1ef0faff8c54c7a"/>
      <w:r>
        <w:rPr>
          <w:rFonts w:hint="eastAsia" w:eastAsia="隶书"/>
          <w:b/>
          <w:sz w:val="20"/>
          <w:highlight w:val="white"/>
        </w:rPr>
        <w:t xml:space="preserve"> </w:t>
      </w:r>
      <w:bookmarkEnd w:id="41"/>
      <w:bookmarkStart w:id="42" w:name="_Toc17366009"/>
      <w:bookmarkStart w:id="43" w:name="_Toc234832866"/>
      <w:bookmarkStart w:id="44" w:name="_Toc510015671"/>
    </w:p>
    <w:p>
      <w:pPr>
        <w:adjustRightInd w:val="0"/>
        <w:snapToGrid w:val="0"/>
        <w:spacing w:line="300" w:lineRule="exact"/>
        <w:rPr>
          <w:rFonts w:hint="eastAsia" w:eastAsia="隶书"/>
          <w:b/>
          <w:sz w:val="32"/>
          <w:highlight w:val="yellow"/>
        </w:rPr>
      </w:pPr>
      <w:bookmarkStart w:id="45" w:name="EB198809dcd2c5440f84b9fb3a7719a135"/>
      <w:r>
        <w:rPr>
          <w:rFonts w:hint="eastAsia" w:eastAsia="隶书"/>
          <w:b/>
          <w:color w:val="000080"/>
          <w:sz w:val="20"/>
          <w:highlight w:val="white"/>
        </w:rPr>
        <w:t xml:space="preserve"> </w:t>
      </w:r>
      <w:bookmarkEnd w:id="45"/>
      <w:bookmarkStart w:id="46" w:name="EBb4b95fd14f384e538ef7a53adc259888"/>
      <w:r>
        <w:rPr>
          <w:rFonts w:hint="eastAsia" w:eastAsia="隶书"/>
          <w:b/>
          <w:color w:val="000080"/>
          <w:sz w:val="20"/>
          <w:highlight w:val="white"/>
        </w:rPr>
        <w:t xml:space="preserve"> </w:t>
      </w:r>
      <w:bookmarkEnd w:id="46"/>
    </w:p>
    <w:p>
      <w:pPr>
        <w:pStyle w:val="2"/>
        <w:rPr>
          <w:rFonts w:hint="eastAsia"/>
          <w:sz w:val="28"/>
          <w:szCs w:val="28"/>
          <w:lang w:eastAsia="zh-CN"/>
        </w:rPr>
      </w:pPr>
      <w:r>
        <w:rPr>
          <w:rFonts w:hint="eastAsia"/>
          <w:sz w:val="28"/>
          <w:szCs w:val="28"/>
          <w:highlight w:val="white"/>
        </w:rPr>
        <w:t>附录</w:t>
      </w:r>
      <w:r>
        <w:rPr>
          <w:sz w:val="28"/>
          <w:szCs w:val="28"/>
          <w:highlight w:val="white"/>
        </w:rPr>
        <w:t xml:space="preserve">3  </w:t>
      </w:r>
      <w:r>
        <w:rPr>
          <w:rFonts w:hint="eastAsia"/>
          <w:sz w:val="28"/>
          <w:szCs w:val="28"/>
          <w:highlight w:val="white"/>
        </w:rPr>
        <w:t>资格审查条件</w:t>
      </w:r>
      <w:r>
        <w:rPr>
          <w:rFonts w:hint="eastAsia"/>
          <w:sz w:val="28"/>
          <w:szCs w:val="28"/>
          <w:highlight w:val="white"/>
          <w:lang w:eastAsia="zh-CN"/>
        </w:rPr>
        <w:t>（</w:t>
      </w:r>
      <w:r>
        <w:rPr>
          <w:rFonts w:hint="eastAsia"/>
          <w:sz w:val="28"/>
          <w:szCs w:val="28"/>
          <w:highlight w:val="white"/>
        </w:rPr>
        <w:t>信誉最低要求</w:t>
      </w:r>
      <w:r>
        <w:rPr>
          <w:rFonts w:hint="eastAsia"/>
          <w:sz w:val="28"/>
          <w:szCs w:val="28"/>
          <w:highlight w:val="white"/>
          <w:lang w:eastAsia="zh-CN"/>
        </w:rPr>
        <w:t>）</w:t>
      </w:r>
      <w:bookmarkEnd w:id="42"/>
      <w:bookmarkEnd w:id="43"/>
      <w:bookmarkEnd w:id="44"/>
      <w:r>
        <w:rPr>
          <w:rStyle w:val="13"/>
          <w:rFonts w:hint="eastAsia"/>
          <w:sz w:val="28"/>
          <w:szCs w:val="28"/>
          <w:highlight w:val="white"/>
          <w:lang w:eastAsia="zh-CN"/>
        </w:rPr>
        <w:t>1</w:t>
      </w:r>
    </w:p>
    <w:tbl>
      <w:tblPr>
        <w:tblStyle w:val="11"/>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信</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誉</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要</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both"/>
              <w:rPr>
                <w:rFonts w:ascii="等线" w:hAnsi="等线" w:eastAsia="等线"/>
                <w:kern w:val="2"/>
                <w:sz w:val="21"/>
                <w:szCs w:val="21"/>
                <w:highlight w:val="green"/>
                <w:lang w:val="en-US" w:eastAsia="zh-CN" w:bidi="ar-SA"/>
              </w:rPr>
            </w:pPr>
            <w:bookmarkStart w:id="47" w:name="EBdee0e95b41de4a25b14a402eca2fbfdf"/>
            <w:r>
              <w:rPr>
                <w:rFonts w:hint="eastAsia" w:ascii="等线" w:hAnsi="等线" w:eastAsia="等线"/>
                <w:color w:val="0000FF"/>
                <w:kern w:val="2"/>
                <w:sz w:val="21"/>
                <w:szCs w:val="21"/>
                <w:highlight w:val="white"/>
                <w:lang w:val="en-US" w:eastAsia="zh-CN" w:bidi="ar-SA"/>
              </w:rPr>
              <w:t xml:space="preserve">投标人不得存在投标人须知1.4.4项情形之一及以下情形：  </w:t>
            </w:r>
          </w:p>
          <w:p>
            <w:pPr>
              <w:widowControl w:val="0"/>
              <w:adjustRightInd w:val="0"/>
              <w:snapToGrid w:val="0"/>
              <w:spacing w:line="400" w:lineRule="atLeast"/>
              <w:jc w:val="both"/>
              <w:rPr>
                <w:rFonts w:hint="eastAsia" w:ascii="等线" w:hAnsi="等线" w:eastAsia="等线"/>
                <w:color w:val="0000FF"/>
                <w:kern w:val="2"/>
                <w:sz w:val="21"/>
                <w:szCs w:val="21"/>
                <w:highlight w:val="white"/>
                <w:lang w:val="en-US" w:eastAsia="zh-CN" w:bidi="ar-SA"/>
              </w:rPr>
            </w:pPr>
            <w:r>
              <w:rPr>
                <w:rFonts w:hint="eastAsia" w:ascii="等线" w:hAnsi="等线" w:eastAsia="等线"/>
                <w:color w:val="0000FF"/>
                <w:kern w:val="2"/>
                <w:sz w:val="21"/>
                <w:szCs w:val="21"/>
                <w:highlight w:val="white"/>
                <w:lang w:val="en-US" w:eastAsia="zh-CN" w:bidi="ar-SA"/>
              </w:rPr>
              <w:t xml:space="preserve">1、被列入水利部水利建设市场监管平台黑名单或湖南省水利建设市场主体黑名单并在有效期内。  </w:t>
            </w:r>
          </w:p>
          <w:p>
            <w:pPr>
              <w:widowControl w:val="0"/>
              <w:adjustRightInd w:val="0"/>
              <w:snapToGrid w:val="0"/>
              <w:spacing w:line="400" w:lineRule="atLeast"/>
              <w:jc w:val="both"/>
              <w:rPr>
                <w:rFonts w:hint="eastAsia" w:ascii="等线" w:hAnsi="等线" w:eastAsia="等线"/>
                <w:color w:val="0000FF"/>
                <w:kern w:val="2"/>
                <w:sz w:val="21"/>
                <w:szCs w:val="21"/>
                <w:highlight w:val="white"/>
                <w:lang w:val="en-US" w:eastAsia="zh-CN" w:bidi="ar-SA"/>
              </w:rPr>
            </w:pPr>
            <w:r>
              <w:rPr>
                <w:rFonts w:hint="eastAsia" w:ascii="等线" w:hAnsi="等线" w:eastAsia="等线"/>
                <w:color w:val="0000FF"/>
                <w:kern w:val="2"/>
                <w:sz w:val="21"/>
                <w:szCs w:val="21"/>
                <w:highlight w:val="white"/>
                <w:lang w:val="en-US" w:eastAsia="zh-CN" w:bidi="ar-SA"/>
              </w:rPr>
              <w:t xml:space="preserve">2、受到湖南省人民政府及湖南省直有关部门取消投标资格以上处罚并在有效期内。  </w:t>
            </w:r>
          </w:p>
          <w:p>
            <w:pPr>
              <w:widowControl w:val="0"/>
              <w:adjustRightInd w:val="0"/>
              <w:snapToGrid w:val="0"/>
              <w:spacing w:line="400" w:lineRule="atLeast"/>
              <w:jc w:val="both"/>
              <w:rPr>
                <w:rFonts w:hint="eastAsia" w:ascii="等线" w:hAnsi="等线" w:eastAsia="等线"/>
                <w:color w:val="0000FF"/>
                <w:kern w:val="2"/>
                <w:sz w:val="21"/>
                <w:szCs w:val="21"/>
                <w:highlight w:val="white"/>
                <w:lang w:val="en-US" w:eastAsia="zh-CN" w:bidi="ar-SA"/>
              </w:rPr>
            </w:pPr>
            <w:r>
              <w:rPr>
                <w:rFonts w:hint="eastAsia" w:ascii="等线" w:hAnsi="等线" w:eastAsia="等线"/>
                <w:color w:val="0000FF"/>
                <w:kern w:val="2"/>
                <w:sz w:val="21"/>
                <w:szCs w:val="21"/>
                <w:highlight w:val="white"/>
                <w:lang w:val="en-US" w:eastAsia="zh-CN" w:bidi="ar-SA"/>
              </w:rPr>
              <w:t>3、被人力资源和社会保障行政部门列入拖欠工资“黑名单”并在有效期内。</w:t>
            </w:r>
            <w:bookmarkEnd w:id="47"/>
          </w:p>
        </w:tc>
      </w:tr>
    </w:tbl>
    <w:p>
      <w:pPr>
        <w:adjustRightInd w:val="0"/>
        <w:snapToGrid w:val="0"/>
        <w:spacing w:line="300" w:lineRule="exact"/>
        <w:rPr>
          <w:rFonts w:hint="eastAsia" w:eastAsia="隶书"/>
          <w:sz w:val="20"/>
        </w:rPr>
      </w:pPr>
      <w:bookmarkStart w:id="48" w:name="EBf244905834f240e5a732bb3db4dc9b84"/>
      <w:r>
        <w:rPr>
          <w:rFonts w:hint="eastAsia" w:eastAsia="隶书"/>
          <w:sz w:val="20"/>
          <w:highlight w:val="white"/>
        </w:rPr>
        <w:t xml:space="preserve"> </w:t>
      </w:r>
      <w:bookmarkEnd w:id="48"/>
    </w:p>
    <w:p>
      <w:pPr>
        <w:adjustRightInd w:val="0"/>
        <w:snapToGrid w:val="0"/>
        <w:spacing w:line="300" w:lineRule="exact"/>
        <w:rPr>
          <w:rFonts w:eastAsia="隶书"/>
          <w:sz w:val="32"/>
          <w:highlight w:val="yellow"/>
        </w:rPr>
      </w:pPr>
      <w:bookmarkStart w:id="49" w:name="EB1140b9d0397442109c0413e098f4bf30"/>
      <w:r>
        <w:rPr>
          <w:rFonts w:hint="eastAsia" w:eastAsia="隶书"/>
          <w:color w:val="000080"/>
          <w:sz w:val="20"/>
          <w:highlight w:val="white"/>
        </w:rPr>
        <w:t xml:space="preserve"> </w:t>
      </w:r>
      <w:bookmarkEnd w:id="49"/>
      <w:bookmarkStart w:id="50" w:name="EB9e0a53062fe04d3780b0288710aed3cd"/>
      <w:r>
        <w:rPr>
          <w:rFonts w:hint="eastAsia" w:eastAsia="隶书"/>
          <w:color w:val="000080"/>
          <w:sz w:val="20"/>
          <w:highlight w:val="white"/>
        </w:rPr>
        <w:t xml:space="preserve"> </w:t>
      </w:r>
      <w:bookmarkEnd w:id="50"/>
    </w:p>
    <w:p>
      <w:pPr>
        <w:pStyle w:val="2"/>
        <w:rPr>
          <w:rFonts w:hint="eastAsia"/>
          <w:sz w:val="28"/>
          <w:szCs w:val="28"/>
          <w:lang w:eastAsia="zh-CN"/>
        </w:rPr>
      </w:pPr>
      <w:bookmarkStart w:id="51" w:name="_Toc510015672"/>
      <w:bookmarkStart w:id="52" w:name="_Toc234832867"/>
      <w:bookmarkStart w:id="53" w:name="_Toc17366010"/>
      <w:r>
        <w:rPr>
          <w:rFonts w:hint="eastAsia"/>
          <w:sz w:val="28"/>
          <w:szCs w:val="28"/>
          <w:highlight w:val="white"/>
        </w:rPr>
        <w:t>附录</w:t>
      </w:r>
      <w:r>
        <w:rPr>
          <w:sz w:val="28"/>
          <w:szCs w:val="28"/>
          <w:highlight w:val="white"/>
        </w:rPr>
        <w:t xml:space="preserve">4  </w:t>
      </w:r>
      <w:r>
        <w:rPr>
          <w:rFonts w:hint="eastAsia"/>
          <w:sz w:val="28"/>
          <w:szCs w:val="28"/>
          <w:highlight w:val="white"/>
        </w:rPr>
        <w:t>资格审查条件</w:t>
      </w:r>
      <w:r>
        <w:rPr>
          <w:rFonts w:hint="eastAsia"/>
          <w:sz w:val="28"/>
          <w:szCs w:val="28"/>
          <w:highlight w:val="white"/>
          <w:lang w:eastAsia="zh-CN"/>
        </w:rPr>
        <w:t>（</w:t>
      </w:r>
      <w:r>
        <w:rPr>
          <w:rFonts w:hint="eastAsia"/>
          <w:sz w:val="28"/>
          <w:szCs w:val="28"/>
          <w:highlight w:val="white"/>
        </w:rPr>
        <w:t>总监理工程师或驻地监理工程师最低要求</w:t>
      </w:r>
      <w:r>
        <w:rPr>
          <w:rFonts w:hint="eastAsia"/>
          <w:sz w:val="28"/>
          <w:szCs w:val="28"/>
          <w:highlight w:val="white"/>
          <w:lang w:eastAsia="zh-CN"/>
        </w:rPr>
        <w:t>）</w:t>
      </w:r>
      <w:bookmarkEnd w:id="51"/>
      <w:bookmarkEnd w:id="52"/>
      <w:bookmarkEnd w:id="53"/>
      <w:r>
        <w:rPr>
          <w:rStyle w:val="13"/>
          <w:rFonts w:hint="eastAsia"/>
          <w:sz w:val="28"/>
          <w:szCs w:val="28"/>
          <w:highlight w:val="white"/>
          <w:lang w:eastAsia="zh-CN"/>
        </w:rPr>
        <w:t>1</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476"/>
        <w:gridCol w:w="273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人</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员</w:t>
            </w:r>
          </w:p>
        </w:tc>
        <w:tc>
          <w:tcPr>
            <w:tcW w:w="866"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数</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量</w:t>
            </w:r>
          </w:p>
        </w:tc>
        <w:tc>
          <w:tcPr>
            <w:tcW w:w="1604"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资</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格</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要</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求</w:t>
            </w:r>
          </w:p>
        </w:tc>
        <w:tc>
          <w:tcPr>
            <w:tcW w:w="1603"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auto"/>
              <w:jc w:val="center"/>
              <w:rPr>
                <w:rFonts w:ascii="等线" w:hAnsi="等线" w:eastAsia="等线"/>
                <w:kern w:val="2"/>
                <w:sz w:val="21"/>
                <w:szCs w:val="21"/>
                <w:highlight w:val="green"/>
                <w:lang w:val="en-US" w:eastAsia="zh-CN" w:bidi="ar-SA"/>
              </w:rPr>
            </w:pPr>
            <w:bookmarkStart w:id="54" w:name="EB071e7c74c2ff463793ce5f50019383bc"/>
            <w:r>
              <w:rPr>
                <w:rFonts w:hint="eastAsia" w:ascii="等线" w:hAnsi="等线" w:eastAsia="等线"/>
                <w:color w:val="0000FF"/>
                <w:kern w:val="2"/>
                <w:sz w:val="21"/>
                <w:szCs w:val="21"/>
                <w:highlight w:val="white"/>
                <w:lang w:val="en-US" w:eastAsia="zh-CN" w:bidi="ar-SA"/>
              </w:rPr>
              <w:t>总监理工程师</w:t>
            </w:r>
            <w:bookmarkEnd w:id="54"/>
          </w:p>
        </w:tc>
        <w:tc>
          <w:tcPr>
            <w:tcW w:w="866"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rFonts w:ascii="等线" w:hAnsi="等线" w:eastAsia="等线"/>
                <w:kern w:val="2"/>
                <w:sz w:val="21"/>
                <w:szCs w:val="21"/>
                <w:highlight w:val="green"/>
                <w:lang w:val="en-US" w:eastAsia="zh-CN" w:bidi="ar-SA"/>
              </w:rPr>
            </w:pPr>
            <w:bookmarkStart w:id="55" w:name="EB49e53daa584a4c1a872a588128a8c80e"/>
            <w:r>
              <w:rPr>
                <w:rFonts w:hint="eastAsia" w:ascii="等线" w:hAnsi="等线" w:eastAsia="等线"/>
                <w:color w:val="0000FF"/>
                <w:kern w:val="2"/>
                <w:sz w:val="21"/>
                <w:szCs w:val="21"/>
                <w:highlight w:val="white"/>
                <w:lang w:val="en-US" w:eastAsia="zh-CN" w:bidi="ar-SA"/>
              </w:rPr>
              <w:t>1</w:t>
            </w:r>
            <w:bookmarkEnd w:id="55"/>
          </w:p>
        </w:tc>
        <w:tc>
          <w:tcPr>
            <w:tcW w:w="1604"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both"/>
              <w:rPr>
                <w:rFonts w:ascii="等线" w:hAnsi="等线" w:eastAsia="等线"/>
                <w:kern w:val="2"/>
                <w:sz w:val="21"/>
                <w:szCs w:val="21"/>
                <w:highlight w:val="green"/>
                <w:lang w:val="en-US" w:eastAsia="zh-CN" w:bidi="ar-SA"/>
              </w:rPr>
            </w:pPr>
            <w:bookmarkStart w:id="56" w:name="EBf2d8a358560144d0986b45f4c8ee7032"/>
            <w:r>
              <w:rPr>
                <w:rFonts w:hint="eastAsia" w:ascii="等线" w:hAnsi="等线" w:eastAsia="等线"/>
                <w:color w:val="0000FF"/>
                <w:kern w:val="2"/>
                <w:sz w:val="21"/>
                <w:szCs w:val="21"/>
                <w:highlight w:val="white"/>
                <w:lang w:val="en-US" w:eastAsia="zh-CN" w:bidi="ar-SA"/>
              </w:rPr>
              <w:t xml:space="preserve">（1）具有高级工程师及其以上职称； </w:t>
            </w:r>
          </w:p>
          <w:p>
            <w:pPr>
              <w:widowControl w:val="0"/>
              <w:adjustRightInd w:val="0"/>
              <w:snapToGrid w:val="0"/>
              <w:spacing w:line="300" w:lineRule="auto"/>
              <w:jc w:val="both"/>
              <w:rPr>
                <w:rFonts w:hint="eastAsia" w:ascii="等线" w:hAnsi="等线" w:eastAsia="等线"/>
                <w:color w:val="0000FF"/>
                <w:kern w:val="2"/>
                <w:sz w:val="21"/>
                <w:szCs w:val="21"/>
                <w:highlight w:val="white"/>
                <w:lang w:val="en-US" w:eastAsia="zh-CN" w:bidi="ar-SA"/>
              </w:rPr>
            </w:pPr>
            <w:r>
              <w:rPr>
                <w:rFonts w:hint="eastAsia" w:ascii="等线" w:hAnsi="等线" w:eastAsia="等线"/>
                <w:color w:val="0000FF"/>
                <w:kern w:val="2"/>
                <w:sz w:val="21"/>
                <w:szCs w:val="21"/>
                <w:highlight w:val="white"/>
                <w:lang w:val="en-US" w:eastAsia="zh-CN" w:bidi="ar-SA"/>
              </w:rPr>
              <w:t xml:space="preserve">（2）具有水利部颁发的国家注册监理工程师(水土保持)资格证书，且需在本单位注册满3个月； </w:t>
            </w:r>
          </w:p>
          <w:p>
            <w:pPr>
              <w:widowControl w:val="0"/>
              <w:adjustRightInd w:val="0"/>
              <w:snapToGrid w:val="0"/>
              <w:spacing w:line="300" w:lineRule="auto"/>
              <w:jc w:val="both"/>
              <w:rPr>
                <w:rFonts w:hint="eastAsia" w:ascii="等线" w:hAnsi="等线" w:eastAsia="等线"/>
                <w:color w:val="0000FF"/>
                <w:kern w:val="2"/>
                <w:sz w:val="21"/>
                <w:szCs w:val="21"/>
                <w:highlight w:val="white"/>
                <w:lang w:val="en-US" w:eastAsia="zh-CN" w:bidi="ar-SA"/>
              </w:rPr>
            </w:pPr>
            <w:r>
              <w:rPr>
                <w:rFonts w:hint="eastAsia" w:ascii="等线" w:hAnsi="等线" w:eastAsia="等线"/>
                <w:color w:val="0000FF"/>
                <w:kern w:val="2"/>
                <w:sz w:val="21"/>
                <w:szCs w:val="21"/>
                <w:highlight w:val="white"/>
                <w:lang w:val="en-US" w:eastAsia="zh-CN" w:bidi="ar-SA"/>
              </w:rPr>
              <w:t>（3）近8年（投标文件递交截止之日前一日往前回溯8年）内具有1个水土保持工程施工监理项目驻地监理工程师职务或副驻地监理工程师职务或总监理工程师职务或副总监理工程师职务的施工监理业绩。</w:t>
            </w:r>
          </w:p>
          <w:p>
            <w:pPr>
              <w:widowControl w:val="0"/>
              <w:adjustRightInd w:val="0"/>
              <w:snapToGrid w:val="0"/>
              <w:spacing w:line="300" w:lineRule="auto"/>
              <w:jc w:val="both"/>
              <w:rPr>
                <w:rFonts w:hint="eastAsia" w:ascii="等线" w:hAnsi="等线" w:eastAsia="等线"/>
                <w:color w:val="0000FF"/>
                <w:kern w:val="2"/>
                <w:sz w:val="21"/>
                <w:szCs w:val="21"/>
                <w:highlight w:val="white"/>
                <w:lang w:val="en-US" w:eastAsia="zh-CN" w:bidi="ar-SA"/>
              </w:rPr>
            </w:pPr>
            <w:r>
              <w:rPr>
                <w:rFonts w:hint="eastAsia" w:ascii="等线" w:hAnsi="等线" w:eastAsia="等线"/>
                <w:color w:val="0000FF"/>
                <w:kern w:val="2"/>
                <w:sz w:val="21"/>
                <w:szCs w:val="21"/>
                <w:highlight w:val="white"/>
                <w:lang w:val="en-US" w:eastAsia="zh-CN" w:bidi="ar-SA"/>
              </w:rPr>
              <w:t xml:space="preserve">注：                       </w:t>
            </w:r>
          </w:p>
          <w:p>
            <w:pPr>
              <w:widowControl w:val="0"/>
              <w:adjustRightInd w:val="0"/>
              <w:snapToGrid w:val="0"/>
              <w:spacing w:line="300" w:lineRule="auto"/>
              <w:jc w:val="both"/>
              <w:rPr>
                <w:rFonts w:hint="eastAsia" w:ascii="等线" w:hAnsi="等线" w:eastAsia="等线"/>
                <w:color w:val="0000FF"/>
                <w:kern w:val="2"/>
                <w:sz w:val="21"/>
                <w:szCs w:val="21"/>
                <w:highlight w:val="white"/>
                <w:lang w:val="en-US" w:eastAsia="zh-CN" w:bidi="ar-SA"/>
              </w:rPr>
            </w:pPr>
            <w:r>
              <w:rPr>
                <w:rFonts w:hint="eastAsia" w:ascii="等线" w:hAnsi="等线" w:eastAsia="等线"/>
                <w:color w:val="0000FF"/>
                <w:kern w:val="2"/>
                <w:sz w:val="21"/>
                <w:szCs w:val="21"/>
                <w:highlight w:val="white"/>
                <w:lang w:val="en-US" w:eastAsia="zh-CN" w:bidi="ar-SA"/>
              </w:rPr>
              <w:t xml:space="preserve">1. 投标人应根据招标文件第二章“投标人须知”第 3.5.4 项的要求在“拟委任的总监理工程师资历表”后附相关证明材料。                        </w:t>
            </w:r>
          </w:p>
          <w:p>
            <w:pPr>
              <w:widowControl w:val="0"/>
              <w:adjustRightInd w:val="0"/>
              <w:snapToGrid w:val="0"/>
              <w:spacing w:line="300" w:lineRule="auto"/>
              <w:jc w:val="both"/>
              <w:rPr>
                <w:rFonts w:hint="eastAsia" w:ascii="等线" w:hAnsi="等线" w:eastAsia="等线"/>
                <w:color w:val="0000FF"/>
                <w:kern w:val="2"/>
                <w:sz w:val="21"/>
                <w:szCs w:val="21"/>
                <w:highlight w:val="white"/>
                <w:lang w:val="en-US" w:eastAsia="zh-CN" w:bidi="ar-SA"/>
              </w:rPr>
            </w:pPr>
            <w:r>
              <w:rPr>
                <w:rFonts w:hint="eastAsia" w:ascii="等线" w:hAnsi="等线" w:eastAsia="等线"/>
                <w:color w:val="0000FF"/>
                <w:kern w:val="2"/>
                <w:sz w:val="21"/>
                <w:szCs w:val="21"/>
                <w:highlight w:val="white"/>
                <w:lang w:val="en-US" w:eastAsia="zh-CN" w:bidi="ar-SA"/>
              </w:rPr>
              <w:t xml:space="preserve">2.以上人员不得处于暂停执业处罚期内，且未被取消资格。                        </w:t>
            </w:r>
          </w:p>
          <w:p>
            <w:pPr>
              <w:widowControl w:val="0"/>
              <w:adjustRightInd w:val="0"/>
              <w:snapToGrid w:val="0"/>
              <w:spacing w:line="300" w:lineRule="auto"/>
              <w:jc w:val="both"/>
              <w:rPr>
                <w:rFonts w:hint="eastAsia" w:ascii="等线" w:hAnsi="等线" w:eastAsia="等线"/>
                <w:color w:val="0000FF"/>
                <w:kern w:val="2"/>
                <w:sz w:val="21"/>
                <w:szCs w:val="21"/>
                <w:highlight w:val="white"/>
                <w:lang w:val="en-US" w:eastAsia="zh-CN" w:bidi="ar-SA"/>
              </w:rPr>
            </w:pPr>
            <w:r>
              <w:rPr>
                <w:rFonts w:hint="eastAsia" w:ascii="等线" w:hAnsi="等线" w:eastAsia="等线"/>
                <w:color w:val="0000FF"/>
                <w:kern w:val="2"/>
                <w:sz w:val="21"/>
                <w:szCs w:val="21"/>
                <w:highlight w:val="white"/>
                <w:lang w:val="en-US" w:eastAsia="zh-CN" w:bidi="ar-SA"/>
              </w:rPr>
              <w:t>3.未在投标文件中填报的人员不作为评审依据。</w:t>
            </w:r>
          </w:p>
          <w:p>
            <w:pPr>
              <w:widowControl w:val="0"/>
              <w:adjustRightInd w:val="0"/>
              <w:snapToGrid w:val="0"/>
              <w:spacing w:line="300" w:lineRule="auto"/>
              <w:jc w:val="both"/>
              <w:rPr>
                <w:rFonts w:hint="eastAsia" w:ascii="等线" w:hAnsi="等线" w:eastAsia="等线"/>
                <w:color w:val="0000FF"/>
                <w:kern w:val="2"/>
                <w:sz w:val="21"/>
                <w:szCs w:val="21"/>
                <w:highlight w:val="white"/>
                <w:lang w:val="en-US" w:eastAsia="zh-CN" w:bidi="ar-SA"/>
              </w:rPr>
            </w:pPr>
            <w:r>
              <w:rPr>
                <w:rFonts w:hint="eastAsia" w:ascii="等线" w:hAnsi="等线" w:eastAsia="等线"/>
                <w:color w:val="0000FF"/>
                <w:kern w:val="2"/>
                <w:sz w:val="21"/>
                <w:szCs w:val="21"/>
                <w:highlight w:val="white"/>
                <w:lang w:val="en-US" w:eastAsia="zh-CN" w:bidi="ar-SA"/>
              </w:rPr>
              <w:t>4、业绩计算以验收文件或项目委托人出具的证明材料所载明的时间为准。</w:t>
            </w:r>
            <w:bookmarkEnd w:id="56"/>
          </w:p>
        </w:tc>
        <w:tc>
          <w:tcPr>
            <w:tcW w:w="1603" w:type="pct"/>
            <w:vMerge w:val="restart"/>
            <w:tcBorders>
              <w:top w:val="single" w:color="auto" w:sz="4" w:space="0"/>
              <w:left w:val="single" w:color="auto" w:sz="4" w:space="0"/>
              <w:right w:val="single" w:color="auto" w:sz="4" w:space="0"/>
            </w:tcBorders>
            <w:noWrap w:val="0"/>
            <w:vAlign w:val="center"/>
          </w:tcPr>
          <w:p>
            <w:pPr>
              <w:widowControl w:val="0"/>
              <w:adjustRightInd w:val="0"/>
              <w:snapToGrid w:val="0"/>
              <w:spacing w:line="300" w:lineRule="auto"/>
              <w:jc w:val="both"/>
              <w:rPr>
                <w:rFonts w:ascii="等线" w:hAnsi="等线" w:eastAsia="等线"/>
                <w:kern w:val="2"/>
                <w:sz w:val="21"/>
                <w:szCs w:val="21"/>
                <w:highlight w:val="green"/>
                <w:lang w:val="en-US" w:eastAsia="zh-CN" w:bidi="ar-SA"/>
              </w:rPr>
            </w:pPr>
            <w:bookmarkStart w:id="57" w:name="EB0fd7b5fca12947cdb42e4bf7b97d7966"/>
            <w:r>
              <w:rPr>
                <w:rFonts w:hint="eastAsia" w:ascii="等线" w:hAnsi="等线" w:eastAsia="等线"/>
                <w:color w:val="0000FF"/>
                <w:kern w:val="2"/>
                <w:sz w:val="21"/>
                <w:szCs w:val="21"/>
                <w:highlight w:val="white"/>
                <w:lang w:val="en-US" w:eastAsia="zh-CN" w:bidi="ar-SA"/>
              </w:rPr>
              <w:t>无在岗项目（指目前未在其他项目上任职，或虽在其他项目上任职但本项目中标后能够从该项目撤离），并满足湖南省交通运输厅《关于进一步加强湖南省公路水运建设项目履约人员管理有关事项的通知》（湘交基建规[2019]17号）的要求，否则按废标处理。</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auto"/>
              <w:jc w:val="center"/>
              <w:rPr>
                <w:rFonts w:ascii="等线" w:hAnsi="等线" w:eastAsia="等线"/>
                <w:kern w:val="2"/>
                <w:sz w:val="21"/>
                <w:szCs w:val="21"/>
                <w:highlight w:val="green"/>
                <w:lang w:val="en-US" w:eastAsia="zh-CN" w:bidi="ar-SA"/>
              </w:rPr>
            </w:pPr>
            <w:bookmarkStart w:id="58" w:name="EBb9448a8fe3314f2887decec9e54b0e7e"/>
            <w:r>
              <w:rPr>
                <w:rFonts w:hint="eastAsia" w:ascii="等线" w:hAnsi="等线" w:eastAsia="等线"/>
                <w:color w:val="0000FF"/>
                <w:kern w:val="2"/>
                <w:sz w:val="21"/>
                <w:szCs w:val="21"/>
                <w:highlight w:val="white"/>
                <w:lang w:val="en-US" w:eastAsia="zh-CN" w:bidi="ar-SA"/>
              </w:rPr>
              <w:t>/</w:t>
            </w:r>
            <w:bookmarkEnd w:id="58"/>
          </w:p>
        </w:tc>
        <w:tc>
          <w:tcPr>
            <w:tcW w:w="866"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rFonts w:ascii="等线" w:hAnsi="等线" w:eastAsia="等线"/>
                <w:kern w:val="2"/>
                <w:sz w:val="21"/>
                <w:szCs w:val="21"/>
                <w:highlight w:val="green"/>
                <w:lang w:val="en-US" w:eastAsia="zh-CN" w:bidi="ar-SA"/>
              </w:rPr>
            </w:pPr>
            <w:bookmarkStart w:id="59" w:name="EBeda2476dfa0f4ef38f3157c3b452c70c"/>
            <w:r>
              <w:rPr>
                <w:rFonts w:hint="eastAsia" w:ascii="等线" w:hAnsi="等线" w:eastAsia="等线"/>
                <w:color w:val="0000FF"/>
                <w:kern w:val="2"/>
                <w:sz w:val="21"/>
                <w:szCs w:val="21"/>
                <w:highlight w:val="white"/>
                <w:lang w:val="en-US" w:eastAsia="zh-CN" w:bidi="ar-SA"/>
              </w:rPr>
              <w:t>/</w:t>
            </w:r>
            <w:bookmarkEnd w:id="59"/>
          </w:p>
        </w:tc>
        <w:tc>
          <w:tcPr>
            <w:tcW w:w="1604"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both"/>
              <w:rPr>
                <w:rFonts w:ascii="等线" w:hAnsi="等线" w:eastAsia="等线"/>
                <w:kern w:val="2"/>
                <w:sz w:val="21"/>
                <w:szCs w:val="21"/>
                <w:highlight w:val="green"/>
                <w:lang w:val="en-US" w:eastAsia="zh-CN" w:bidi="ar-SA"/>
              </w:rPr>
            </w:pPr>
            <w:bookmarkStart w:id="60" w:name="EBcb3e8df6bdbe42e59e0c2c380a656bcf"/>
            <w:r>
              <w:rPr>
                <w:rFonts w:hint="eastAsia" w:ascii="等线" w:hAnsi="等线" w:eastAsia="等线"/>
                <w:color w:val="0000FF"/>
                <w:kern w:val="2"/>
                <w:sz w:val="21"/>
                <w:szCs w:val="21"/>
                <w:highlight w:val="white"/>
                <w:lang w:val="en-US" w:eastAsia="zh-CN" w:bidi="ar-SA"/>
              </w:rPr>
              <w:t>/</w:t>
            </w:r>
            <w:bookmarkEnd w:id="60"/>
          </w:p>
        </w:tc>
        <w:tc>
          <w:tcPr>
            <w:tcW w:w="0" w:type="auto"/>
            <w:vMerge w:val="continue"/>
            <w:tcBorders>
              <w:left w:val="single" w:color="auto" w:sz="4" w:space="0"/>
              <w:right w:val="single" w:color="auto" w:sz="4" w:space="0"/>
            </w:tcBorders>
            <w:noWrap w:val="0"/>
            <w:vAlign w:val="center"/>
          </w:tcPr>
          <w:p>
            <w:pPr>
              <w:widowControl/>
              <w:jc w:val="left"/>
              <w:rPr>
                <w:rFonts w:ascii="等线" w:hAnsi="等线" w:eastAsia="等线"/>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auto"/>
              <w:jc w:val="center"/>
              <w:rPr>
                <w:rFonts w:ascii="等线" w:hAnsi="等线" w:eastAsia="等线"/>
                <w:kern w:val="2"/>
                <w:sz w:val="21"/>
                <w:szCs w:val="21"/>
                <w:highlight w:val="green"/>
                <w:lang w:val="en-US" w:eastAsia="zh-CN" w:bidi="ar-SA"/>
              </w:rPr>
            </w:pPr>
            <w:bookmarkStart w:id="61" w:name="EBa580ae64b03c421c8d04882a5989ea2d"/>
            <w:bookmarkEnd w:id="61"/>
          </w:p>
        </w:tc>
        <w:tc>
          <w:tcPr>
            <w:tcW w:w="866"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rFonts w:ascii="等线" w:hAnsi="等线" w:eastAsia="等线"/>
                <w:kern w:val="2"/>
                <w:sz w:val="21"/>
                <w:szCs w:val="21"/>
                <w:highlight w:val="green"/>
                <w:lang w:val="en-US" w:eastAsia="zh-CN" w:bidi="ar-SA"/>
              </w:rPr>
            </w:pPr>
            <w:bookmarkStart w:id="62" w:name="EBb93b8404a44d4aacb9659e6fa573238c"/>
            <w:bookmarkEnd w:id="62"/>
          </w:p>
        </w:tc>
        <w:tc>
          <w:tcPr>
            <w:tcW w:w="1604"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both"/>
              <w:rPr>
                <w:rFonts w:ascii="等线" w:hAnsi="等线" w:eastAsia="等线"/>
                <w:kern w:val="2"/>
                <w:sz w:val="21"/>
                <w:szCs w:val="21"/>
                <w:highlight w:val="green"/>
                <w:lang w:val="en-US" w:eastAsia="zh-CN" w:bidi="ar-SA"/>
              </w:rPr>
            </w:pPr>
            <w:bookmarkStart w:id="63" w:name="EBe32a6e3bd7664d61b59c74ab4204d45f"/>
            <w:bookmarkEnd w:id="63"/>
          </w:p>
        </w:tc>
        <w:tc>
          <w:tcPr>
            <w:tcW w:w="0" w:type="auto"/>
            <w:vMerge w:val="continue"/>
            <w:tcBorders>
              <w:left w:val="single" w:color="auto" w:sz="4" w:space="0"/>
              <w:right w:val="single" w:color="auto" w:sz="4" w:space="0"/>
            </w:tcBorders>
            <w:noWrap w:val="0"/>
            <w:vAlign w:val="center"/>
          </w:tcPr>
          <w:p>
            <w:pPr>
              <w:widowControl/>
              <w:jc w:val="left"/>
              <w:rPr>
                <w:rFonts w:ascii="等线" w:hAnsi="等线" w:eastAsia="等线"/>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auto"/>
              <w:jc w:val="center"/>
              <w:rPr>
                <w:rFonts w:ascii="等线" w:hAnsi="等线" w:eastAsia="等线"/>
                <w:kern w:val="2"/>
                <w:sz w:val="21"/>
                <w:szCs w:val="21"/>
                <w:highlight w:val="green"/>
                <w:lang w:val="en-US" w:eastAsia="zh-CN" w:bidi="ar-SA"/>
              </w:rPr>
            </w:pPr>
            <w:bookmarkStart w:id="64" w:name="EB3136d042a8844c01b9e78c24d05d6913"/>
            <w:bookmarkEnd w:id="64"/>
          </w:p>
        </w:tc>
        <w:tc>
          <w:tcPr>
            <w:tcW w:w="866"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rFonts w:ascii="等线" w:hAnsi="等线" w:eastAsia="等线"/>
                <w:kern w:val="2"/>
                <w:sz w:val="21"/>
                <w:szCs w:val="21"/>
                <w:highlight w:val="green"/>
                <w:lang w:val="en-US" w:eastAsia="zh-CN" w:bidi="ar-SA"/>
              </w:rPr>
            </w:pPr>
            <w:bookmarkStart w:id="65" w:name="EBbf1de9d17dc34c4a8181302762bd1fed"/>
            <w:bookmarkEnd w:id="65"/>
          </w:p>
        </w:tc>
        <w:tc>
          <w:tcPr>
            <w:tcW w:w="1604"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both"/>
              <w:rPr>
                <w:rFonts w:ascii="等线" w:hAnsi="等线" w:eastAsia="等线"/>
                <w:kern w:val="2"/>
                <w:sz w:val="21"/>
                <w:szCs w:val="21"/>
                <w:highlight w:val="green"/>
                <w:lang w:val="en-US" w:eastAsia="zh-CN" w:bidi="ar-SA"/>
              </w:rPr>
            </w:pPr>
            <w:bookmarkStart w:id="66" w:name="EBc7e4acdb5fe64debbdcb7793dd49e911"/>
            <w:bookmarkEnd w:id="66"/>
          </w:p>
        </w:tc>
        <w:tc>
          <w:tcPr>
            <w:tcW w:w="0" w:type="auto"/>
            <w:vMerge w:val="continue"/>
            <w:tcBorders>
              <w:left w:val="single" w:color="auto" w:sz="4" w:space="0"/>
              <w:right w:val="single" w:color="auto" w:sz="4" w:space="0"/>
            </w:tcBorders>
            <w:noWrap w:val="0"/>
            <w:vAlign w:val="center"/>
          </w:tcPr>
          <w:p>
            <w:pPr>
              <w:widowControl/>
              <w:jc w:val="left"/>
              <w:rPr>
                <w:rFonts w:ascii="等线" w:hAnsi="等线" w:eastAsia="等线"/>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auto"/>
              <w:jc w:val="center"/>
              <w:rPr>
                <w:rFonts w:ascii="等线" w:hAnsi="等线" w:eastAsia="等线"/>
                <w:kern w:val="2"/>
                <w:sz w:val="21"/>
                <w:szCs w:val="21"/>
                <w:highlight w:val="green"/>
                <w:lang w:val="en-US" w:eastAsia="zh-CN" w:bidi="ar-SA"/>
              </w:rPr>
            </w:pPr>
            <w:bookmarkStart w:id="67" w:name="EB47afd59d245b46409dd91ce2c014104c"/>
            <w:bookmarkEnd w:id="67"/>
          </w:p>
        </w:tc>
        <w:tc>
          <w:tcPr>
            <w:tcW w:w="866"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rFonts w:ascii="等线" w:hAnsi="等线" w:eastAsia="等线"/>
                <w:kern w:val="2"/>
                <w:sz w:val="21"/>
                <w:szCs w:val="21"/>
                <w:highlight w:val="green"/>
                <w:lang w:val="en-US" w:eastAsia="zh-CN" w:bidi="ar-SA"/>
              </w:rPr>
            </w:pPr>
            <w:bookmarkStart w:id="68" w:name="EB4217148374794b468c4eb8ddd2ea0e00"/>
            <w:bookmarkEnd w:id="68"/>
          </w:p>
        </w:tc>
        <w:tc>
          <w:tcPr>
            <w:tcW w:w="1604"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both"/>
              <w:rPr>
                <w:rFonts w:ascii="等线" w:hAnsi="等线" w:eastAsia="等线"/>
                <w:kern w:val="2"/>
                <w:sz w:val="21"/>
                <w:szCs w:val="21"/>
                <w:highlight w:val="green"/>
                <w:lang w:val="en-US" w:eastAsia="zh-CN" w:bidi="ar-SA"/>
              </w:rPr>
            </w:pPr>
            <w:bookmarkStart w:id="69" w:name="EB0e67d7c93e8c47d6aeb7ac232fb7caff"/>
            <w:bookmarkEnd w:id="69"/>
          </w:p>
        </w:tc>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ascii="等线" w:hAnsi="等线" w:eastAsia="等线"/>
                <w:kern w:val="2"/>
                <w:sz w:val="21"/>
                <w:szCs w:val="21"/>
                <w:lang w:val="en-US" w:eastAsia="zh-CN" w:bidi="ar-SA"/>
              </w:rPr>
            </w:pPr>
          </w:p>
        </w:tc>
      </w:tr>
    </w:tbl>
    <w:p>
      <w:pPr>
        <w:adjustRightInd w:val="0"/>
        <w:snapToGrid w:val="0"/>
        <w:spacing w:line="300" w:lineRule="auto"/>
        <w:ind w:right="-512" w:rightChars="-244"/>
        <w:rPr>
          <w:rFonts w:hint="eastAsia"/>
          <w:b/>
          <w:iCs/>
          <w:color w:val="000080"/>
          <w:sz w:val="20"/>
          <w:szCs w:val="21"/>
          <w:highlight w:val="cyan"/>
        </w:rPr>
      </w:pPr>
      <w:bookmarkStart w:id="70" w:name="EBbfd2f3e148c54c7ca01bbc826ad63175"/>
      <w:r>
        <w:rPr>
          <w:rFonts w:hint="eastAsia"/>
          <w:b/>
          <w:iCs/>
          <w:color w:val="000080"/>
          <w:sz w:val="20"/>
          <w:szCs w:val="21"/>
          <w:highlight w:val="white"/>
        </w:rPr>
        <w:t xml:space="preserve"> </w:t>
      </w:r>
      <w:bookmarkEnd w:id="70"/>
    </w:p>
    <w:p>
      <w:pPr>
        <w:adjustRightInd w:val="0"/>
        <w:snapToGrid w:val="0"/>
        <w:spacing w:line="300" w:lineRule="auto"/>
        <w:ind w:right="-512" w:rightChars="-244"/>
        <w:rPr>
          <w:b/>
          <w:iCs/>
          <w:szCs w:val="21"/>
          <w:highlight w:val="yellow"/>
        </w:rPr>
      </w:pPr>
      <w:bookmarkStart w:id="71" w:name="EBef82dfe3429c48c2bb7e44b75f335d0d"/>
      <w:r>
        <w:rPr>
          <w:rFonts w:hint="eastAsia"/>
          <w:b/>
          <w:iCs/>
          <w:color w:val="000080"/>
          <w:sz w:val="20"/>
          <w:szCs w:val="21"/>
          <w:highlight w:val="white"/>
        </w:rPr>
        <w:t xml:space="preserve"> </w:t>
      </w:r>
      <w:bookmarkEnd w:id="71"/>
      <w:bookmarkStart w:id="72" w:name="EB626f14338a274dc0acb0344416e457cb"/>
      <w:r>
        <w:rPr>
          <w:rFonts w:hint="eastAsia"/>
          <w:b/>
          <w:iCs/>
          <w:color w:val="000080"/>
          <w:sz w:val="20"/>
          <w:szCs w:val="21"/>
          <w:highlight w:val="white"/>
        </w:rPr>
        <w:t xml:space="preserve"> </w:t>
      </w:r>
      <w:bookmarkEnd w:id="72"/>
    </w:p>
    <w:p>
      <w:pPr>
        <w:pStyle w:val="2"/>
        <w:rPr>
          <w:sz w:val="28"/>
          <w:szCs w:val="28"/>
        </w:rPr>
      </w:pPr>
      <w:bookmarkStart w:id="73" w:name="_Toc510015673"/>
      <w:bookmarkStart w:id="74" w:name="_Toc234832868"/>
      <w:bookmarkStart w:id="75" w:name="_Toc17366011"/>
      <w:r>
        <w:rPr>
          <w:rFonts w:hint="eastAsia"/>
          <w:sz w:val="28"/>
          <w:szCs w:val="28"/>
          <w:highlight w:val="white"/>
        </w:rPr>
        <w:t>附录</w:t>
      </w:r>
      <w:r>
        <w:rPr>
          <w:sz w:val="28"/>
          <w:szCs w:val="28"/>
          <w:highlight w:val="white"/>
        </w:rPr>
        <w:t xml:space="preserve">5  </w:t>
      </w:r>
      <w:r>
        <w:rPr>
          <w:rFonts w:hint="eastAsia"/>
          <w:sz w:val="28"/>
          <w:szCs w:val="28"/>
          <w:highlight w:val="white"/>
        </w:rPr>
        <w:t>资格审查条件</w:t>
      </w:r>
      <w:r>
        <w:rPr>
          <w:rFonts w:hint="eastAsia"/>
          <w:sz w:val="28"/>
          <w:szCs w:val="28"/>
          <w:highlight w:val="white"/>
          <w:lang w:eastAsia="zh-CN"/>
        </w:rPr>
        <w:t>（</w:t>
      </w:r>
      <w:r>
        <w:rPr>
          <w:rFonts w:hint="eastAsia"/>
          <w:sz w:val="28"/>
          <w:szCs w:val="28"/>
          <w:highlight w:val="white"/>
        </w:rPr>
        <w:t>其他</w:t>
      </w:r>
      <w:r>
        <w:rPr>
          <w:rFonts w:hint="eastAsia"/>
          <w:sz w:val="28"/>
          <w:szCs w:val="28"/>
          <w:highlight w:val="white"/>
          <w:lang w:eastAsia="zh-CN"/>
        </w:rPr>
        <w:t>主要</w:t>
      </w:r>
      <w:r>
        <w:rPr>
          <w:rFonts w:hint="eastAsia"/>
          <w:sz w:val="28"/>
          <w:szCs w:val="28"/>
          <w:highlight w:val="white"/>
        </w:rPr>
        <w:t>监理人员最低要求</w:t>
      </w:r>
      <w:r>
        <w:rPr>
          <w:rFonts w:hint="eastAsia"/>
          <w:sz w:val="28"/>
          <w:szCs w:val="28"/>
          <w:highlight w:val="white"/>
          <w:lang w:eastAsia="zh-CN"/>
        </w:rPr>
        <w:t>）</w:t>
      </w:r>
      <w:bookmarkEnd w:id="73"/>
      <w:bookmarkEnd w:id="74"/>
      <w:bookmarkEnd w:id="75"/>
      <w:r>
        <w:rPr>
          <w:rStyle w:val="13"/>
          <w:rFonts w:hint="eastAsia"/>
          <w:sz w:val="28"/>
          <w:szCs w:val="28"/>
          <w:highlight w:val="white"/>
          <w:lang w:eastAsia="zh-CN"/>
        </w:rPr>
        <w:t>1</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260"/>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4"/>
                <w:szCs w:val="22"/>
                <w:lang w:val="en-US" w:eastAsia="zh-CN" w:bidi="ar-SA"/>
              </w:rPr>
            </w:pPr>
            <w:r>
              <w:rPr>
                <w:rFonts w:hint="eastAsia" w:ascii="等线" w:hAnsi="等线" w:eastAsia="等线"/>
                <w:kern w:val="2"/>
                <w:sz w:val="24"/>
                <w:szCs w:val="22"/>
                <w:highlight w:val="white"/>
                <w:lang w:val="en-US" w:eastAsia="zh-CN" w:bidi="ar-SA"/>
              </w:rPr>
              <w:t>人</w:t>
            </w:r>
            <w:r>
              <w:rPr>
                <w:rFonts w:ascii="等线" w:hAnsi="等线" w:eastAsia="等线"/>
                <w:kern w:val="2"/>
                <w:sz w:val="24"/>
                <w:szCs w:val="22"/>
                <w:highlight w:val="white"/>
                <w:lang w:val="en-US" w:eastAsia="zh-CN" w:bidi="ar-SA"/>
              </w:rPr>
              <w:t xml:space="preserve">  </w:t>
            </w:r>
            <w:r>
              <w:rPr>
                <w:rFonts w:hint="eastAsia" w:ascii="等线" w:hAnsi="等线" w:eastAsia="等线"/>
                <w:kern w:val="2"/>
                <w:sz w:val="24"/>
                <w:szCs w:val="22"/>
                <w:highlight w:val="white"/>
                <w:lang w:val="en-US" w:eastAsia="zh-CN" w:bidi="ar-SA"/>
              </w:rPr>
              <w:t>员</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4"/>
                <w:szCs w:val="22"/>
                <w:lang w:val="en-US" w:eastAsia="zh-CN" w:bidi="ar-SA"/>
              </w:rPr>
            </w:pPr>
            <w:r>
              <w:rPr>
                <w:rFonts w:hint="eastAsia" w:ascii="等线" w:hAnsi="等线" w:eastAsia="等线"/>
                <w:kern w:val="2"/>
                <w:sz w:val="24"/>
                <w:szCs w:val="22"/>
                <w:highlight w:val="white"/>
                <w:lang w:val="en-US" w:eastAsia="zh-CN" w:bidi="ar-SA"/>
              </w:rPr>
              <w:t>数</w:t>
            </w:r>
            <w:r>
              <w:rPr>
                <w:rFonts w:ascii="等线" w:hAnsi="等线" w:eastAsia="等线"/>
                <w:kern w:val="2"/>
                <w:sz w:val="24"/>
                <w:szCs w:val="22"/>
                <w:highlight w:val="white"/>
                <w:lang w:val="en-US" w:eastAsia="zh-CN" w:bidi="ar-SA"/>
              </w:rPr>
              <w:t xml:space="preserve">  </w:t>
            </w:r>
            <w:r>
              <w:rPr>
                <w:rFonts w:hint="eastAsia" w:ascii="等线" w:hAnsi="等线" w:eastAsia="等线"/>
                <w:kern w:val="2"/>
                <w:sz w:val="24"/>
                <w:szCs w:val="22"/>
                <w:highlight w:val="white"/>
                <w:lang w:val="en-US" w:eastAsia="zh-CN" w:bidi="ar-SA"/>
              </w:rPr>
              <w:t>量</w:t>
            </w:r>
          </w:p>
        </w:tc>
        <w:tc>
          <w:tcPr>
            <w:tcW w:w="3247"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4"/>
                <w:szCs w:val="22"/>
                <w:lang w:val="en-US" w:eastAsia="zh-CN" w:bidi="ar-SA"/>
              </w:rPr>
            </w:pPr>
            <w:r>
              <w:rPr>
                <w:rFonts w:hint="eastAsia" w:ascii="等线" w:hAnsi="等线" w:eastAsia="等线"/>
                <w:kern w:val="2"/>
                <w:sz w:val="24"/>
                <w:szCs w:val="22"/>
                <w:highlight w:val="white"/>
                <w:lang w:val="en-US" w:eastAsia="zh-CN" w:bidi="ar-SA"/>
              </w:rPr>
              <w:t>资</w:t>
            </w:r>
            <w:r>
              <w:rPr>
                <w:rFonts w:ascii="等线" w:hAnsi="等线" w:eastAsia="等线"/>
                <w:kern w:val="2"/>
                <w:sz w:val="24"/>
                <w:szCs w:val="22"/>
                <w:highlight w:val="white"/>
                <w:lang w:val="en-US" w:eastAsia="zh-CN" w:bidi="ar-SA"/>
              </w:rPr>
              <w:t xml:space="preserve"> </w:t>
            </w:r>
            <w:r>
              <w:rPr>
                <w:rFonts w:hint="eastAsia" w:ascii="等线" w:hAnsi="等线" w:eastAsia="等线"/>
                <w:kern w:val="2"/>
                <w:sz w:val="24"/>
                <w:szCs w:val="22"/>
                <w:highlight w:val="white"/>
                <w:lang w:val="en-US" w:eastAsia="zh-CN" w:bidi="ar-SA"/>
              </w:rPr>
              <w:t>格</w:t>
            </w:r>
            <w:r>
              <w:rPr>
                <w:rFonts w:ascii="等线" w:hAnsi="等线" w:eastAsia="等线"/>
                <w:kern w:val="2"/>
                <w:sz w:val="24"/>
                <w:szCs w:val="22"/>
                <w:highlight w:val="white"/>
                <w:lang w:val="en-US" w:eastAsia="zh-CN" w:bidi="ar-SA"/>
              </w:rPr>
              <w:t xml:space="preserve"> </w:t>
            </w:r>
            <w:r>
              <w:rPr>
                <w:rFonts w:hint="eastAsia" w:ascii="等线" w:hAnsi="等线" w:eastAsia="等线"/>
                <w:kern w:val="2"/>
                <w:sz w:val="24"/>
                <w:szCs w:val="22"/>
                <w:highlight w:val="white"/>
                <w:lang w:val="en-US" w:eastAsia="zh-CN" w:bidi="ar-SA"/>
              </w:rPr>
              <w:t>要</w:t>
            </w:r>
            <w:r>
              <w:rPr>
                <w:rFonts w:ascii="等线" w:hAnsi="等线" w:eastAsia="等线"/>
                <w:kern w:val="2"/>
                <w:sz w:val="24"/>
                <w:szCs w:val="22"/>
                <w:highlight w:val="white"/>
                <w:lang w:val="en-US" w:eastAsia="zh-CN" w:bidi="ar-SA"/>
              </w:rPr>
              <w:t xml:space="preserve"> </w:t>
            </w:r>
            <w:r>
              <w:rPr>
                <w:rFonts w:hint="eastAsia" w:ascii="等线" w:hAnsi="等线" w:eastAsia="等线"/>
                <w:kern w:val="2"/>
                <w:sz w:val="24"/>
                <w:szCs w:val="22"/>
                <w:highlight w:val="white"/>
                <w:lang w:val="en-US" w:eastAsia="zh-CN" w:bidi="ar-SA"/>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等线" w:hAnsi="等线" w:eastAsia="等线"/>
                <w:kern w:val="2"/>
                <w:sz w:val="24"/>
                <w:szCs w:val="22"/>
                <w:highlight w:val="green"/>
                <w:lang w:val="en-US" w:eastAsia="zh-CN" w:bidi="ar-SA"/>
              </w:rPr>
            </w:pPr>
            <w:bookmarkStart w:id="76" w:name="EB2dccb09f3d0740b58c0d50740d65bf99"/>
            <w:r>
              <w:rPr>
                <w:rFonts w:hint="eastAsia" w:ascii="等线" w:hAnsi="等线" w:eastAsia="等线"/>
                <w:color w:val="0000FF"/>
                <w:kern w:val="2"/>
                <w:sz w:val="24"/>
                <w:szCs w:val="22"/>
                <w:highlight w:val="white"/>
                <w:lang w:val="en-US" w:eastAsia="zh-CN" w:bidi="ar-SA"/>
              </w:rPr>
              <w:t>专业监理工程师</w:t>
            </w:r>
            <w:bookmarkEnd w:id="76"/>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4"/>
                <w:szCs w:val="22"/>
                <w:highlight w:val="green"/>
                <w:lang w:val="en-US" w:eastAsia="zh-CN" w:bidi="ar-SA"/>
              </w:rPr>
            </w:pPr>
            <w:bookmarkStart w:id="77" w:name="EB747e0d5214cb4a9e9435efdfdc5c7577"/>
            <w:r>
              <w:rPr>
                <w:rFonts w:hint="eastAsia" w:ascii="等线" w:hAnsi="等线" w:eastAsia="等线"/>
                <w:color w:val="0000FF"/>
                <w:kern w:val="2"/>
                <w:sz w:val="24"/>
                <w:szCs w:val="22"/>
                <w:highlight w:val="white"/>
                <w:lang w:val="en-US" w:eastAsia="zh-CN" w:bidi="ar-SA"/>
              </w:rPr>
              <w:t>1</w:t>
            </w:r>
            <w:bookmarkEnd w:id="77"/>
          </w:p>
        </w:tc>
        <w:tc>
          <w:tcPr>
            <w:tcW w:w="324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ascii="等线" w:hAnsi="等线" w:eastAsia="等线"/>
                <w:kern w:val="2"/>
                <w:sz w:val="24"/>
                <w:szCs w:val="22"/>
                <w:highlight w:val="green"/>
                <w:lang w:val="en-US" w:eastAsia="zh-CN" w:bidi="ar-SA"/>
              </w:rPr>
            </w:pPr>
            <w:bookmarkStart w:id="78" w:name="EBba9e7d2404e2436fb6b12169de4e21ee"/>
            <w:r>
              <w:rPr>
                <w:rFonts w:hint="eastAsia" w:ascii="等线" w:hAnsi="等线" w:eastAsia="等线"/>
                <w:color w:val="0000FF"/>
                <w:kern w:val="2"/>
                <w:sz w:val="24"/>
                <w:szCs w:val="22"/>
                <w:highlight w:val="white"/>
                <w:lang w:val="en-US" w:eastAsia="zh-CN" w:bidi="ar-SA"/>
              </w:rPr>
              <w:t xml:space="preserve">（1）具有中级工程师及其以上职称； </w:t>
            </w:r>
          </w:p>
          <w:p>
            <w:pPr>
              <w:widowControl w:val="0"/>
              <w:spacing w:line="400" w:lineRule="atLeast"/>
              <w:jc w:val="both"/>
              <w:rPr>
                <w:rFonts w:hint="eastAsia" w:ascii="等线" w:hAnsi="等线" w:eastAsia="等线"/>
                <w:color w:val="0000FF"/>
                <w:kern w:val="2"/>
                <w:sz w:val="24"/>
                <w:szCs w:val="22"/>
                <w:highlight w:val="white"/>
                <w:lang w:val="en-US" w:eastAsia="zh-CN" w:bidi="ar-SA"/>
              </w:rPr>
            </w:pPr>
            <w:r>
              <w:rPr>
                <w:rFonts w:hint="eastAsia" w:ascii="等线" w:hAnsi="等线" w:eastAsia="等线"/>
                <w:color w:val="0000FF"/>
                <w:kern w:val="2"/>
                <w:sz w:val="24"/>
                <w:szCs w:val="22"/>
                <w:highlight w:val="white"/>
                <w:lang w:val="en-US" w:eastAsia="zh-CN" w:bidi="ar-SA"/>
              </w:rPr>
              <w:t xml:space="preserve">（2）具有水利部颁发的国家注册专业监理工程师(水土保持)资格证书，且需在本单位注册满3个月； </w:t>
            </w:r>
          </w:p>
          <w:p>
            <w:pPr>
              <w:widowControl w:val="0"/>
              <w:spacing w:line="400" w:lineRule="atLeast"/>
              <w:jc w:val="both"/>
              <w:rPr>
                <w:rFonts w:hint="eastAsia" w:ascii="等线" w:hAnsi="等线" w:eastAsia="等线"/>
                <w:color w:val="0000FF"/>
                <w:kern w:val="2"/>
                <w:sz w:val="24"/>
                <w:szCs w:val="22"/>
                <w:highlight w:val="white"/>
                <w:lang w:val="en-US" w:eastAsia="zh-CN" w:bidi="ar-SA"/>
              </w:rPr>
            </w:pPr>
            <w:r>
              <w:rPr>
                <w:rFonts w:hint="eastAsia" w:ascii="等线" w:hAnsi="等线" w:eastAsia="等线"/>
                <w:color w:val="0000FF"/>
                <w:kern w:val="2"/>
                <w:sz w:val="24"/>
                <w:szCs w:val="22"/>
                <w:highlight w:val="white"/>
                <w:lang w:val="en-US" w:eastAsia="zh-CN" w:bidi="ar-SA"/>
              </w:rPr>
              <w:t>（3）近8年（投标文件递交截止之日前一日往前回溯8年）在1个水土保持工程施工监理项目担任专业监理工程师职务。</w:t>
            </w:r>
          </w:p>
          <w:p>
            <w:pPr>
              <w:widowControl w:val="0"/>
              <w:spacing w:line="400" w:lineRule="atLeast"/>
              <w:jc w:val="both"/>
              <w:rPr>
                <w:rFonts w:hint="eastAsia" w:ascii="等线" w:hAnsi="等线" w:eastAsia="等线"/>
                <w:color w:val="0000FF"/>
                <w:kern w:val="2"/>
                <w:sz w:val="24"/>
                <w:szCs w:val="22"/>
                <w:highlight w:val="white"/>
                <w:lang w:val="en-US" w:eastAsia="zh-CN" w:bidi="ar-SA"/>
              </w:rPr>
            </w:pPr>
            <w:r>
              <w:rPr>
                <w:rFonts w:hint="eastAsia" w:ascii="等线" w:hAnsi="等线" w:eastAsia="等线"/>
                <w:color w:val="0000FF"/>
                <w:kern w:val="2"/>
                <w:sz w:val="24"/>
                <w:szCs w:val="22"/>
                <w:highlight w:val="white"/>
                <w:lang w:val="en-US" w:eastAsia="zh-CN" w:bidi="ar-SA"/>
              </w:rPr>
              <w:t xml:space="preserve">注：                       </w:t>
            </w:r>
          </w:p>
          <w:p>
            <w:pPr>
              <w:widowControl w:val="0"/>
              <w:spacing w:line="400" w:lineRule="atLeast"/>
              <w:jc w:val="both"/>
              <w:rPr>
                <w:rFonts w:hint="eastAsia" w:ascii="等线" w:hAnsi="等线" w:eastAsia="等线"/>
                <w:color w:val="0000FF"/>
                <w:kern w:val="2"/>
                <w:sz w:val="24"/>
                <w:szCs w:val="22"/>
                <w:highlight w:val="white"/>
                <w:lang w:val="en-US" w:eastAsia="zh-CN" w:bidi="ar-SA"/>
              </w:rPr>
            </w:pPr>
            <w:r>
              <w:rPr>
                <w:rFonts w:hint="eastAsia" w:ascii="等线" w:hAnsi="等线" w:eastAsia="等线"/>
                <w:color w:val="0000FF"/>
                <w:kern w:val="2"/>
                <w:sz w:val="24"/>
                <w:szCs w:val="22"/>
                <w:highlight w:val="white"/>
                <w:lang w:val="en-US" w:eastAsia="zh-CN" w:bidi="ar-SA"/>
              </w:rPr>
              <w:t xml:space="preserve">1. 投标人应根据招标文件第二章“投标人须知”第 3.5.5 项的要求在“拟委任的专业监理工程师资历表”后附相关证明材料。                        </w:t>
            </w:r>
          </w:p>
          <w:p>
            <w:pPr>
              <w:widowControl w:val="0"/>
              <w:spacing w:line="400" w:lineRule="atLeast"/>
              <w:jc w:val="both"/>
              <w:rPr>
                <w:rFonts w:hint="eastAsia" w:ascii="等线" w:hAnsi="等线" w:eastAsia="等线"/>
                <w:color w:val="0000FF"/>
                <w:kern w:val="2"/>
                <w:sz w:val="24"/>
                <w:szCs w:val="22"/>
                <w:highlight w:val="white"/>
                <w:lang w:val="en-US" w:eastAsia="zh-CN" w:bidi="ar-SA"/>
              </w:rPr>
            </w:pPr>
            <w:r>
              <w:rPr>
                <w:rFonts w:hint="eastAsia" w:ascii="等线" w:hAnsi="等线" w:eastAsia="等线"/>
                <w:color w:val="0000FF"/>
                <w:kern w:val="2"/>
                <w:sz w:val="24"/>
                <w:szCs w:val="22"/>
                <w:highlight w:val="white"/>
                <w:lang w:val="en-US" w:eastAsia="zh-CN" w:bidi="ar-SA"/>
              </w:rPr>
              <w:t xml:space="preserve">2.以上人员不得处于暂停执业处罚期内，且未被取消资格。                        </w:t>
            </w:r>
          </w:p>
          <w:p>
            <w:pPr>
              <w:widowControl w:val="0"/>
              <w:spacing w:line="400" w:lineRule="atLeast"/>
              <w:jc w:val="both"/>
              <w:rPr>
                <w:rFonts w:hint="eastAsia" w:ascii="等线" w:hAnsi="等线" w:eastAsia="等线"/>
                <w:color w:val="0000FF"/>
                <w:kern w:val="2"/>
                <w:sz w:val="24"/>
                <w:szCs w:val="22"/>
                <w:highlight w:val="white"/>
                <w:lang w:val="en-US" w:eastAsia="zh-CN" w:bidi="ar-SA"/>
              </w:rPr>
            </w:pPr>
            <w:r>
              <w:rPr>
                <w:rFonts w:hint="eastAsia" w:ascii="等线" w:hAnsi="等线" w:eastAsia="等线"/>
                <w:color w:val="0000FF"/>
                <w:kern w:val="2"/>
                <w:sz w:val="24"/>
                <w:szCs w:val="22"/>
                <w:highlight w:val="white"/>
                <w:lang w:val="en-US" w:eastAsia="zh-CN" w:bidi="ar-SA"/>
              </w:rPr>
              <w:t xml:space="preserve">3.未在投标文件中填报的人员不作为评审依据。                       </w:t>
            </w:r>
          </w:p>
          <w:p>
            <w:pPr>
              <w:widowControl w:val="0"/>
              <w:spacing w:line="400" w:lineRule="atLeast"/>
              <w:jc w:val="both"/>
              <w:rPr>
                <w:rFonts w:hint="eastAsia" w:ascii="等线" w:hAnsi="等线" w:eastAsia="等线"/>
                <w:color w:val="0000FF"/>
                <w:kern w:val="2"/>
                <w:sz w:val="24"/>
                <w:szCs w:val="22"/>
                <w:highlight w:val="white"/>
                <w:lang w:val="en-US" w:eastAsia="zh-CN" w:bidi="ar-SA"/>
              </w:rPr>
            </w:pPr>
            <w:r>
              <w:rPr>
                <w:rFonts w:hint="eastAsia" w:ascii="等线" w:hAnsi="等线" w:eastAsia="等线"/>
                <w:color w:val="0000FF"/>
                <w:kern w:val="2"/>
                <w:sz w:val="24"/>
                <w:szCs w:val="22"/>
                <w:highlight w:val="white"/>
                <w:lang w:val="en-US" w:eastAsia="zh-CN" w:bidi="ar-SA"/>
              </w:rPr>
              <w:t>4.业绩计算以验收文件或项目委托人出具的证明材料所载明的时间为准。</w:t>
            </w:r>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等线" w:hAnsi="等线" w:eastAsia="等线"/>
                <w:kern w:val="2"/>
                <w:sz w:val="24"/>
                <w:szCs w:val="22"/>
                <w:highlight w:val="green"/>
                <w:lang w:val="en-US" w:eastAsia="zh-CN" w:bidi="ar-SA"/>
              </w:rPr>
            </w:pPr>
            <w:bookmarkStart w:id="79" w:name="EB56e2c91f37dd44bcbbf7749dc09fc7b1"/>
            <w:bookmarkEnd w:id="79"/>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4"/>
                <w:szCs w:val="22"/>
                <w:highlight w:val="green"/>
                <w:lang w:val="en-US" w:eastAsia="zh-CN" w:bidi="ar-SA"/>
              </w:rPr>
            </w:pPr>
            <w:bookmarkStart w:id="80" w:name="EBb8a68d47dfbd47119afc92418e9e1f63"/>
            <w:bookmarkEnd w:id="80"/>
          </w:p>
        </w:tc>
        <w:tc>
          <w:tcPr>
            <w:tcW w:w="324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ascii="等线" w:hAnsi="等线" w:eastAsia="等线"/>
                <w:kern w:val="2"/>
                <w:sz w:val="24"/>
                <w:szCs w:val="22"/>
                <w:highlight w:val="green"/>
                <w:lang w:val="en-US" w:eastAsia="zh-CN" w:bidi="ar-SA"/>
              </w:rPr>
            </w:pPr>
            <w:bookmarkStart w:id="81" w:name="EBc80f115cae064d1885ce2b03d71aba46"/>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等线" w:hAnsi="等线" w:eastAsia="等线"/>
                <w:kern w:val="2"/>
                <w:sz w:val="24"/>
                <w:szCs w:val="22"/>
                <w:highlight w:val="green"/>
                <w:lang w:val="en-US" w:eastAsia="zh-CN" w:bidi="ar-SA"/>
              </w:rPr>
            </w:pPr>
            <w:bookmarkStart w:id="82" w:name="EBb0498c8b37704cba955be945a0a9df70"/>
            <w:bookmarkEnd w:id="82"/>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4"/>
                <w:szCs w:val="22"/>
                <w:highlight w:val="green"/>
                <w:lang w:val="en-US" w:eastAsia="zh-CN" w:bidi="ar-SA"/>
              </w:rPr>
            </w:pPr>
            <w:bookmarkStart w:id="83" w:name="EBd7be5b3b9ee34a9ca8439a76a5b79bab"/>
            <w:bookmarkEnd w:id="83"/>
          </w:p>
        </w:tc>
        <w:tc>
          <w:tcPr>
            <w:tcW w:w="324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ascii="等线" w:hAnsi="等线" w:eastAsia="等线"/>
                <w:kern w:val="2"/>
                <w:sz w:val="24"/>
                <w:szCs w:val="22"/>
                <w:highlight w:val="green"/>
                <w:lang w:val="en-US" w:eastAsia="zh-CN" w:bidi="ar-SA"/>
              </w:rPr>
            </w:pPr>
            <w:bookmarkStart w:id="84" w:name="EB8a9e816ce6cf4d3eada0a2204512a243"/>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等线" w:hAnsi="等线" w:eastAsia="等线"/>
                <w:kern w:val="2"/>
                <w:sz w:val="24"/>
                <w:szCs w:val="22"/>
                <w:highlight w:val="green"/>
                <w:lang w:val="en-US" w:eastAsia="zh-CN" w:bidi="ar-SA"/>
              </w:rPr>
            </w:pPr>
            <w:bookmarkStart w:id="85" w:name="EBc5063dcb814e4be0887dd3540a640812"/>
            <w:bookmarkEnd w:id="85"/>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4"/>
                <w:szCs w:val="22"/>
                <w:highlight w:val="green"/>
                <w:lang w:val="en-US" w:eastAsia="zh-CN" w:bidi="ar-SA"/>
              </w:rPr>
            </w:pPr>
            <w:bookmarkStart w:id="86" w:name="EB1f1ad5d35d074beb9e8615ccad0229f4"/>
            <w:bookmarkEnd w:id="86"/>
          </w:p>
        </w:tc>
        <w:tc>
          <w:tcPr>
            <w:tcW w:w="324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ascii="等线" w:hAnsi="等线" w:eastAsia="等线"/>
                <w:kern w:val="2"/>
                <w:sz w:val="24"/>
                <w:szCs w:val="22"/>
                <w:highlight w:val="green"/>
                <w:lang w:val="en-US" w:eastAsia="zh-CN" w:bidi="ar-SA"/>
              </w:rPr>
            </w:pPr>
            <w:bookmarkStart w:id="87" w:name="EBbd467fee930543a1b3520180a1b3afe3"/>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等线" w:hAnsi="等线" w:eastAsia="等线"/>
                <w:kern w:val="2"/>
                <w:sz w:val="24"/>
                <w:szCs w:val="22"/>
                <w:highlight w:val="green"/>
                <w:lang w:val="en-US" w:eastAsia="zh-CN" w:bidi="ar-SA"/>
              </w:rPr>
            </w:pPr>
            <w:bookmarkStart w:id="88" w:name="EB8be1e2ed6c6f44c2b734ef57632ad878"/>
            <w:bookmarkEnd w:id="88"/>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4"/>
                <w:szCs w:val="22"/>
                <w:highlight w:val="green"/>
                <w:lang w:val="en-US" w:eastAsia="zh-CN" w:bidi="ar-SA"/>
              </w:rPr>
            </w:pPr>
            <w:bookmarkStart w:id="89" w:name="EBc9d514b5a41a4985bdcc1e7d655d7529"/>
            <w:bookmarkEnd w:id="89"/>
          </w:p>
        </w:tc>
        <w:tc>
          <w:tcPr>
            <w:tcW w:w="324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ascii="等线" w:hAnsi="等线" w:eastAsia="等线"/>
                <w:kern w:val="2"/>
                <w:sz w:val="24"/>
                <w:szCs w:val="22"/>
                <w:highlight w:val="green"/>
                <w:lang w:val="en-US" w:eastAsia="zh-CN" w:bidi="ar-SA"/>
              </w:rPr>
            </w:pPr>
            <w:bookmarkStart w:id="90" w:name="EB5f108639d3be4ba9a1ec1b79510d9069"/>
            <w:bookmarkEnd w:id="90"/>
          </w:p>
        </w:tc>
      </w:tr>
    </w:tbl>
    <w:p>
      <w:pPr>
        <w:rPr>
          <w:rFonts w:hint="eastAsia"/>
          <w:color w:val="000080"/>
          <w:sz w:val="20"/>
          <w:highlight w:val="cyan"/>
        </w:rPr>
      </w:pPr>
      <w:bookmarkStart w:id="91" w:name="EB41df03e1edc34eeeba73791961d06179"/>
      <w:r>
        <w:rPr>
          <w:rFonts w:hint="eastAsia"/>
          <w:color w:val="000080"/>
          <w:sz w:val="20"/>
          <w:highlight w:val="white"/>
        </w:rPr>
        <w:t xml:space="preserve"> </w:t>
      </w:r>
      <w:bookmarkEnd w:id="91"/>
    </w:p>
    <w:p>
      <w:pPr>
        <w:rPr>
          <w:rStyle w:val="12"/>
          <w:rFonts w:hint="eastAsia" w:ascii="Times New Roman" w:hAnsi="Times New Roman" w:eastAsia="黑体" w:cs="Times New Roman"/>
          <w:b/>
          <w:bCs/>
          <w:sz w:val="24"/>
          <w:szCs w:val="24"/>
        </w:rPr>
      </w:pPr>
      <w:r>
        <w:rPr>
          <w:color w:val="000080"/>
          <w:sz w:val="20"/>
          <w:highlight w:val="white"/>
        </w:rPr>
        <w:br w:type="page"/>
      </w:r>
      <w:r>
        <w:rPr>
          <w:rStyle w:val="12"/>
          <w:rFonts w:hint="eastAsia" w:ascii="Times New Roman" w:hAnsi="Times New Roman" w:eastAsia="黑体" w:cs="Times New Roman"/>
          <w:b/>
          <w:bCs/>
          <w:sz w:val="24"/>
          <w:szCs w:val="24"/>
        </w:rPr>
        <w:t>附件</w:t>
      </w:r>
      <w:r>
        <w:rPr>
          <w:rStyle w:val="12"/>
          <w:rFonts w:ascii="Times New Roman" w:hAnsi="Times New Roman" w:eastAsia="黑体" w:cs="Times New Roman"/>
          <w:b/>
          <w:bCs/>
          <w:sz w:val="24"/>
          <w:szCs w:val="24"/>
        </w:rPr>
        <w:t>2</w:t>
      </w:r>
      <w:r>
        <w:rPr>
          <w:rStyle w:val="12"/>
          <w:rFonts w:hint="eastAsia" w:ascii="Times New Roman" w:hAnsi="Times New Roman" w:eastAsia="黑体" w:cs="Times New Roman"/>
          <w:b/>
          <w:bCs/>
          <w:sz w:val="24"/>
          <w:szCs w:val="24"/>
        </w:rPr>
        <w:t>：评标办法</w:t>
      </w:r>
    </w:p>
    <w:p>
      <w:pPr>
        <w:pStyle w:val="6"/>
        <w:outlineLvl w:val="1"/>
        <w:rPr>
          <w:rStyle w:val="28"/>
          <w:b/>
          <w:szCs w:val="42"/>
        </w:rPr>
      </w:pPr>
      <w:bookmarkStart w:id="92" w:name="_Toc17366028"/>
      <w:bookmarkStart w:id="93" w:name="_Toc49155155"/>
      <w:bookmarkStart w:id="94" w:name="_Toc20141934"/>
      <w:bookmarkStart w:id="95" w:name="_Toc503235805"/>
      <w:bookmarkStart w:id="96" w:name="_Toc510015737"/>
      <w:bookmarkStart w:id="97" w:name="_Toc256000012"/>
      <w:r>
        <w:rPr>
          <w:rStyle w:val="28"/>
          <w:rFonts w:hint="eastAsia"/>
          <w:b/>
          <w:szCs w:val="42"/>
          <w:highlight w:val="white"/>
        </w:rPr>
        <w:t>第三章</w:t>
      </w:r>
      <w:r>
        <w:rPr>
          <w:rStyle w:val="28"/>
          <w:b/>
          <w:szCs w:val="42"/>
          <w:highlight w:val="white"/>
        </w:rPr>
        <w:t xml:space="preserve">  </w:t>
      </w:r>
      <w:r>
        <w:rPr>
          <w:rStyle w:val="28"/>
          <w:rFonts w:hint="eastAsia"/>
          <w:b/>
          <w:szCs w:val="42"/>
          <w:highlight w:val="white"/>
        </w:rPr>
        <w:t>评标办法</w:t>
      </w:r>
      <w:r>
        <w:rPr>
          <w:rStyle w:val="13"/>
          <w:szCs w:val="42"/>
        </w:rPr>
        <w:footnoteReference w:id="5"/>
      </w:r>
      <w:r>
        <w:rPr>
          <w:rStyle w:val="28"/>
          <w:rFonts w:hint="eastAsia"/>
          <w:b/>
          <w:szCs w:val="42"/>
          <w:highlight w:val="white"/>
        </w:rPr>
        <w:t>（综合评估法）</w:t>
      </w:r>
      <w:bookmarkEnd w:id="92"/>
      <w:bookmarkEnd w:id="93"/>
      <w:bookmarkEnd w:id="94"/>
      <w:bookmarkEnd w:id="95"/>
      <w:bookmarkEnd w:id="96"/>
      <w:bookmarkEnd w:id="97"/>
    </w:p>
    <w:p>
      <w:pPr>
        <w:pStyle w:val="2"/>
        <w:rPr>
          <w:b w:val="0"/>
          <w:szCs w:val="24"/>
        </w:rPr>
      </w:pPr>
      <w:bookmarkStart w:id="98" w:name="_Toc503235806"/>
      <w:bookmarkStart w:id="99" w:name="_Toc17366029"/>
      <w:bookmarkStart w:id="100" w:name="_Toc510015738"/>
      <w:r>
        <w:rPr>
          <w:rFonts w:hint="eastAsia"/>
          <w:szCs w:val="24"/>
          <w:highlight w:val="white"/>
        </w:rPr>
        <w:t>评标办法前附表</w:t>
      </w:r>
      <w:r>
        <w:rPr>
          <w:rStyle w:val="13"/>
          <w:sz w:val="28"/>
          <w:szCs w:val="28"/>
        </w:rPr>
        <w:footnoteReference w:id="6"/>
      </w:r>
      <w:bookmarkEnd w:id="98"/>
      <w:bookmarkEnd w:id="99"/>
      <w:bookmarkEnd w:id="100"/>
    </w:p>
    <w:tbl>
      <w:tblPr>
        <w:tblStyle w:val="11"/>
        <w:tblW w:w="88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1"/>
        <w:gridCol w:w="66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pacing w:line="380" w:lineRule="atLeast"/>
              <w:jc w:val="center"/>
              <w:rPr>
                <w:rFonts w:ascii="等线" w:hAnsi="等线" w:eastAsia="等线"/>
                <w:b/>
                <w:kern w:val="2"/>
                <w:sz w:val="21"/>
                <w:szCs w:val="21"/>
                <w:lang w:val="en-US" w:eastAsia="zh-CN" w:bidi="ar-SA"/>
              </w:rPr>
            </w:pPr>
            <w:r>
              <w:rPr>
                <w:rFonts w:hint="eastAsia" w:ascii="等线" w:hAnsi="等线" w:eastAsia="等线"/>
                <w:b/>
                <w:kern w:val="2"/>
                <w:sz w:val="21"/>
                <w:szCs w:val="21"/>
                <w:highlight w:val="white"/>
                <w:lang w:val="en-US" w:eastAsia="zh-CN" w:bidi="ar-SA"/>
              </w:rPr>
              <w:t>条款号</w:t>
            </w:r>
          </w:p>
        </w:tc>
        <w:tc>
          <w:tcPr>
            <w:tcW w:w="662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80" w:lineRule="atLeast"/>
              <w:jc w:val="center"/>
              <w:rPr>
                <w:rFonts w:ascii="等线" w:hAnsi="等线" w:eastAsia="等线"/>
                <w:b/>
                <w:spacing w:val="4"/>
                <w:kern w:val="2"/>
                <w:sz w:val="21"/>
                <w:szCs w:val="21"/>
                <w:lang w:val="en-US" w:eastAsia="zh-CN" w:bidi="ar-SA"/>
              </w:rPr>
            </w:pPr>
            <w:r>
              <w:rPr>
                <w:rFonts w:hint="eastAsia" w:ascii="等线" w:hAnsi="等线" w:eastAsia="等线"/>
                <w:b/>
                <w:spacing w:val="4"/>
                <w:kern w:val="2"/>
                <w:sz w:val="21"/>
                <w:szCs w:val="21"/>
                <w:highlight w:val="white"/>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80" w:lineRule="atLeast"/>
              <w:jc w:val="center"/>
              <w:rPr>
                <w:rFonts w:ascii="等线" w:hAnsi="等线" w:eastAsia="等线"/>
                <w:kern w:val="2"/>
                <w:sz w:val="21"/>
                <w:szCs w:val="21"/>
                <w:lang w:val="en-US" w:eastAsia="zh-CN" w:bidi="ar-SA"/>
              </w:rPr>
            </w:pPr>
            <w:r>
              <w:rPr>
                <w:rFonts w:ascii="等线" w:hAnsi="等线" w:eastAsia="等线"/>
                <w:kern w:val="2"/>
                <w:sz w:val="21"/>
                <w:szCs w:val="21"/>
                <w:highlight w:val="white"/>
                <w:lang w:val="en-US" w:eastAsia="zh-CN" w:bidi="ar-SA"/>
              </w:rPr>
              <w:t>1</w:t>
            </w:r>
          </w:p>
        </w:tc>
        <w:tc>
          <w:tcPr>
            <w:tcW w:w="1281" w:type="dxa"/>
            <w:tcBorders>
              <w:top w:val="single" w:color="auto" w:sz="4" w:space="0"/>
              <w:left w:val="nil"/>
              <w:bottom w:val="single" w:color="auto" w:sz="4" w:space="0"/>
              <w:right w:val="single" w:color="auto" w:sz="4" w:space="0"/>
            </w:tcBorders>
            <w:noWrap w:val="0"/>
            <w:vAlign w:val="center"/>
          </w:tcPr>
          <w:p>
            <w:pPr>
              <w:widowControl w:val="0"/>
              <w:spacing w:line="380" w:lineRule="atLeast"/>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评标方法</w:t>
            </w:r>
          </w:p>
        </w:tc>
        <w:tc>
          <w:tcPr>
            <w:tcW w:w="662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ind w:firstLine="420" w:firstLineChars="200"/>
              <w:jc w:val="both"/>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综合评分相等时，评标委员会依次按照以下优先顺序推荐中标候选人或确定中标人：</w:t>
            </w:r>
          </w:p>
          <w:p>
            <w:pPr>
              <w:widowControl w:val="0"/>
              <w:spacing w:line="360" w:lineRule="atLeast"/>
              <w:ind w:firstLine="420" w:firstLineChars="200"/>
              <w:jc w:val="both"/>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w:t>
            </w:r>
            <w:r>
              <w:rPr>
                <w:rFonts w:ascii="等线" w:hAnsi="等线" w:eastAsia="等线"/>
                <w:kern w:val="2"/>
                <w:sz w:val="21"/>
                <w:szCs w:val="21"/>
                <w:highlight w:val="white"/>
                <w:lang w:val="en-US" w:eastAsia="zh-CN" w:bidi="ar-SA"/>
              </w:rPr>
              <w:t>1</w:t>
            </w:r>
            <w:r>
              <w:rPr>
                <w:rFonts w:hint="eastAsia" w:ascii="等线" w:hAnsi="等线" w:eastAsia="等线"/>
                <w:kern w:val="2"/>
                <w:sz w:val="21"/>
                <w:szCs w:val="21"/>
                <w:highlight w:val="white"/>
                <w:lang w:val="en-US" w:eastAsia="zh-CN" w:bidi="ar-SA"/>
              </w:rPr>
              <w:t>）评标价低的投标人优先；</w:t>
            </w:r>
          </w:p>
          <w:p>
            <w:pPr>
              <w:widowControl w:val="0"/>
              <w:spacing w:line="360" w:lineRule="atLeast"/>
              <w:ind w:firstLine="420" w:firstLineChars="200"/>
              <w:jc w:val="both"/>
              <w:rPr>
                <w:rFonts w:ascii="等线" w:hAnsi="等线" w:eastAsia="黑体"/>
                <w:kern w:val="2"/>
                <w:sz w:val="21"/>
                <w:szCs w:val="21"/>
                <w:lang w:val="en-US" w:eastAsia="zh-CN" w:bidi="ar-SA"/>
              </w:rPr>
            </w:pPr>
            <w:r>
              <w:rPr>
                <w:rFonts w:hint="eastAsia" w:ascii="等线" w:hAnsi="等线" w:eastAsia="黑体"/>
                <w:kern w:val="2"/>
                <w:sz w:val="21"/>
                <w:szCs w:val="21"/>
                <w:highlight w:val="white"/>
                <w:lang w:val="en-US" w:eastAsia="zh-CN" w:bidi="ar-SA"/>
              </w:rPr>
              <w:t>（</w:t>
            </w:r>
            <w:r>
              <w:rPr>
                <w:rFonts w:ascii="等线" w:hAnsi="等线" w:eastAsia="黑体"/>
                <w:kern w:val="2"/>
                <w:sz w:val="21"/>
                <w:szCs w:val="21"/>
                <w:highlight w:val="white"/>
                <w:lang w:val="en-US" w:eastAsia="zh-CN" w:bidi="ar-SA"/>
              </w:rPr>
              <w:t>2</w:t>
            </w:r>
            <w:r>
              <w:rPr>
                <w:rFonts w:hint="eastAsia" w:ascii="等线" w:hAnsi="等线" w:eastAsia="黑体"/>
                <w:kern w:val="2"/>
                <w:sz w:val="21"/>
                <w:szCs w:val="21"/>
                <w:highlight w:val="white"/>
                <w:lang w:val="en-US" w:eastAsia="zh-CN" w:bidi="ar-SA"/>
              </w:rPr>
              <w:t>）被湖南省交通运输厅评为最近</w:t>
            </w:r>
            <w:r>
              <w:rPr>
                <w:rFonts w:ascii="等线" w:hAnsi="等线" w:eastAsia="黑体"/>
                <w:kern w:val="2"/>
                <w:sz w:val="21"/>
                <w:szCs w:val="21"/>
                <w:highlight w:val="white"/>
                <w:lang w:val="en-US" w:eastAsia="zh-CN" w:bidi="ar-SA"/>
              </w:rPr>
              <w:t>1</w:t>
            </w:r>
            <w:r>
              <w:rPr>
                <w:rFonts w:hint="eastAsia" w:ascii="等线" w:hAnsi="等线" w:eastAsia="黑体"/>
                <w:kern w:val="2"/>
                <w:sz w:val="21"/>
                <w:szCs w:val="21"/>
                <w:highlight w:val="white"/>
                <w:lang w:val="en-US" w:eastAsia="zh-CN" w:bidi="ar-SA"/>
              </w:rPr>
              <w:t>年较高信用等级的投标人优先；</w:t>
            </w:r>
          </w:p>
          <w:p>
            <w:pPr>
              <w:widowControl w:val="0"/>
              <w:spacing w:line="360" w:lineRule="atLeast"/>
              <w:ind w:firstLine="420" w:firstLineChars="200"/>
              <w:jc w:val="both"/>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w:t>
            </w:r>
            <w:r>
              <w:rPr>
                <w:rFonts w:ascii="等线" w:hAnsi="等线" w:eastAsia="等线"/>
                <w:kern w:val="2"/>
                <w:sz w:val="21"/>
                <w:szCs w:val="21"/>
                <w:highlight w:val="white"/>
                <w:lang w:val="en-US" w:eastAsia="zh-CN" w:bidi="ar-SA"/>
              </w:rPr>
              <w:t>3</w:t>
            </w:r>
            <w:r>
              <w:rPr>
                <w:rFonts w:hint="eastAsia" w:ascii="等线" w:hAnsi="等线" w:eastAsia="等线"/>
                <w:kern w:val="2"/>
                <w:sz w:val="21"/>
                <w:szCs w:val="21"/>
                <w:highlight w:val="white"/>
                <w:lang w:val="en-US" w:eastAsia="zh-CN" w:bidi="ar-SA"/>
              </w:rPr>
              <w:t>）商务和技术得分较高的投标人优先；</w:t>
            </w:r>
          </w:p>
          <w:p>
            <w:pPr>
              <w:widowControl w:val="0"/>
              <w:spacing w:line="360" w:lineRule="atLeast"/>
              <w:ind w:firstLine="420" w:firstLineChars="200"/>
              <w:jc w:val="both"/>
              <w:rPr>
                <w:rFonts w:ascii="等线" w:hAnsi="等线" w:eastAsia="等线"/>
                <w:b/>
                <w:kern w:val="2"/>
                <w:sz w:val="21"/>
                <w:szCs w:val="21"/>
                <w:lang w:val="en-US" w:eastAsia="zh-CN" w:bidi="ar-SA"/>
              </w:rPr>
            </w:pPr>
            <w:r>
              <w:rPr>
                <w:rFonts w:hint="eastAsia" w:ascii="等线" w:hAnsi="等线" w:eastAsia="黑体"/>
                <w:kern w:val="2"/>
                <w:sz w:val="21"/>
                <w:szCs w:val="21"/>
                <w:highlight w:val="white"/>
                <w:lang w:val="en-US" w:eastAsia="zh-CN" w:bidi="ar-SA"/>
              </w:rPr>
              <w:t>（</w:t>
            </w:r>
            <w:r>
              <w:rPr>
                <w:rFonts w:ascii="等线" w:hAnsi="等线" w:eastAsia="黑体"/>
                <w:kern w:val="2"/>
                <w:sz w:val="21"/>
                <w:szCs w:val="21"/>
                <w:highlight w:val="white"/>
                <w:lang w:val="en-US" w:eastAsia="zh-CN" w:bidi="ar-SA"/>
              </w:rPr>
              <w:t>4</w:t>
            </w:r>
            <w:r>
              <w:rPr>
                <w:rFonts w:hint="eastAsia" w:ascii="等线" w:hAnsi="等线" w:eastAsia="黑体"/>
                <w:kern w:val="2"/>
                <w:sz w:val="21"/>
                <w:szCs w:val="21"/>
                <w:highlight w:val="white"/>
                <w:lang w:val="en-US" w:eastAsia="zh-CN" w:bidi="ar-SA"/>
              </w:rPr>
              <w:t>）随机摇号确定排序。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5" w:type="dxa"/>
            <w:gridSpan w:val="3"/>
            <w:tcBorders>
              <w:top w:val="single" w:color="auto" w:sz="4" w:space="0"/>
              <w:left w:val="nil"/>
              <w:bottom w:val="nil"/>
              <w:right w:val="nil"/>
            </w:tcBorders>
            <w:noWrap w:val="0"/>
            <w:vAlign w:val="center"/>
          </w:tcPr>
          <w:p>
            <w:pPr>
              <w:widowControl w:val="0"/>
              <w:jc w:val="both"/>
              <w:rPr>
                <w:rFonts w:hint="eastAsia" w:ascii="等线" w:hAnsi="等线" w:eastAsia="等线"/>
                <w:kern w:val="2"/>
                <w:sz w:val="21"/>
                <w:szCs w:val="22"/>
                <w:highlight w:val="red"/>
                <w:lang w:val="en-US" w:eastAsia="zh-CN" w:bidi="ar-SA"/>
              </w:rPr>
            </w:pPr>
            <w:bookmarkStart w:id="101" w:name="EB4e1cdbc33bc7457da55eeeefc68f3fa7"/>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34"/>
              <w:gridCol w:w="6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2.1.1</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第一个信封（商务及技术文件）评审标准：</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(1)开标形式评审</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 开标后投标人投标函所列标段与招标标段一致；</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 投标人在规定的时间内解密投标文件第一信封（商务和技术文件）；</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c. 不同投标人的投标文件编制识别码不一致(若一致则视为投标人相互串通投标)。</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d.不同投标人提交电子投标文件IP地址不相同（若相同时能合理说明）；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e.不同投标人提交电子投标文件IP地址不在某一特定区域（若在某一特定区域时能合理说明）；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f.电子投标文件硬件信息不相同（若相同时能合理说明）。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(2)投标文件按照招标文件规定的格式、内容填写，字迹清晰可辨</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a.投标函按招标文件规定填报了项目名称、标段号、补遗书编号（如有）、监理服务期限、工程质量要求、安全目标及环保目标；</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b.投标文件组成齐全完整，内容均按规定填写</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(3)投标文件上法定代表人的签字（签名）或签名章（印章、签章）盖章、投标人的单位章盖章符合投标人须知第 3.7.3 项的规定</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(4)投标人按照招标文件的规定提供了投标保证金</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a.投标保证金金额符合招标文件规定的金额，且投标保证金有效期与投标有效期一致；</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b.若投标保证金采用现金或支票形式提交，投标人应在递交投标文件截止时间之前，将投标保证金由投标人的基本账户转入招标人指定账户；</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c.若投标保证金采用银行保函形式提交，银行保函的格式、开具保函的银行均满足招标文件要求，且在递交投标文件截止时间之前向招标人提交了银行保函原件。若保函仅加盖银行业务公章的，同时提交了银行出具的同等法律效力证明的原件</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(5)同一投标人未提交两个以上不同的投标文件，但招标文件要求提交备选投标的除外</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(6)投标人法定代表人授权委托代理人签署投标文件的，须提交授权委托书，且授权人和被授权人均在授权委托书上签名</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(7)投标人法定代表人亲自签署投标文件的，提供了法定代表人身份证明，且法定代表人在法定代表人身份证明上签名</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(8)投标文件中未出现有关投标报价的内容</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(9)投标文件载明的招标项目完成期限符合招标文件规定</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(10)投标文件对招标文件的实质性要求和条件作出响应</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(11)权利义务符合招标文件规定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a.投标人应接受招标文件规定的风险划分原则，未提出新的风险划分办法；</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b.投标人未增加委托人的责任范围，或减少投标人义务；</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c.投标人未提出不同的支付办法；</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d.投标人对合同纠纷、事故处理办法未提出异议；</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e.投标人在投标活动中无欺诈行为；</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f.投标人未对合同条款有重要保留。</w:t>
                  </w:r>
                </w:p>
                <w:p>
                  <w:pPr>
                    <w:widowControl w:val="0"/>
                    <w:jc w:val="left"/>
                    <w:rPr>
                      <w:rFonts w:ascii="宋体" w:hAnsi="宋体" w:eastAsia="宋体" w:cs="宋体"/>
                      <w:b w:val="0"/>
                      <w:kern w:val="2"/>
                      <w:sz w:val="21"/>
                      <w:szCs w:val="22"/>
                      <w:lang w:val="en-US" w:eastAsia="zh-CN" w:bidi="ar-SA"/>
                    </w:rPr>
                  </w:pPr>
                </w:p>
              </w:tc>
            </w:tr>
            <w:bookmarkEnd w:id="101"/>
          </w:tbl>
          <w:p>
            <w:pPr>
              <w:widowControl w:val="0"/>
              <w:jc w:val="both"/>
              <w:rPr>
                <w:rFonts w:hint="eastAsia" w:ascii="等线" w:hAnsi="等线" w:eastAsia="等线"/>
                <w:color w:val="000080"/>
                <w:kern w:val="2"/>
                <w:sz w:val="20"/>
                <w:szCs w:val="22"/>
                <w:highlight w:val="white"/>
                <w:lang w:val="en-US" w:eastAsia="zh-CN" w:bidi="ar-SA"/>
              </w:rPr>
            </w:pPr>
          </w:p>
          <w:p>
            <w:pPr>
              <w:widowControl w:val="0"/>
              <w:jc w:val="both"/>
              <w:rPr>
                <w:rFonts w:hint="eastAsia" w:ascii="等线" w:hAnsi="等线" w:eastAsia="等线"/>
                <w:kern w:val="2"/>
                <w:sz w:val="21"/>
                <w:szCs w:val="22"/>
                <w:highlight w:val="red"/>
                <w:lang w:val="en-US" w:eastAsia="zh-CN" w:bidi="ar-SA"/>
              </w:rPr>
            </w:pPr>
            <w:bookmarkStart w:id="102" w:name="EB67e7091d5dd5430c93849f6865a419db"/>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34"/>
              <w:gridCol w:w="6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2.1.1</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第二个信封（报价文件）评审标准：</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(1)开标形式性评审</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a.在投标函上填写了投标总价；</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b.投标人投标函所列标段与招标标段一致；</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c.投标报价未超出招标人公布的最高投标限价。</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d. 投标人在规定时间内进行解密投标文件第二信封（报价文件）；</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e.不同投标人的电子投标文件编制识别码不一致(若一致视投标人相互串通投标)。</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f.不同投标人提交电子投标文件IP地址不相同（若相同时能合理说明）；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g.不同投标人提交电子投标文件IP地址不在某一特定区域（若在某一特定区域时能合理说明）；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h.电子投标文件硬件信息不相同（若相同时能合理说明）。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(2)投标文件按照招标文件规定的格式、内容填写，字迹清晰可辨，内容齐全完整</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a.投标函按招标文件规定填报了项目名称、标段号、补遗书编号（如有）、投标价（包括大写金额和小写金额）；</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b.已标价报价清单说明文字与招标文件规定一致，未进行实质性修改和删减；</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c.投标文件组成齐全完整，内容均按规定填写</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(3)投标文件上法定代表人的签字（签名）或签名章（印章、签章）盖章、投标人的单位章盖章符合投标人须知第 3.7.3 项的规定</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(4)投标报价未超过招标文件设定的最高投标限价（如有）</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(5)投标报价的大写金额能够确定具体数值</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(6)同一投标人未提交两个以上不同的投标报价，但招标文件要求提交备选投标的除外</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p>
              </w:tc>
            </w:tr>
            <w:bookmarkEnd w:id="102"/>
          </w:tbl>
          <w:p>
            <w:pPr>
              <w:widowControl w:val="0"/>
              <w:jc w:val="both"/>
              <w:rPr>
                <w:rFonts w:hint="eastAsia" w:ascii="等线" w:hAnsi="等线" w:eastAsia="等线"/>
                <w:color w:val="000080"/>
                <w:kern w:val="2"/>
                <w:sz w:val="20"/>
                <w:szCs w:val="22"/>
                <w:highlight w:val="white"/>
                <w:lang w:val="en-US" w:eastAsia="zh-CN" w:bidi="ar-SA"/>
              </w:rPr>
            </w:pPr>
          </w:p>
          <w:p>
            <w:pPr>
              <w:widowControl w:val="0"/>
              <w:jc w:val="both"/>
              <w:rPr>
                <w:rFonts w:hint="eastAsia" w:ascii="等线" w:hAnsi="等线" w:eastAsia="等线"/>
                <w:kern w:val="2"/>
                <w:sz w:val="21"/>
                <w:szCs w:val="22"/>
                <w:highlight w:val="red"/>
                <w:lang w:val="en-US" w:eastAsia="zh-CN" w:bidi="ar-SA"/>
              </w:rPr>
            </w:pPr>
            <w:bookmarkStart w:id="103" w:name="EB7f048157d4f3480caed063e3bd17d568"/>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34"/>
              <w:gridCol w:w="6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条款号</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2.1.2</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资格评审标准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(1)投标人具备有效的营业执照、组织机构代码证、监理资质证书和基本账户开户许可证或基本存款账户信息</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(2)投标人的资质等级符合招标文件规定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(3)投标人的类似项目业绩符合招标文件规定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(4)投标人的信誉符合招标文件规定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(5)投标人的总监理工程师或驻地监理工程师资格、在岗情况符合招标文件规定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(6)投标人的其他要求符合招标文件规定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(7)投标人不存在第二章“投标人须知”第1.4.3项或第1.4.4项规定的任何一种情形</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(8)投标人符合第二章“投标人须知”第1.4.5项规定</w:t>
                  </w:r>
                </w:p>
                <w:p>
                  <w:pPr>
                    <w:widowControl w:val="0"/>
                    <w:jc w:val="left"/>
                    <w:rPr>
                      <w:rFonts w:ascii="宋体" w:hAnsi="宋体" w:eastAsia="宋体" w:cs="宋体"/>
                      <w:b w:val="0"/>
                      <w:kern w:val="2"/>
                      <w:sz w:val="21"/>
                      <w:szCs w:val="22"/>
                      <w:lang w:val="en-US" w:eastAsia="zh-CN" w:bidi="ar-SA"/>
                    </w:rPr>
                  </w:pPr>
                </w:p>
              </w:tc>
            </w:tr>
            <w:bookmarkEnd w:id="103"/>
          </w:tbl>
          <w:p>
            <w:pPr>
              <w:widowControl w:val="0"/>
              <w:jc w:val="both"/>
              <w:rPr>
                <w:rFonts w:hint="eastAsia" w:ascii="等线" w:hAnsi="等线" w:eastAsia="等线"/>
                <w:color w:val="000080"/>
                <w:kern w:val="2"/>
                <w:sz w:val="20"/>
                <w:szCs w:val="22"/>
                <w:highlight w:val="white"/>
                <w:lang w:val="en-US" w:eastAsia="zh-CN" w:bidi="ar-SA"/>
              </w:rPr>
            </w:pPr>
          </w:p>
        </w:tc>
      </w:tr>
    </w:tbl>
    <w:p>
      <w:pPr>
        <w:rPr>
          <w:highlight w:val="red"/>
        </w:rPr>
      </w:pPr>
      <w:bookmarkStart w:id="104" w:name="EBb7cdb1ebe4da41b88f888d52b2430dba"/>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2192"/>
        <w:gridCol w:w="5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kern w:val="2"/>
                <w:sz w:val="21"/>
                <w:szCs w:val="22"/>
                <w:lang w:val="en-US" w:eastAsia="zh-CN" w:bidi="ar-SA"/>
              </w:rPr>
            </w:pPr>
            <w:r>
              <w:rPr>
                <w:rFonts w:ascii="宋体" w:hAnsi="宋体" w:eastAsia="宋体" w:cs="宋体"/>
                <w:b/>
                <w:kern w:val="2"/>
                <w:sz w:val="21"/>
                <w:szCs w:val="22"/>
                <w:lang w:val="en-US" w:eastAsia="zh-CN" w:bidi="ar-SA"/>
              </w:rPr>
              <w:t>条款号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kern w:val="2"/>
                <w:sz w:val="21"/>
                <w:szCs w:val="22"/>
                <w:lang w:val="en-US" w:eastAsia="zh-CN" w:bidi="ar-SA"/>
              </w:rPr>
            </w:pPr>
            <w:r>
              <w:rPr>
                <w:rFonts w:ascii="宋体" w:hAnsi="宋体" w:eastAsia="宋体" w:cs="宋体"/>
                <w:b/>
                <w:kern w:val="2"/>
                <w:sz w:val="21"/>
                <w:szCs w:val="22"/>
                <w:lang w:val="en-US" w:eastAsia="zh-CN" w:bidi="ar-SA"/>
              </w:rPr>
              <w:t>条款内容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kern w:val="2"/>
                <w:sz w:val="21"/>
                <w:szCs w:val="22"/>
                <w:lang w:val="en-US" w:eastAsia="zh-CN" w:bidi="ar-SA"/>
              </w:rPr>
            </w:pPr>
            <w:r>
              <w:rPr>
                <w:rFonts w:ascii="宋体" w:hAnsi="宋体" w:eastAsia="宋体" w:cs="宋体"/>
                <w:b/>
                <w:kern w:val="2"/>
                <w:sz w:val="21"/>
                <w:szCs w:val="22"/>
                <w:lang w:val="en-US" w:eastAsia="zh-CN" w:bidi="ar-S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2.2.1</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分值构成</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（总分100.0分）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第一个信封（商务及技术文件）评分分值构成：</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技术建议书：30.0分</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主要人员：30.0分</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业绩 ：25分</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履约信誉 ：5分</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第二个信封（报价文件）评分分值构成：</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评标价 ：10.0 分</w:t>
            </w:r>
          </w:p>
        </w:tc>
      </w:tr>
      <w:bookmarkEnd w:id="104"/>
    </w:tbl>
    <w:p>
      <w:pPr>
        <w:rPr>
          <w:rFonts w:hint="eastAsia"/>
          <w:color w:val="000080"/>
          <w:sz w:val="20"/>
          <w:highlight w:val="white"/>
        </w:rPr>
      </w:pPr>
    </w:p>
    <w:tbl>
      <w:tblPr>
        <w:tblStyle w:val="11"/>
        <w:tblW w:w="88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418"/>
        <w:gridCol w:w="65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80" w:lineRule="atLeast"/>
              <w:jc w:val="center"/>
              <w:rPr>
                <w:rFonts w:ascii="等线" w:hAnsi="等线" w:eastAsia="等线"/>
                <w:kern w:val="2"/>
                <w:sz w:val="21"/>
                <w:szCs w:val="21"/>
                <w:lang w:val="en-US" w:eastAsia="zh-CN" w:bidi="ar-SA"/>
              </w:rPr>
            </w:pPr>
            <w:r>
              <w:rPr>
                <w:rFonts w:ascii="等线" w:hAnsi="等线" w:eastAsia="等线"/>
                <w:kern w:val="2"/>
                <w:sz w:val="21"/>
                <w:szCs w:val="21"/>
                <w:highlight w:val="white"/>
                <w:lang w:val="en-US" w:eastAsia="zh-CN" w:bidi="ar-SA"/>
              </w:rPr>
              <w:t>2.2.2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80" w:lineRule="atLeast"/>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评标基准价计算方法</w:t>
            </w:r>
          </w:p>
        </w:tc>
        <w:tc>
          <w:tcPr>
            <w:tcW w:w="651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jc w:val="both"/>
              <w:rPr>
                <w:rFonts w:ascii="等线" w:hAnsi="等线" w:eastAsia="黑体"/>
                <w:kern w:val="2"/>
                <w:sz w:val="21"/>
                <w:szCs w:val="21"/>
                <w:highlight w:val="red"/>
                <w:lang w:val="en-US" w:eastAsia="zh-CN" w:bidi="ar-SA"/>
              </w:rPr>
            </w:pPr>
            <w:bookmarkStart w:id="105" w:name="EBbfeaf33a69e1431a8ed3929657ae49e1"/>
          </w:p>
          <w:p>
            <w:pPr>
              <w:widowControl w:val="0"/>
              <w:jc w:val="both"/>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评标基准价计算方法：</w:t>
            </w:r>
          </w:p>
          <w:p>
            <w:pPr>
              <w:widowControl w:val="0"/>
              <w:jc w:val="both"/>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在开标现场，招标人将当场计算并宣布评标基准价。</w:t>
            </w:r>
          </w:p>
          <w:p>
            <w:pPr>
              <w:widowControl w:val="0"/>
              <w:jc w:val="both"/>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(1)评标价的确定：评标价=投标函文字报价</w:t>
            </w:r>
          </w:p>
          <w:p>
            <w:pPr>
              <w:widowControl w:val="0"/>
              <w:jc w:val="both"/>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(2)评标价平均值的计算：</w:t>
            </w:r>
          </w:p>
          <w:p>
            <w:pPr>
              <w:widowControl w:val="0"/>
              <w:jc w:val="both"/>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□方案一：按第一个信封（商务及技术文件）评审得分由高到低的 顺序选取前 3 名（若不足 3 名，则选取相应数量），对其第二个信封（报 价文件）的评标价作算术平均（根据第二章“投标人须知”第 5.2.4 项 规定在开标现场被宣布为不进入评标基准价计算的投标报价除外），将 该平均值作为评标价平均值；</w:t>
            </w:r>
          </w:p>
          <w:p>
            <w:pPr>
              <w:widowControl w:val="0"/>
              <w:jc w:val="both"/>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widowControl w:val="0"/>
              <w:jc w:val="both"/>
              <w:rPr>
                <w:rFonts w:ascii="宋体" w:hAnsi="宋体" w:eastAsia="宋体" w:cs="宋体"/>
                <w:kern w:val="2"/>
                <w:sz w:val="21"/>
                <w:szCs w:val="22"/>
                <w:lang w:val="en-US" w:eastAsia="zh-CN" w:bidi="ar-SA"/>
              </w:rPr>
            </w:pPr>
          </w:p>
          <w:bookmarkEnd w:id="105"/>
          <w:p>
            <w:pPr>
              <w:widowControl w:val="0"/>
              <w:spacing w:line="360" w:lineRule="atLeast"/>
              <w:jc w:val="both"/>
              <w:rPr>
                <w:rFonts w:hint="eastAsia" w:ascii="等线" w:hAnsi="等线" w:eastAsia="黑体"/>
                <w:color w:val="000080"/>
                <w:kern w:val="2"/>
                <w:sz w:val="20"/>
                <w:szCs w:val="21"/>
                <w:highlight w:val="white"/>
                <w:lang w:val="en-US" w:eastAsia="zh-CN" w:bidi="ar-SA"/>
              </w:rPr>
            </w:pPr>
          </w:p>
          <w:p>
            <w:pPr>
              <w:widowControl w:val="0"/>
              <w:spacing w:line="360" w:lineRule="atLeast"/>
              <w:jc w:val="both"/>
              <w:rPr>
                <w:rFonts w:ascii="等线" w:hAnsi="等线" w:eastAsia="黑体"/>
                <w:kern w:val="2"/>
                <w:sz w:val="21"/>
                <w:szCs w:val="21"/>
                <w:lang w:val="en-US" w:eastAsia="zh-CN" w:bidi="ar-SA"/>
              </w:rPr>
            </w:pPr>
            <w:r>
              <w:rPr>
                <w:rFonts w:ascii="等线" w:hAnsi="等线" w:eastAsia="黑体"/>
                <w:kern w:val="2"/>
                <w:sz w:val="21"/>
                <w:szCs w:val="21"/>
                <w:highlight w:val="white"/>
                <w:lang w:val="en-US" w:eastAsia="zh-CN" w:bidi="ar-SA"/>
              </w:rPr>
              <w:t>(3)</w:t>
            </w:r>
            <w:r>
              <w:rPr>
                <w:rFonts w:hint="eastAsia" w:ascii="等线" w:hAnsi="等线" w:eastAsia="黑体"/>
                <w:kern w:val="2"/>
                <w:sz w:val="21"/>
                <w:szCs w:val="21"/>
                <w:highlight w:val="white"/>
                <w:lang w:val="en-US" w:eastAsia="zh-CN" w:bidi="ar-SA"/>
              </w:rPr>
              <w:t>评标基准价的确定</w:t>
            </w:r>
            <w:r>
              <w:rPr>
                <w:rFonts w:ascii="等线" w:hAnsi="等线" w:eastAsia="黑体"/>
                <w:kern w:val="2"/>
                <w:sz w:val="21"/>
                <w:szCs w:val="21"/>
                <w:highlight w:val="white"/>
                <w:lang w:val="en-US" w:eastAsia="zh-CN" w:bidi="ar-SA"/>
              </w:rPr>
              <w:t>:</w:t>
            </w:r>
          </w:p>
          <w:p>
            <w:pPr>
              <w:widowControl w:val="0"/>
              <w:spacing w:line="360" w:lineRule="atLeast"/>
              <w:jc w:val="both"/>
              <w:rPr>
                <w:rFonts w:hint="eastAsia" w:ascii="等线" w:hAnsi="等线" w:eastAsia="黑体"/>
                <w:kern w:val="2"/>
                <w:sz w:val="21"/>
                <w:szCs w:val="21"/>
                <w:highlight w:val="red"/>
                <w:lang w:val="en-US" w:eastAsia="zh-CN" w:bidi="ar-SA"/>
              </w:rPr>
            </w:pPr>
            <w:bookmarkStart w:id="106" w:name="EBf4f9dd6018754dd6b3d9c07b676b6ac2"/>
            <w:r>
              <w:rPr>
                <w:rFonts w:hint="eastAsia" w:ascii="等线" w:hAnsi="等线" w:eastAsia="黑体"/>
                <w:color w:val="000080"/>
                <w:kern w:val="2"/>
                <w:sz w:val="20"/>
                <w:szCs w:val="21"/>
                <w:highlight w:val="white"/>
                <w:lang w:val="en-US" w:eastAsia="zh-CN" w:bidi="ar-SA"/>
              </w:rPr>
              <w:t>评标基准价=（最高投标限价×0.5+评标价平均值×0.5） ×（1-下浮系数）</w:t>
            </w:r>
            <w:bookmarkEnd w:id="106"/>
          </w:p>
          <w:p>
            <w:pPr>
              <w:widowControl w:val="0"/>
              <w:spacing w:line="360" w:lineRule="atLeast"/>
              <w:jc w:val="both"/>
              <w:rPr>
                <w:rFonts w:ascii="等线" w:hAnsi="等线" w:eastAsia="黑体"/>
                <w:kern w:val="2"/>
                <w:sz w:val="21"/>
                <w:szCs w:val="21"/>
                <w:lang w:val="en-US" w:eastAsia="zh-CN" w:bidi="ar-SA"/>
              </w:rPr>
            </w:pPr>
            <w:r>
              <w:rPr>
                <w:rFonts w:hint="eastAsia" w:ascii="等线" w:hAnsi="等线" w:eastAsia="黑体"/>
                <w:kern w:val="2"/>
                <w:sz w:val="21"/>
                <w:szCs w:val="21"/>
                <w:highlight w:val="white"/>
                <w:lang w:val="en-US" w:eastAsia="zh-CN" w:bidi="ar-SA"/>
              </w:rPr>
              <w:t>下浮系数将从</w:t>
            </w:r>
            <w:r>
              <w:rPr>
                <w:rFonts w:ascii="等线" w:hAnsi="等线" w:eastAsia="黑体"/>
                <w:kern w:val="2"/>
                <w:sz w:val="21"/>
                <w:szCs w:val="21"/>
                <w:highlight w:val="white"/>
                <w:lang w:val="en-US" w:eastAsia="zh-CN" w:bidi="ar-SA"/>
              </w:rPr>
              <w:t>1%~5%</w:t>
            </w:r>
            <w:r>
              <w:rPr>
                <w:rFonts w:hint="eastAsia" w:ascii="等线" w:hAnsi="等线" w:eastAsia="黑体"/>
                <w:kern w:val="2"/>
                <w:sz w:val="21"/>
                <w:szCs w:val="21"/>
                <w:highlight w:val="white"/>
                <w:lang w:val="en-US" w:eastAsia="zh-CN" w:bidi="ar-SA"/>
              </w:rPr>
              <w:t>中选取</w:t>
            </w:r>
            <w:r>
              <w:rPr>
                <w:rFonts w:ascii="等线" w:hAnsi="等线" w:eastAsia="黑体"/>
                <w:kern w:val="2"/>
                <w:sz w:val="21"/>
                <w:szCs w:val="21"/>
                <w:highlight w:val="white"/>
                <w:lang w:val="en-US" w:eastAsia="zh-CN" w:bidi="ar-SA"/>
              </w:rPr>
              <w:t>5</w:t>
            </w:r>
            <w:r>
              <w:rPr>
                <w:rFonts w:hint="eastAsia" w:ascii="等线" w:hAnsi="等线" w:eastAsia="黑体"/>
                <w:kern w:val="2"/>
                <w:sz w:val="21"/>
                <w:szCs w:val="21"/>
                <w:highlight w:val="white"/>
                <w:lang w:val="en-US" w:eastAsia="zh-CN" w:bidi="ar-SA"/>
              </w:rPr>
              <w:t>个数，步距不小于</w:t>
            </w:r>
            <w:r>
              <w:rPr>
                <w:rFonts w:ascii="等线" w:hAnsi="等线" w:eastAsia="黑体"/>
                <w:kern w:val="2"/>
                <w:sz w:val="21"/>
                <w:szCs w:val="21"/>
                <w:highlight w:val="white"/>
                <w:lang w:val="en-US" w:eastAsia="zh-CN" w:bidi="ar-SA"/>
              </w:rPr>
              <w:t>0.5%</w:t>
            </w:r>
            <w:r>
              <w:rPr>
                <w:rFonts w:hint="eastAsia" w:ascii="等线" w:hAnsi="等线" w:eastAsia="黑体"/>
                <w:kern w:val="2"/>
                <w:sz w:val="21"/>
                <w:szCs w:val="21"/>
                <w:highlight w:val="white"/>
                <w:lang w:val="en-US" w:eastAsia="zh-CN" w:bidi="ar-SA"/>
              </w:rPr>
              <w:t>，设置等差数列，并在开标时随机抽取。</w:t>
            </w:r>
            <w:r>
              <w:rPr>
                <w:rFonts w:ascii="等线" w:hAnsi="等线" w:eastAsia="黑体"/>
                <w:szCs w:val="21"/>
                <w:vertAlign w:val="superscript"/>
              </w:rPr>
              <w:footnoteReference w:id="7"/>
            </w:r>
          </w:p>
          <w:p>
            <w:pPr>
              <w:widowControl w:val="0"/>
              <w:spacing w:line="360" w:lineRule="atLeast"/>
              <w:jc w:val="both"/>
              <w:rPr>
                <w:rFonts w:ascii="等线" w:hAnsi="等线" w:eastAsia="黑体"/>
                <w:kern w:val="2"/>
                <w:sz w:val="21"/>
                <w:szCs w:val="21"/>
                <w:lang w:val="en-US" w:eastAsia="zh-CN" w:bidi="ar-SA"/>
              </w:rPr>
            </w:pPr>
            <w:r>
              <w:rPr>
                <w:rFonts w:hint="eastAsia" w:ascii="等线" w:hAnsi="等线" w:eastAsia="黑体"/>
                <w:kern w:val="2"/>
                <w:sz w:val="21"/>
                <w:szCs w:val="21"/>
                <w:highlight w:val="white"/>
                <w:lang w:val="en-US" w:eastAsia="zh-CN" w:bidi="ar-SA"/>
              </w:rPr>
              <w:t>如果投标人认为某一标段的评标基准价计算有误，</w:t>
            </w:r>
            <w:r>
              <w:rPr>
                <w:rFonts w:ascii="等线" w:hAnsi="等线" w:eastAsia="黑体"/>
                <w:kern w:val="2"/>
                <w:sz w:val="21"/>
                <w:szCs w:val="21"/>
                <w:highlight w:val="white"/>
                <w:lang w:val="en-US" w:eastAsia="zh-CN" w:bidi="ar-SA"/>
              </w:rPr>
              <w:t xml:space="preserve"> </w:t>
            </w:r>
            <w:r>
              <w:rPr>
                <w:rFonts w:hint="eastAsia" w:ascii="等线" w:hAnsi="等线" w:eastAsia="黑体"/>
                <w:kern w:val="2"/>
                <w:sz w:val="21"/>
                <w:szCs w:val="21"/>
                <w:highlight w:val="white"/>
                <w:lang w:val="en-US" w:eastAsia="zh-CN" w:bidi="ar-SA"/>
              </w:rPr>
              <w:t>有权在开标现场提出，经当场核实确认之后，可重新宣布评标基准价。</w:t>
            </w:r>
          </w:p>
          <w:p>
            <w:pPr>
              <w:widowControl w:val="0"/>
              <w:spacing w:line="340" w:lineRule="atLeast"/>
              <w:ind w:firstLine="420" w:firstLineChars="200"/>
              <w:jc w:val="both"/>
              <w:rPr>
                <w:rFonts w:ascii="等线" w:hAnsi="等线" w:eastAsia="等线"/>
                <w:kern w:val="2"/>
                <w:sz w:val="21"/>
                <w:szCs w:val="21"/>
                <w:lang w:val="en-US" w:eastAsia="zh-CN" w:bidi="ar-SA"/>
              </w:rPr>
            </w:pPr>
            <w:r>
              <w:rPr>
                <w:rFonts w:hint="eastAsia" w:ascii="等线" w:hAnsi="等线" w:eastAsia="黑体"/>
                <w:kern w:val="2"/>
                <w:sz w:val="21"/>
                <w:szCs w:val="21"/>
                <w:highlight w:val="white"/>
                <w:lang w:val="en-US" w:eastAsia="zh-CN" w:bidi="ar-SA"/>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80" w:lineRule="atLeast"/>
              <w:jc w:val="center"/>
              <w:rPr>
                <w:rFonts w:ascii="等线" w:hAnsi="等线" w:eastAsia="等线"/>
                <w:kern w:val="2"/>
                <w:sz w:val="21"/>
                <w:szCs w:val="21"/>
                <w:lang w:val="en-US" w:eastAsia="zh-CN" w:bidi="ar-SA"/>
              </w:rPr>
            </w:pPr>
            <w:r>
              <w:rPr>
                <w:rFonts w:ascii="等线" w:hAnsi="等线" w:eastAsia="等线"/>
                <w:kern w:val="2"/>
                <w:sz w:val="21"/>
                <w:szCs w:val="21"/>
                <w:highlight w:val="white"/>
                <w:lang w:val="en-US" w:eastAsia="zh-CN" w:bidi="ar-SA"/>
              </w:rPr>
              <w:t>2.2.3</w:t>
            </w:r>
          </w:p>
        </w:tc>
        <w:tc>
          <w:tcPr>
            <w:tcW w:w="1418" w:type="dxa"/>
            <w:tcBorders>
              <w:top w:val="single" w:color="auto" w:sz="4" w:space="0"/>
              <w:left w:val="nil"/>
              <w:bottom w:val="single" w:color="auto" w:sz="4" w:space="0"/>
              <w:right w:val="single" w:color="auto" w:sz="4" w:space="0"/>
            </w:tcBorders>
            <w:noWrap w:val="0"/>
            <w:vAlign w:val="center"/>
          </w:tcPr>
          <w:p>
            <w:pPr>
              <w:widowControl w:val="0"/>
              <w:spacing w:line="380" w:lineRule="atLeast"/>
              <w:ind w:left="-105" w:leftChars="-50" w:right="-105" w:rightChars="-50"/>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评标价的偏差率计算公式</w:t>
            </w:r>
          </w:p>
        </w:tc>
        <w:tc>
          <w:tcPr>
            <w:tcW w:w="651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40" w:lineRule="atLeast"/>
              <w:ind w:firstLine="420" w:firstLineChars="200"/>
              <w:jc w:val="both"/>
              <w:rPr>
                <w:rFonts w:ascii="等线" w:hAnsi="等线" w:eastAsia="黑体"/>
                <w:b/>
                <w:kern w:val="2"/>
                <w:sz w:val="21"/>
                <w:szCs w:val="21"/>
                <w:lang w:val="en-US" w:eastAsia="zh-CN" w:bidi="ar-SA"/>
              </w:rPr>
            </w:pPr>
            <w:r>
              <w:rPr>
                <w:rFonts w:hint="eastAsia" w:ascii="等线" w:hAnsi="等线" w:eastAsia="黑体"/>
                <w:kern w:val="2"/>
                <w:sz w:val="21"/>
                <w:szCs w:val="21"/>
                <w:highlight w:val="white"/>
                <w:lang w:val="en-US" w:eastAsia="zh-CN" w:bidi="ar-SA"/>
              </w:rPr>
              <w:t>偏差率</w:t>
            </w:r>
            <w:r>
              <w:rPr>
                <w:rFonts w:ascii="等线" w:hAnsi="等线" w:eastAsia="黑体"/>
                <w:kern w:val="2"/>
                <w:sz w:val="21"/>
                <w:szCs w:val="21"/>
                <w:highlight w:val="white"/>
                <w:lang w:val="en-US" w:eastAsia="zh-CN" w:bidi="ar-SA"/>
              </w:rPr>
              <w:t>=100% ×</w:t>
            </w:r>
            <w:r>
              <w:rPr>
                <w:rFonts w:hint="eastAsia" w:ascii="等线" w:hAnsi="等线" w:eastAsia="黑体"/>
                <w:kern w:val="2"/>
                <w:sz w:val="21"/>
                <w:szCs w:val="21"/>
                <w:highlight w:val="white"/>
                <w:lang w:val="en-US" w:eastAsia="zh-CN" w:bidi="ar-SA"/>
              </w:rPr>
              <w:t>（投标人评标价－评标基准价）</w:t>
            </w:r>
            <w:r>
              <w:rPr>
                <w:rFonts w:ascii="等线" w:hAnsi="等线" w:eastAsia="黑体"/>
                <w:kern w:val="2"/>
                <w:sz w:val="21"/>
                <w:szCs w:val="21"/>
                <w:highlight w:val="white"/>
                <w:lang w:val="en-US" w:eastAsia="zh-CN" w:bidi="ar-SA"/>
              </w:rPr>
              <w:t>/</w:t>
            </w:r>
            <w:r>
              <w:rPr>
                <w:rFonts w:hint="eastAsia" w:ascii="等线" w:hAnsi="等线" w:eastAsia="黑体"/>
                <w:kern w:val="2"/>
                <w:sz w:val="21"/>
                <w:szCs w:val="21"/>
                <w:highlight w:val="white"/>
                <w:lang w:val="en-US" w:eastAsia="zh-CN" w:bidi="ar-SA"/>
              </w:rPr>
              <w:t>评标基准价</w:t>
            </w:r>
          </w:p>
        </w:tc>
      </w:tr>
    </w:tbl>
    <w:p>
      <w:pPr>
        <w:rPr>
          <w:highlight w:val="red"/>
        </w:rPr>
      </w:pPr>
      <w:bookmarkStart w:id="107" w:name="EB92b8f3e50fdc41758ac9b6ab473484de"/>
      <w:bookmarkStart w:id="108" w:name="_Toc503235807"/>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525"/>
        <w:gridCol w:w="525"/>
        <w:gridCol w:w="702"/>
        <w:gridCol w:w="1231"/>
        <w:gridCol w:w="467"/>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条款号</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评审因素</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评分因素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评分因素</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权重分值</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各评分因素细分项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分值</w:t>
            </w: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2.2.4（1）</w:t>
            </w:r>
          </w:p>
        </w:tc>
        <w:tc>
          <w:tcPr>
            <w:tcW w:w="0" w:type="auto"/>
            <w:gridSpan w:val="2"/>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技术建议书</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30.0分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监理范围和服务内容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监理范围和服务内容满足基本要求，得3.2分，根据对所投标段各在建项目的监理服务范围理解和监理服务内容是否包含所有项目，并根据服务内容的科学性、合理性、可行性及全面性进行评审，酌情加0-0.8分，本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监理依据及工作目标</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监理依据及工作目标满足基本要求，得3.2分，根据监理依据是否全面及工作目标的合理性、可行性及全面性进行评审，酌情加0-0.8分，本项最高得4分。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监理机构设置、人员进场计划和人员岗位职责</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监理机构设置、人员进场计划和人员岗位职责标准满足基本要求，得3.2分，根据机构设置的合理性、可行性，人员进场计划的全面性、合理性及人员职责的明确性、合理性进行评审，酌情加0-0.8分，本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监理工作程序、方法和制度</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监理工作程序、方法和制度满足基本要求，得3.2分，分别对监理工作程序的合理性、可行性、全面性，监理方法的科学性、可行性和监理各项制度的科学性、是否严谨得力进行评审，酌情加0-0.8分，本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质量、进度、造价、水保监理措施</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质量、进度、造价、水保监理措施满足基本要求，得3.2分，质量、进度、造价、安全、水保监理措施比较明确、完善、合理的，酌情加0-0.8分，本项最高得4分。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合同、信息管理措施</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合同、信息管理措施满足基本要求，得3.2分，根据合同的签订管理、合同履行管理、合同变更管理、合同档案管理各项进行评审，酌情加0-0.8分，本项最高得4分。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组织协调内容及措施</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组织协调内容及措施满足基本要求，得1.6分，组织协调内容及措施合理，可行性高的，酌情加0-0.4分，本项最高得2分。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监理工作重点与难点分析及合理化建议</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监理工作重点与难点分析及合理化建议满足基本要求，得3.2分，监理工作重点与难点分析及合理化建议合理，可行性高的，酌情加0-0.8分，本项最高得4分。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2.2.4（2）</w:t>
            </w:r>
          </w:p>
        </w:tc>
        <w:tc>
          <w:tcPr>
            <w:tcW w:w="0" w:type="auto"/>
            <w:gridSpan w:val="2"/>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主要人员</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30.0分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总监理工程师任职资格与业绩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1、满足招标文件附录4资格审查条件（总监理工程师或驻地监理工程师最低要求），计16分；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2、近8年内（指递交投标文件截止之日前一日回溯8年）每增加担任过1个交通运输类项目水土保持施工监理项目总（或副总）监理工程师或驻地（副驻地）监理工程师职务的业绩，加2分，本项最多加4分。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注：1、以上业绩需提供合同协议书、验收文件和（或）委托人出具的证明材料（证明材料还需附证明联系人及联系方式），以上材料应能反映完成时间、承担的监理工作内容及总（或副总）监理工程师或驻地（副驻地）监理工程师职务信息。</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3、以上业绩计算以验收文件或项目委托人出具的证明材料所载明的时间为准。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专业监理工程师任职资格与业绩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1、满足招标文件附录4资格审查条件（其他主要监理人员最低要求），计8分；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2、近8年内（指递交投标文件截止之日前一日回溯8年）每增加担任过1个交通运输类项目水土保持施工监理项目专业监理工程师以上职务的业绩，加1分，本项最多加2分。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注：1、以上业绩需提供合同协议书、验收文件和（或）委托人出具的证明材料（证明材料还需附证明联系人及联系方式），以上材料应能反映完成时间、承担的监理工作内容及专业监理工程师职务信息。</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3、以上业绩计算以验收文件或项目委托人出具的证明材料所载明的时间为准。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2.2.4（3）</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评标价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10分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（1）如果投标人的评标价大于评标基准价，则评标价得分＝F－偏差率×100× E1；</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（2）如果投标人的评标价小于等于评标基准价，则评标价得分＝F＋偏差率× 100× E2。</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其中：F是评标价所占的权重分值，E1是评标价每高于评标基准价一个百分点的扣分值，E2是评标价每低于评标基准价一个百分点的扣分值，E1=0.2, E2=0.1</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评标基准价下浮系数将从1%、 1.5%、 2%、 2.5%、3%中选取，并在开标时随机抽取。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2.2.4（4）</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其他因素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25分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1、满足招标文件附录2资格审查条件（业绩最低要求）的，计20分；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2、近8年内（指递交投标文件截止之日前一日回溯8年）</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（1）每增加1个交通运输类项目水土保持工程施工监理业绩的加1.5分，最多加3分。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（3）每增加1个交通运输类项目水土保持监测业绩的加1分，最多加2分。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注：1、同一项目不重复加分，只按较高分记一次。</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2、业绩证明材料需提供合同协议书、验收文件和（或）委托人出具的证明材料（证明材料还需附证明联系人及联系方式）。以上材料应能反映完成时间、承担的监理或监测工作内容。</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3、以上业绩计算以验收文件或项目委托人出具的证明材料所载明的时间为准。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4、如近年来，投标人法人机构发生合法变更或重组或法人名称变更时，应提供相关部门的合法批件或其他相关证明材料来证明其所附业绩的继承性。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履约信誉</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（1）信用评价（5分）：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①投标人最近一年信用等级（全国）为AAA级或信用等级（湖南省）A+级的（100％），计5分；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②投标人最近一年信用等级（全国）为AA级或信用等级（湖南省）A级的（85％），计4.25分；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③投标人最近一年信用等级（全国）为A级或信用等级（湖南省）A-级的（70％），计3.5分；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④投标人最近一年信用等级（全国）为B级或信用等级（湖南省）B级的（55％），计2.75分；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⑤投标人最近一年信用等级（全国）为C级或信用等级（湖南省）C级的，计0分。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注：</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 xml:space="preserve">1. 投标人最近一年同时具有全国和湖南省水利建设市场主体信用评级的，信用等级得分以对应得分中较低的一个分数为准，如某投标人的信用等级（全国）为 AAA 级，信用等级（湖南省）为A-级，则其信用等级得分以信用等级（湖南省）A-级得分为准。 </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首次进入或未进入过湖南省水利建设市场、未申请过湖南省水利建设市场信用评价以及连续两年未在湖南省水利建设市场无在建项目登记的市场主体单位，其湖南省信用等级默认为B级；未取得全国水利建设市场主体信用评价证书的，在湖南省水利建设市场其全国信用等级视为B级。</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3、投标人提供相应的全国或湖南省信用评价情况证明材料。</w:t>
            </w:r>
          </w:p>
        </w:tc>
      </w:tr>
      <w:bookmarkEnd w:id="107"/>
    </w:tbl>
    <w:p>
      <w:pPr>
        <w:pStyle w:val="2"/>
        <w:rPr>
          <w:b w:val="0"/>
          <w:sz w:val="28"/>
          <w:szCs w:val="28"/>
        </w:rPr>
      </w:pPr>
      <w:bookmarkStart w:id="141" w:name="_GoBack"/>
      <w:bookmarkEnd w:id="141"/>
      <w:r>
        <w:rPr>
          <w:b w:val="0"/>
          <w:bCs/>
          <w:sz w:val="27"/>
          <w:szCs w:val="27"/>
          <w:highlight w:val="white"/>
        </w:rPr>
        <w:br w:type="page"/>
      </w:r>
      <w:bookmarkStart w:id="109" w:name="_Toc510015739"/>
      <w:bookmarkStart w:id="110" w:name="_Toc17366030"/>
      <w:r>
        <w:rPr>
          <w:b w:val="0"/>
          <w:sz w:val="28"/>
          <w:szCs w:val="28"/>
          <w:highlight w:val="white"/>
        </w:rPr>
        <w:t xml:space="preserve">1. </w:t>
      </w:r>
      <w:r>
        <w:rPr>
          <w:rFonts w:hint="eastAsia"/>
          <w:b w:val="0"/>
          <w:sz w:val="28"/>
          <w:szCs w:val="28"/>
          <w:highlight w:val="white"/>
        </w:rPr>
        <w:t>评标方法</w:t>
      </w:r>
      <w:bookmarkEnd w:id="108"/>
      <w:bookmarkEnd w:id="109"/>
      <w:bookmarkEnd w:id="110"/>
    </w:p>
    <w:p>
      <w:pPr>
        <w:spacing w:line="400" w:lineRule="atLeast"/>
        <w:ind w:firstLine="480" w:firstLineChars="200"/>
        <w:rPr>
          <w:sz w:val="24"/>
        </w:rPr>
      </w:pPr>
      <w:r>
        <w:rPr>
          <w:rFonts w:hint="eastAsia"/>
          <w:sz w:val="24"/>
          <w:highlight w:val="white"/>
        </w:rPr>
        <w:t>本次评标采用综合评估法。评标委员会对满足招标文件实质性要求的投标文件，按照本章第</w:t>
      </w:r>
      <w:r>
        <w:rPr>
          <w:sz w:val="24"/>
          <w:highlight w:val="white"/>
        </w:rPr>
        <w:t>2.2</w:t>
      </w:r>
      <w:r>
        <w:rPr>
          <w:rFonts w:hint="eastAsia"/>
          <w:sz w:val="24"/>
          <w:highlight w:val="white"/>
        </w:rPr>
        <w:t>款规定的评分标准进行打分，并按得分由高到低顺序推荐中标候选人，或根据招标人授权直接确定中标人，但投标报价低于其成本的除外。</w:t>
      </w:r>
      <w:r>
        <w:rPr>
          <w:rFonts w:hint="eastAsia" w:eastAsia="隶书"/>
          <w:sz w:val="24"/>
          <w:highlight w:val="white"/>
        </w:rPr>
        <w:t>综合评分相等时，评标委员会应按照评标办法前附表规定的优先次序推荐中标候选人或确定中标人。</w:t>
      </w:r>
    </w:p>
    <w:p>
      <w:pPr>
        <w:pStyle w:val="2"/>
        <w:rPr>
          <w:b w:val="0"/>
          <w:sz w:val="28"/>
          <w:szCs w:val="28"/>
        </w:rPr>
      </w:pPr>
      <w:bookmarkStart w:id="111" w:name="_Toc17366031"/>
      <w:bookmarkStart w:id="112" w:name="_Toc510015740"/>
      <w:bookmarkStart w:id="113" w:name="_Toc503235808"/>
      <w:r>
        <w:rPr>
          <w:b w:val="0"/>
          <w:sz w:val="28"/>
          <w:szCs w:val="28"/>
          <w:highlight w:val="white"/>
        </w:rPr>
        <w:t xml:space="preserve">2. </w:t>
      </w:r>
      <w:r>
        <w:rPr>
          <w:rFonts w:hint="eastAsia"/>
          <w:b w:val="0"/>
          <w:sz w:val="28"/>
          <w:szCs w:val="28"/>
          <w:highlight w:val="white"/>
        </w:rPr>
        <w:t>评审标准</w:t>
      </w:r>
      <w:bookmarkEnd w:id="111"/>
      <w:bookmarkEnd w:id="112"/>
      <w:bookmarkEnd w:id="113"/>
    </w:p>
    <w:p>
      <w:pPr>
        <w:pStyle w:val="4"/>
        <w:keepNext w:val="0"/>
        <w:jc w:val="left"/>
        <w:rPr>
          <w:rFonts w:eastAsia="黑体"/>
          <w:b/>
          <w:sz w:val="24"/>
          <w:szCs w:val="24"/>
        </w:rPr>
      </w:pPr>
      <w:bookmarkStart w:id="114" w:name="_Toc510015741"/>
      <w:bookmarkStart w:id="115" w:name="_Toc503235809"/>
      <w:r>
        <w:rPr>
          <w:rFonts w:eastAsia="黑体"/>
          <w:b/>
          <w:sz w:val="24"/>
          <w:szCs w:val="24"/>
          <w:highlight w:val="white"/>
        </w:rPr>
        <w:t xml:space="preserve">2.1 </w:t>
      </w:r>
      <w:r>
        <w:rPr>
          <w:rFonts w:hint="eastAsia" w:eastAsia="黑体"/>
          <w:b/>
          <w:sz w:val="24"/>
          <w:szCs w:val="24"/>
          <w:highlight w:val="white"/>
        </w:rPr>
        <w:t>初步评审标准</w:t>
      </w:r>
      <w:bookmarkEnd w:id="114"/>
      <w:bookmarkEnd w:id="115"/>
    </w:p>
    <w:p>
      <w:pPr>
        <w:spacing w:line="400" w:lineRule="atLeast"/>
        <w:ind w:firstLine="480" w:firstLineChars="200"/>
        <w:rPr>
          <w:sz w:val="24"/>
        </w:rPr>
      </w:pPr>
      <w:r>
        <w:rPr>
          <w:sz w:val="24"/>
          <w:highlight w:val="white"/>
        </w:rPr>
        <w:t xml:space="preserve">2.1.1 </w:t>
      </w:r>
      <w:r>
        <w:rPr>
          <w:rFonts w:hint="eastAsia"/>
          <w:sz w:val="24"/>
          <w:highlight w:val="white"/>
        </w:rPr>
        <w:t>形式评审标准：见评标办法前附表。</w:t>
      </w:r>
    </w:p>
    <w:p>
      <w:pPr>
        <w:spacing w:line="400" w:lineRule="atLeast"/>
        <w:ind w:firstLine="480" w:firstLineChars="200"/>
        <w:rPr>
          <w:rFonts w:eastAsia="隶书"/>
          <w:sz w:val="24"/>
        </w:rPr>
      </w:pPr>
      <w:r>
        <w:rPr>
          <w:rFonts w:eastAsia="隶书"/>
          <w:sz w:val="24"/>
          <w:highlight w:val="white"/>
        </w:rPr>
        <w:t xml:space="preserve">2.1.2 </w:t>
      </w:r>
      <w:r>
        <w:rPr>
          <w:rFonts w:hint="eastAsia" w:eastAsia="隶书"/>
          <w:sz w:val="24"/>
          <w:highlight w:val="white"/>
        </w:rPr>
        <w:t>资格评审标准：见评标办法前附表。（适用于未进行资格预审的）</w:t>
      </w:r>
    </w:p>
    <w:p>
      <w:pPr>
        <w:spacing w:line="400" w:lineRule="atLeast"/>
        <w:ind w:firstLine="480" w:firstLineChars="200"/>
        <w:rPr>
          <w:sz w:val="24"/>
        </w:rPr>
      </w:pPr>
      <w:r>
        <w:rPr>
          <w:rFonts w:eastAsia="隶书"/>
          <w:sz w:val="24"/>
          <w:highlight w:val="white"/>
        </w:rPr>
        <w:t xml:space="preserve">2.1.2 </w:t>
      </w:r>
      <w:r>
        <w:rPr>
          <w:rFonts w:hint="eastAsia" w:eastAsia="隶书"/>
          <w:sz w:val="24"/>
          <w:highlight w:val="white"/>
        </w:rPr>
        <w:t>资格评审标准：见资格预审文件第三章</w:t>
      </w:r>
      <w:r>
        <w:rPr>
          <w:rFonts w:eastAsia="隶书"/>
          <w:sz w:val="24"/>
          <w:highlight w:val="white"/>
        </w:rPr>
        <w:t>“</w:t>
      </w:r>
      <w:r>
        <w:rPr>
          <w:rFonts w:hint="eastAsia" w:eastAsia="隶书"/>
          <w:sz w:val="24"/>
          <w:highlight w:val="white"/>
        </w:rPr>
        <w:t>资格审查办法</w:t>
      </w:r>
      <w:r>
        <w:rPr>
          <w:rFonts w:eastAsia="隶书"/>
          <w:sz w:val="24"/>
          <w:highlight w:val="white"/>
        </w:rPr>
        <w:t>”</w:t>
      </w:r>
      <w:r>
        <w:rPr>
          <w:rFonts w:hint="eastAsia" w:eastAsia="隶书"/>
          <w:sz w:val="24"/>
          <w:highlight w:val="white"/>
        </w:rPr>
        <w:t>详细审查标准。（适用于已进行资格预审的）</w:t>
      </w:r>
    </w:p>
    <w:p>
      <w:pPr>
        <w:spacing w:line="400" w:lineRule="atLeast"/>
        <w:ind w:firstLine="480" w:firstLineChars="200"/>
        <w:rPr>
          <w:sz w:val="24"/>
        </w:rPr>
      </w:pPr>
      <w:r>
        <w:rPr>
          <w:sz w:val="24"/>
          <w:highlight w:val="white"/>
        </w:rPr>
        <w:t xml:space="preserve">2.1.3 </w:t>
      </w:r>
      <w:r>
        <w:rPr>
          <w:rFonts w:hint="eastAsia"/>
          <w:sz w:val="24"/>
          <w:highlight w:val="white"/>
        </w:rPr>
        <w:t>响应性评审标准：见评标办法前附表。</w:t>
      </w:r>
    </w:p>
    <w:p>
      <w:pPr>
        <w:pStyle w:val="4"/>
        <w:keepNext w:val="0"/>
        <w:jc w:val="left"/>
        <w:rPr>
          <w:rFonts w:eastAsia="黑体"/>
          <w:b/>
          <w:sz w:val="24"/>
          <w:szCs w:val="24"/>
        </w:rPr>
      </w:pPr>
      <w:bookmarkStart w:id="116" w:name="_Toc503235810"/>
      <w:bookmarkStart w:id="117" w:name="_Toc510015742"/>
      <w:r>
        <w:rPr>
          <w:rFonts w:eastAsia="黑体"/>
          <w:b/>
          <w:sz w:val="24"/>
          <w:szCs w:val="24"/>
          <w:highlight w:val="white"/>
        </w:rPr>
        <w:t xml:space="preserve">2.2 </w:t>
      </w:r>
      <w:r>
        <w:rPr>
          <w:rFonts w:hint="eastAsia" w:eastAsia="黑体"/>
          <w:b/>
          <w:sz w:val="24"/>
          <w:szCs w:val="24"/>
          <w:highlight w:val="white"/>
        </w:rPr>
        <w:t>分值构成与评分标准</w:t>
      </w:r>
      <w:bookmarkEnd w:id="116"/>
      <w:bookmarkEnd w:id="117"/>
    </w:p>
    <w:p>
      <w:pPr>
        <w:tabs>
          <w:tab w:val="left" w:pos="360"/>
        </w:tabs>
        <w:spacing w:line="400" w:lineRule="atLeast"/>
        <w:ind w:firstLine="480" w:firstLineChars="200"/>
        <w:rPr>
          <w:sz w:val="24"/>
        </w:rPr>
      </w:pPr>
      <w:r>
        <w:rPr>
          <w:sz w:val="24"/>
          <w:highlight w:val="white"/>
        </w:rPr>
        <w:t xml:space="preserve">2.2.1 </w:t>
      </w:r>
      <w:r>
        <w:rPr>
          <w:rFonts w:hint="eastAsia" w:eastAsia="黑体"/>
          <w:sz w:val="24"/>
          <w:highlight w:val="white"/>
        </w:rPr>
        <w:t>分值构成</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1</w:t>
      </w:r>
      <w:r>
        <w:rPr>
          <w:rFonts w:hint="eastAsia" w:eastAsia="隶书"/>
          <w:sz w:val="24"/>
          <w:highlight w:val="white"/>
        </w:rPr>
        <w:t>）技术建议书：见评标办法前附表；</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2</w:t>
      </w:r>
      <w:r>
        <w:rPr>
          <w:rFonts w:hint="eastAsia" w:eastAsia="隶书"/>
          <w:sz w:val="24"/>
          <w:highlight w:val="white"/>
        </w:rPr>
        <w:t>）主要人员：见评标办法前附表；</w:t>
      </w:r>
    </w:p>
    <w:p>
      <w:pPr>
        <w:spacing w:line="400" w:lineRule="atLeast"/>
        <w:ind w:firstLine="480" w:firstLineChars="200"/>
        <w:rPr>
          <w:sz w:val="24"/>
        </w:rPr>
      </w:pPr>
      <w:r>
        <w:rPr>
          <w:rFonts w:hint="eastAsia"/>
          <w:sz w:val="24"/>
          <w:highlight w:val="white"/>
        </w:rPr>
        <w:t>（</w:t>
      </w:r>
      <w:r>
        <w:rPr>
          <w:sz w:val="24"/>
          <w:highlight w:val="white"/>
        </w:rPr>
        <w:t>3</w:t>
      </w:r>
      <w:r>
        <w:rPr>
          <w:rFonts w:hint="eastAsia"/>
          <w:sz w:val="24"/>
          <w:highlight w:val="white"/>
        </w:rPr>
        <w:t>）</w:t>
      </w:r>
      <w:r>
        <w:rPr>
          <w:rFonts w:hint="eastAsia" w:eastAsia="隶书"/>
          <w:sz w:val="24"/>
          <w:highlight w:val="white"/>
        </w:rPr>
        <w:t>评标价：</w:t>
      </w:r>
      <w:r>
        <w:rPr>
          <w:rFonts w:hint="eastAsia"/>
          <w:sz w:val="24"/>
          <w:highlight w:val="white"/>
        </w:rPr>
        <w:t>见评标办法前附表；</w:t>
      </w:r>
    </w:p>
    <w:p>
      <w:pPr>
        <w:spacing w:line="400" w:lineRule="atLeast"/>
        <w:ind w:firstLine="480" w:firstLineChars="200"/>
        <w:rPr>
          <w:sz w:val="24"/>
        </w:rPr>
      </w:pPr>
      <w:r>
        <w:rPr>
          <w:rFonts w:hint="eastAsia"/>
          <w:sz w:val="24"/>
          <w:highlight w:val="white"/>
        </w:rPr>
        <w:t>（</w:t>
      </w:r>
      <w:r>
        <w:rPr>
          <w:sz w:val="24"/>
          <w:highlight w:val="white"/>
        </w:rPr>
        <w:t>4</w:t>
      </w:r>
      <w:r>
        <w:rPr>
          <w:rFonts w:hint="eastAsia"/>
          <w:sz w:val="24"/>
          <w:highlight w:val="white"/>
        </w:rPr>
        <w:t>）其他评分因素：见评标办法前附表。</w:t>
      </w:r>
    </w:p>
    <w:p>
      <w:pPr>
        <w:spacing w:line="400" w:lineRule="atLeast"/>
        <w:ind w:firstLine="480" w:firstLineChars="200"/>
        <w:rPr>
          <w:sz w:val="24"/>
        </w:rPr>
      </w:pPr>
      <w:r>
        <w:rPr>
          <w:sz w:val="24"/>
          <w:highlight w:val="white"/>
        </w:rPr>
        <w:t xml:space="preserve">2.2.2 </w:t>
      </w:r>
      <w:r>
        <w:rPr>
          <w:rFonts w:hint="eastAsia" w:eastAsia="黑体"/>
          <w:sz w:val="24"/>
          <w:highlight w:val="white"/>
        </w:rPr>
        <w:t>评标基准价计算</w:t>
      </w:r>
    </w:p>
    <w:p>
      <w:pPr>
        <w:spacing w:line="400" w:lineRule="atLeast"/>
        <w:ind w:firstLine="480" w:firstLineChars="200"/>
        <w:rPr>
          <w:sz w:val="24"/>
        </w:rPr>
      </w:pPr>
      <w:r>
        <w:rPr>
          <w:rFonts w:hint="eastAsia"/>
          <w:sz w:val="24"/>
          <w:highlight w:val="white"/>
        </w:rPr>
        <w:t>评标基准价计算方法：见评标办法前附表。</w:t>
      </w:r>
    </w:p>
    <w:p>
      <w:pPr>
        <w:spacing w:line="400" w:lineRule="atLeast"/>
        <w:ind w:firstLine="480" w:firstLineChars="200"/>
        <w:rPr>
          <w:sz w:val="24"/>
        </w:rPr>
      </w:pPr>
      <w:r>
        <w:rPr>
          <w:sz w:val="24"/>
          <w:highlight w:val="white"/>
        </w:rPr>
        <w:t xml:space="preserve">2.2.3 </w:t>
      </w:r>
      <w:r>
        <w:rPr>
          <w:rFonts w:hint="eastAsia" w:eastAsia="黑体"/>
          <w:sz w:val="24"/>
          <w:highlight w:val="white"/>
        </w:rPr>
        <w:t>评标价的偏差率计算</w:t>
      </w:r>
    </w:p>
    <w:p>
      <w:pPr>
        <w:spacing w:line="400" w:lineRule="atLeast"/>
        <w:ind w:firstLine="480" w:firstLineChars="200"/>
        <w:rPr>
          <w:sz w:val="24"/>
        </w:rPr>
      </w:pPr>
      <w:r>
        <w:rPr>
          <w:rFonts w:hint="eastAsia" w:eastAsia="隶书"/>
          <w:sz w:val="24"/>
          <w:highlight w:val="white"/>
        </w:rPr>
        <w:t>评标价的偏差率计算公式</w:t>
      </w:r>
      <w:r>
        <w:rPr>
          <w:rFonts w:hint="eastAsia"/>
          <w:sz w:val="24"/>
          <w:highlight w:val="white"/>
        </w:rPr>
        <w:t>：见评标办法前附表。</w:t>
      </w:r>
    </w:p>
    <w:p>
      <w:pPr>
        <w:spacing w:line="400" w:lineRule="atLeast"/>
        <w:ind w:firstLine="480" w:firstLineChars="200"/>
        <w:rPr>
          <w:sz w:val="24"/>
        </w:rPr>
      </w:pPr>
      <w:r>
        <w:rPr>
          <w:sz w:val="24"/>
          <w:highlight w:val="white"/>
        </w:rPr>
        <w:t xml:space="preserve">2.2.4 </w:t>
      </w:r>
      <w:r>
        <w:rPr>
          <w:rFonts w:hint="eastAsia" w:eastAsia="黑体"/>
          <w:sz w:val="24"/>
          <w:highlight w:val="white"/>
        </w:rPr>
        <w:t>评分标准</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1</w:t>
      </w:r>
      <w:r>
        <w:rPr>
          <w:rFonts w:hint="eastAsia" w:eastAsia="隶书"/>
          <w:sz w:val="24"/>
          <w:highlight w:val="white"/>
        </w:rPr>
        <w:t>）技术建议书评分标准：见评标办法前附表；</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2</w:t>
      </w:r>
      <w:r>
        <w:rPr>
          <w:rFonts w:hint="eastAsia" w:eastAsia="隶书"/>
          <w:sz w:val="24"/>
          <w:highlight w:val="white"/>
        </w:rPr>
        <w:t>）主要人员评分标准：见评标办法前附表；</w:t>
      </w:r>
    </w:p>
    <w:p>
      <w:pPr>
        <w:spacing w:line="400" w:lineRule="atLeast"/>
        <w:ind w:firstLine="480" w:firstLineChars="200"/>
        <w:rPr>
          <w:sz w:val="24"/>
        </w:rPr>
      </w:pPr>
      <w:r>
        <w:rPr>
          <w:rFonts w:hint="eastAsia"/>
          <w:sz w:val="24"/>
          <w:highlight w:val="white"/>
        </w:rPr>
        <w:t>（</w:t>
      </w:r>
      <w:r>
        <w:rPr>
          <w:sz w:val="24"/>
          <w:highlight w:val="white"/>
        </w:rPr>
        <w:t>3</w:t>
      </w:r>
      <w:r>
        <w:rPr>
          <w:rFonts w:hint="eastAsia"/>
          <w:sz w:val="24"/>
          <w:highlight w:val="white"/>
        </w:rPr>
        <w:t>）</w:t>
      </w:r>
      <w:r>
        <w:rPr>
          <w:rFonts w:hint="eastAsia" w:eastAsia="隶书"/>
          <w:sz w:val="24"/>
          <w:highlight w:val="white"/>
        </w:rPr>
        <w:t>评标价评分标准</w:t>
      </w:r>
      <w:r>
        <w:rPr>
          <w:rFonts w:hint="eastAsia"/>
          <w:sz w:val="24"/>
          <w:highlight w:val="white"/>
        </w:rPr>
        <w:t>：见评标办法前附表；</w:t>
      </w:r>
    </w:p>
    <w:p>
      <w:pPr>
        <w:spacing w:line="400" w:lineRule="atLeast"/>
        <w:ind w:firstLine="480" w:firstLineChars="200"/>
        <w:rPr>
          <w:sz w:val="24"/>
        </w:rPr>
      </w:pPr>
      <w:r>
        <w:rPr>
          <w:rFonts w:hint="eastAsia"/>
          <w:sz w:val="24"/>
          <w:highlight w:val="white"/>
        </w:rPr>
        <w:t>（</w:t>
      </w:r>
      <w:r>
        <w:rPr>
          <w:sz w:val="24"/>
          <w:highlight w:val="white"/>
        </w:rPr>
        <w:t>4</w:t>
      </w:r>
      <w:r>
        <w:rPr>
          <w:rFonts w:hint="eastAsia"/>
          <w:sz w:val="24"/>
          <w:highlight w:val="white"/>
        </w:rPr>
        <w:t>）其他因素评分标准：见评标办法前附表。</w:t>
      </w:r>
    </w:p>
    <w:p>
      <w:pPr>
        <w:pStyle w:val="2"/>
        <w:rPr>
          <w:b w:val="0"/>
          <w:sz w:val="28"/>
          <w:szCs w:val="28"/>
        </w:rPr>
      </w:pPr>
      <w:bookmarkStart w:id="118" w:name="_Toc510015743"/>
      <w:bookmarkStart w:id="119" w:name="_Toc503235811"/>
      <w:bookmarkStart w:id="120" w:name="_Toc17366032"/>
      <w:r>
        <w:rPr>
          <w:b w:val="0"/>
          <w:sz w:val="28"/>
          <w:szCs w:val="28"/>
          <w:highlight w:val="white"/>
        </w:rPr>
        <w:t xml:space="preserve">3. </w:t>
      </w:r>
      <w:r>
        <w:rPr>
          <w:rFonts w:hint="eastAsia"/>
          <w:b w:val="0"/>
          <w:sz w:val="28"/>
          <w:szCs w:val="28"/>
          <w:highlight w:val="white"/>
        </w:rPr>
        <w:t>评标程序</w:t>
      </w:r>
      <w:bookmarkEnd w:id="118"/>
      <w:bookmarkEnd w:id="119"/>
      <w:bookmarkEnd w:id="120"/>
    </w:p>
    <w:p>
      <w:pPr>
        <w:pStyle w:val="4"/>
        <w:keepNext w:val="0"/>
        <w:jc w:val="left"/>
        <w:rPr>
          <w:rFonts w:eastAsia="黑体"/>
          <w:b/>
          <w:sz w:val="24"/>
          <w:szCs w:val="24"/>
        </w:rPr>
      </w:pPr>
      <w:bookmarkStart w:id="121" w:name="_Toc510015744"/>
      <w:bookmarkStart w:id="122" w:name="_Toc503235812"/>
      <w:r>
        <w:rPr>
          <w:rFonts w:eastAsia="黑体"/>
          <w:b/>
          <w:sz w:val="24"/>
          <w:szCs w:val="24"/>
          <w:highlight w:val="white"/>
        </w:rPr>
        <w:t xml:space="preserve">3.1 </w:t>
      </w:r>
      <w:r>
        <w:rPr>
          <w:rFonts w:hint="eastAsia" w:eastAsia="黑体"/>
          <w:b/>
          <w:sz w:val="24"/>
          <w:szCs w:val="24"/>
          <w:highlight w:val="white"/>
        </w:rPr>
        <w:t>第一个信封初步评审</w:t>
      </w:r>
      <w:bookmarkEnd w:id="121"/>
      <w:bookmarkEnd w:id="122"/>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 xml:space="preserve">3.1.1 </w:t>
      </w:r>
      <w:r>
        <w:rPr>
          <w:rFonts w:hint="eastAsia" w:eastAsia="隶书"/>
          <w:sz w:val="24"/>
          <w:highlight w:val="white"/>
        </w:rPr>
        <w:t>评标委员会可以要求投标人提交第二章</w:t>
      </w:r>
      <w:r>
        <w:rPr>
          <w:rFonts w:eastAsia="隶书"/>
          <w:sz w:val="24"/>
          <w:highlight w:val="white"/>
        </w:rPr>
        <w:t>“</w:t>
      </w:r>
      <w:r>
        <w:rPr>
          <w:rFonts w:hint="eastAsia" w:eastAsia="隶书"/>
          <w:sz w:val="24"/>
          <w:highlight w:val="white"/>
        </w:rPr>
        <w:t>投标人须知</w:t>
      </w:r>
      <w:r>
        <w:rPr>
          <w:rFonts w:eastAsia="隶书"/>
          <w:sz w:val="24"/>
          <w:highlight w:val="white"/>
        </w:rPr>
        <w:t>”</w:t>
      </w:r>
      <w:r>
        <w:rPr>
          <w:rFonts w:hint="eastAsia" w:eastAsia="隶书"/>
          <w:sz w:val="24"/>
          <w:highlight w:val="white"/>
        </w:rPr>
        <w:t>第</w:t>
      </w:r>
      <w:r>
        <w:rPr>
          <w:rFonts w:eastAsia="隶书"/>
          <w:sz w:val="24"/>
          <w:highlight w:val="white"/>
        </w:rPr>
        <w:t>3.5.1</w:t>
      </w:r>
      <w:r>
        <w:rPr>
          <w:rFonts w:hint="eastAsia" w:eastAsia="隶书"/>
          <w:sz w:val="24"/>
          <w:highlight w:val="white"/>
        </w:rPr>
        <w:t>项至第</w:t>
      </w:r>
      <w:r>
        <w:rPr>
          <w:rFonts w:eastAsia="隶书"/>
          <w:sz w:val="24"/>
          <w:highlight w:val="white"/>
        </w:rPr>
        <w:t>3.5.5</w:t>
      </w:r>
      <w:r>
        <w:rPr>
          <w:rFonts w:hint="eastAsia" w:eastAsia="隶书"/>
          <w:sz w:val="24"/>
          <w:highlight w:val="white"/>
        </w:rPr>
        <w:t>项规定的有关证明和证件的原件，以便核验。评标委员会依据本章第</w:t>
      </w:r>
      <w:r>
        <w:rPr>
          <w:rFonts w:eastAsia="隶书"/>
          <w:sz w:val="24"/>
          <w:highlight w:val="white"/>
        </w:rPr>
        <w:t>2.1</w:t>
      </w:r>
      <w:r>
        <w:rPr>
          <w:rFonts w:hint="eastAsia" w:eastAsia="隶书"/>
          <w:sz w:val="24"/>
          <w:highlight w:val="white"/>
        </w:rPr>
        <w:t>款规定的标准对投标文件第一个信封（商务及技术文件）进行初步评审。有一项不符合评审标准的，评标委员会应否决其投标。（适用于未进行资格预审的）</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 xml:space="preserve">3.1.1 </w:t>
      </w:r>
      <w:r>
        <w:rPr>
          <w:rFonts w:hint="eastAsia" w:eastAsia="隶书"/>
          <w:sz w:val="24"/>
          <w:highlight w:val="white"/>
        </w:rPr>
        <w:t>评标委员会依据本章第</w:t>
      </w:r>
      <w:r>
        <w:rPr>
          <w:rFonts w:eastAsia="隶书"/>
          <w:sz w:val="24"/>
          <w:highlight w:val="white"/>
        </w:rPr>
        <w:t>2.1.1</w:t>
      </w:r>
      <w:r>
        <w:rPr>
          <w:rFonts w:hint="eastAsia" w:eastAsia="隶书"/>
          <w:sz w:val="24"/>
          <w:highlight w:val="white"/>
        </w:rPr>
        <w:t>项、第</w:t>
      </w:r>
      <w:r>
        <w:rPr>
          <w:rFonts w:eastAsia="隶书"/>
          <w:sz w:val="24"/>
          <w:highlight w:val="white"/>
        </w:rPr>
        <w:t>2.1.3</w:t>
      </w:r>
      <w:r>
        <w:rPr>
          <w:rFonts w:hint="eastAsia" w:eastAsia="隶书"/>
          <w:sz w:val="24"/>
          <w:highlight w:val="white"/>
        </w:rPr>
        <w:t>项规定的评审标准对投标文件第一个信封（商务及技术文件）进行初步评审。有一项不符合评审标准的，评标委员会应否决其投标。当投标人资格预审申请文件的内容发生重大变化时，评标委员会依据本章第</w:t>
      </w:r>
      <w:r>
        <w:rPr>
          <w:rFonts w:eastAsia="隶书"/>
          <w:sz w:val="24"/>
          <w:highlight w:val="white"/>
        </w:rPr>
        <w:t>2.1.2</w:t>
      </w:r>
      <w:r>
        <w:rPr>
          <w:rFonts w:hint="eastAsia" w:eastAsia="隶书"/>
          <w:sz w:val="24"/>
          <w:highlight w:val="white"/>
        </w:rPr>
        <w:t>项规定的标准对其更新资料进行评审。（适用于已进行资格预审的）</w:t>
      </w:r>
    </w:p>
    <w:p>
      <w:pPr>
        <w:pStyle w:val="4"/>
        <w:keepNext w:val="0"/>
        <w:jc w:val="left"/>
        <w:rPr>
          <w:rFonts w:eastAsia="黑体"/>
          <w:b/>
          <w:sz w:val="24"/>
          <w:szCs w:val="24"/>
        </w:rPr>
      </w:pPr>
      <w:bookmarkStart w:id="123" w:name="_Toc503235813"/>
      <w:bookmarkStart w:id="124" w:name="_Toc510015745"/>
      <w:r>
        <w:rPr>
          <w:rFonts w:eastAsia="黑体"/>
          <w:b/>
          <w:sz w:val="24"/>
          <w:szCs w:val="24"/>
          <w:highlight w:val="white"/>
        </w:rPr>
        <w:t xml:space="preserve">3.2 </w:t>
      </w:r>
      <w:r>
        <w:rPr>
          <w:rFonts w:hint="eastAsia" w:eastAsia="黑体"/>
          <w:b/>
          <w:sz w:val="24"/>
          <w:szCs w:val="24"/>
          <w:highlight w:val="white"/>
        </w:rPr>
        <w:t>第一个信封详细评审</w:t>
      </w:r>
      <w:bookmarkEnd w:id="123"/>
      <w:bookmarkEnd w:id="124"/>
    </w:p>
    <w:p>
      <w:pPr>
        <w:spacing w:line="400" w:lineRule="atLeast"/>
        <w:ind w:firstLine="480" w:firstLineChars="200"/>
        <w:rPr>
          <w:rFonts w:eastAsia="隶书"/>
          <w:sz w:val="24"/>
        </w:rPr>
      </w:pPr>
      <w:r>
        <w:rPr>
          <w:rFonts w:eastAsia="隶书"/>
          <w:sz w:val="24"/>
          <w:highlight w:val="white"/>
        </w:rPr>
        <w:t xml:space="preserve">3.2.1 </w:t>
      </w:r>
      <w:r>
        <w:rPr>
          <w:rFonts w:hint="eastAsia" w:eastAsia="隶书"/>
          <w:sz w:val="24"/>
          <w:highlight w:val="white"/>
        </w:rPr>
        <w:t>评标委员会按本章第</w:t>
      </w:r>
      <w:r>
        <w:rPr>
          <w:rFonts w:eastAsia="隶书"/>
          <w:sz w:val="24"/>
          <w:highlight w:val="white"/>
        </w:rPr>
        <w:t>2.2</w:t>
      </w:r>
      <w:r>
        <w:rPr>
          <w:rFonts w:hint="eastAsia" w:eastAsia="隶书"/>
          <w:sz w:val="24"/>
          <w:highlight w:val="white"/>
        </w:rPr>
        <w:t>款规定的量化因素和分值进行打分，并计算出各投标人的商务和技术得分。</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1</w:t>
      </w:r>
      <w:r>
        <w:rPr>
          <w:rFonts w:hint="eastAsia" w:eastAsia="隶书"/>
          <w:sz w:val="24"/>
          <w:highlight w:val="white"/>
        </w:rPr>
        <w:t>）按本章第</w:t>
      </w:r>
      <w:r>
        <w:rPr>
          <w:rFonts w:eastAsia="隶书"/>
          <w:sz w:val="24"/>
          <w:highlight w:val="white"/>
        </w:rPr>
        <w:t>2.2.4</w:t>
      </w:r>
      <w:r>
        <w:rPr>
          <w:rFonts w:hint="eastAsia" w:eastAsia="隶书"/>
          <w:sz w:val="24"/>
          <w:highlight w:val="white"/>
        </w:rPr>
        <w:t>项（</w:t>
      </w:r>
      <w:r>
        <w:rPr>
          <w:rFonts w:eastAsia="隶书"/>
          <w:sz w:val="24"/>
          <w:highlight w:val="white"/>
        </w:rPr>
        <w:t>1</w:t>
      </w:r>
      <w:r>
        <w:rPr>
          <w:rFonts w:hint="eastAsia" w:eastAsia="隶书"/>
          <w:sz w:val="24"/>
          <w:highlight w:val="white"/>
        </w:rPr>
        <w:t>）目规定的评审因素和分值对技术建议书部分计算出得分</w:t>
      </w:r>
      <w:r>
        <w:rPr>
          <w:rFonts w:eastAsia="隶书"/>
          <w:sz w:val="24"/>
          <w:highlight w:val="white"/>
        </w:rPr>
        <w:t>A</w:t>
      </w:r>
      <w:r>
        <w:rPr>
          <w:rFonts w:hint="eastAsia" w:eastAsia="隶书"/>
          <w:sz w:val="24"/>
          <w:highlight w:val="white"/>
        </w:rPr>
        <w:t>；</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2</w:t>
      </w:r>
      <w:r>
        <w:rPr>
          <w:rFonts w:hint="eastAsia" w:eastAsia="隶书"/>
          <w:sz w:val="24"/>
          <w:highlight w:val="white"/>
        </w:rPr>
        <w:t>）按本章第</w:t>
      </w:r>
      <w:r>
        <w:rPr>
          <w:rFonts w:eastAsia="隶书"/>
          <w:sz w:val="24"/>
          <w:highlight w:val="white"/>
        </w:rPr>
        <w:t>2.2.4</w:t>
      </w:r>
      <w:r>
        <w:rPr>
          <w:rFonts w:hint="eastAsia" w:eastAsia="隶书"/>
          <w:sz w:val="24"/>
          <w:highlight w:val="white"/>
        </w:rPr>
        <w:t>项（</w:t>
      </w:r>
      <w:r>
        <w:rPr>
          <w:rFonts w:eastAsia="隶书"/>
          <w:sz w:val="24"/>
          <w:highlight w:val="white"/>
        </w:rPr>
        <w:t>2</w:t>
      </w:r>
      <w:r>
        <w:rPr>
          <w:rFonts w:hint="eastAsia" w:eastAsia="隶书"/>
          <w:sz w:val="24"/>
          <w:highlight w:val="white"/>
        </w:rPr>
        <w:t>）目规定的评审因素和分值对主要人员部分计算出得分</w:t>
      </w:r>
      <w:r>
        <w:rPr>
          <w:rFonts w:eastAsia="隶书"/>
          <w:sz w:val="24"/>
          <w:highlight w:val="white"/>
        </w:rPr>
        <w:t>B</w:t>
      </w:r>
      <w:r>
        <w:rPr>
          <w:rFonts w:hint="eastAsia" w:eastAsia="隶书"/>
          <w:sz w:val="24"/>
          <w:highlight w:val="white"/>
        </w:rPr>
        <w:t>；</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3</w:t>
      </w:r>
      <w:r>
        <w:rPr>
          <w:rFonts w:hint="eastAsia" w:eastAsia="隶书"/>
          <w:sz w:val="24"/>
          <w:highlight w:val="white"/>
        </w:rPr>
        <w:t>）按本章第</w:t>
      </w:r>
      <w:r>
        <w:rPr>
          <w:rFonts w:eastAsia="隶书"/>
          <w:sz w:val="24"/>
          <w:highlight w:val="white"/>
        </w:rPr>
        <w:t>2.2.4</w:t>
      </w:r>
      <w:r>
        <w:rPr>
          <w:rFonts w:hint="eastAsia" w:eastAsia="隶书"/>
          <w:sz w:val="24"/>
          <w:highlight w:val="white"/>
        </w:rPr>
        <w:t>项（</w:t>
      </w:r>
      <w:r>
        <w:rPr>
          <w:rFonts w:eastAsia="隶书"/>
          <w:sz w:val="24"/>
          <w:highlight w:val="white"/>
        </w:rPr>
        <w:t>4</w:t>
      </w:r>
      <w:r>
        <w:rPr>
          <w:rFonts w:hint="eastAsia" w:eastAsia="隶书"/>
          <w:sz w:val="24"/>
          <w:highlight w:val="white"/>
        </w:rPr>
        <w:t>）目规定的评审因素和分值对其他部分计算出得分</w:t>
      </w:r>
      <w:r>
        <w:rPr>
          <w:rFonts w:eastAsia="隶书"/>
          <w:sz w:val="24"/>
          <w:highlight w:val="white"/>
        </w:rPr>
        <w:t>D</w:t>
      </w:r>
      <w:r>
        <w:rPr>
          <w:rFonts w:hint="eastAsia" w:eastAsia="隶书"/>
          <w:sz w:val="24"/>
          <w:highlight w:val="white"/>
        </w:rPr>
        <w:t>。</w:t>
      </w:r>
    </w:p>
    <w:p>
      <w:pPr>
        <w:spacing w:line="400" w:lineRule="atLeast"/>
        <w:ind w:firstLine="480" w:firstLineChars="200"/>
        <w:rPr>
          <w:rFonts w:eastAsia="隶书"/>
          <w:sz w:val="24"/>
        </w:rPr>
      </w:pPr>
      <w:r>
        <w:rPr>
          <w:rFonts w:eastAsia="隶书"/>
          <w:sz w:val="24"/>
          <w:highlight w:val="white"/>
        </w:rPr>
        <w:t xml:space="preserve">3.2.2 </w:t>
      </w:r>
      <w:r>
        <w:rPr>
          <w:rFonts w:hint="eastAsia" w:eastAsia="隶书"/>
          <w:sz w:val="24"/>
          <w:highlight w:val="white"/>
        </w:rPr>
        <w:t>投标人的商务和技术得分分值计算保留小数点后两位，小数点后第三位</w:t>
      </w:r>
      <w:r>
        <w:rPr>
          <w:rFonts w:eastAsia="隶书"/>
          <w:sz w:val="24"/>
          <w:highlight w:val="white"/>
        </w:rPr>
        <w:t>“</w:t>
      </w:r>
      <w:r>
        <w:rPr>
          <w:rFonts w:hint="eastAsia" w:eastAsia="隶书"/>
          <w:sz w:val="24"/>
          <w:highlight w:val="white"/>
        </w:rPr>
        <w:t>四舍五入</w:t>
      </w:r>
      <w:r>
        <w:rPr>
          <w:rFonts w:eastAsia="隶书"/>
          <w:sz w:val="24"/>
          <w:highlight w:val="white"/>
        </w:rPr>
        <w:t>”</w:t>
      </w:r>
      <w:r>
        <w:rPr>
          <w:rFonts w:hint="eastAsia" w:eastAsia="隶书"/>
          <w:sz w:val="24"/>
          <w:highlight w:val="white"/>
        </w:rPr>
        <w:t>。</w:t>
      </w:r>
    </w:p>
    <w:p>
      <w:pPr>
        <w:spacing w:line="400" w:lineRule="atLeast"/>
        <w:ind w:firstLine="480" w:firstLineChars="200"/>
        <w:rPr>
          <w:rFonts w:eastAsia="隶书"/>
          <w:sz w:val="24"/>
        </w:rPr>
      </w:pPr>
      <w:r>
        <w:rPr>
          <w:rFonts w:eastAsia="隶书"/>
          <w:sz w:val="24"/>
          <w:highlight w:val="white"/>
        </w:rPr>
        <w:t xml:space="preserve">3.2.3 </w:t>
      </w:r>
      <w:r>
        <w:rPr>
          <w:rFonts w:hint="eastAsia" w:eastAsia="隶书"/>
          <w:sz w:val="24"/>
          <w:highlight w:val="white"/>
        </w:rPr>
        <w:t>投标人的商务和技术得分</w:t>
      </w:r>
      <w:r>
        <w:rPr>
          <w:rFonts w:eastAsia="隶书"/>
          <w:sz w:val="24"/>
          <w:highlight w:val="white"/>
        </w:rPr>
        <w:t>=A+B+D</w:t>
      </w:r>
      <w:r>
        <w:rPr>
          <w:rFonts w:hint="eastAsia" w:eastAsia="隶书"/>
          <w:sz w:val="24"/>
          <w:highlight w:val="white"/>
        </w:rPr>
        <w:t>。</w:t>
      </w:r>
      <w:r>
        <w:rPr>
          <w:rFonts w:eastAsia="隶书"/>
          <w:sz w:val="24"/>
          <w:highlight w:val="white"/>
        </w:rPr>
        <w:t xml:space="preserve"> </w:t>
      </w:r>
    </w:p>
    <w:p>
      <w:pPr>
        <w:pStyle w:val="4"/>
        <w:keepNext w:val="0"/>
        <w:jc w:val="left"/>
        <w:rPr>
          <w:rFonts w:eastAsia="黑体"/>
          <w:b/>
          <w:sz w:val="24"/>
          <w:szCs w:val="24"/>
        </w:rPr>
      </w:pPr>
      <w:bookmarkStart w:id="125" w:name="_Toc510015746"/>
      <w:bookmarkStart w:id="126" w:name="_Toc503235814"/>
      <w:r>
        <w:rPr>
          <w:rFonts w:eastAsia="黑体"/>
          <w:b/>
          <w:sz w:val="24"/>
          <w:szCs w:val="24"/>
          <w:highlight w:val="white"/>
        </w:rPr>
        <w:t xml:space="preserve">3.3 </w:t>
      </w:r>
      <w:r>
        <w:rPr>
          <w:rFonts w:hint="eastAsia" w:eastAsia="黑体"/>
          <w:b/>
          <w:sz w:val="24"/>
          <w:szCs w:val="24"/>
          <w:highlight w:val="white"/>
        </w:rPr>
        <w:t>第二个信封开标</w:t>
      </w:r>
      <w:bookmarkEnd w:id="125"/>
      <w:bookmarkEnd w:id="126"/>
    </w:p>
    <w:p>
      <w:pPr>
        <w:spacing w:line="400" w:lineRule="atLeast"/>
        <w:ind w:firstLine="480" w:firstLineChars="200"/>
        <w:rPr>
          <w:rFonts w:eastAsia="隶书"/>
          <w:sz w:val="24"/>
        </w:rPr>
      </w:pPr>
      <w:r>
        <w:rPr>
          <w:rFonts w:hint="eastAsia" w:eastAsia="隶书"/>
          <w:sz w:val="24"/>
          <w:highlight w:val="white"/>
        </w:rPr>
        <w:t>第一个信封（商务及技术文件）评审结束后，招标人将按照第二章</w:t>
      </w:r>
      <w:r>
        <w:rPr>
          <w:rFonts w:eastAsia="隶书"/>
          <w:sz w:val="24"/>
          <w:highlight w:val="white"/>
        </w:rPr>
        <w:t>“</w:t>
      </w:r>
      <w:r>
        <w:rPr>
          <w:rFonts w:hint="eastAsia" w:eastAsia="隶书"/>
          <w:sz w:val="24"/>
          <w:highlight w:val="white"/>
        </w:rPr>
        <w:t>投标人须知</w:t>
      </w:r>
      <w:r>
        <w:rPr>
          <w:rFonts w:eastAsia="隶书"/>
          <w:sz w:val="24"/>
          <w:highlight w:val="white"/>
        </w:rPr>
        <w:t>”</w:t>
      </w:r>
      <w:r>
        <w:rPr>
          <w:rFonts w:hint="eastAsia" w:eastAsia="隶书"/>
          <w:sz w:val="24"/>
          <w:highlight w:val="white"/>
        </w:rPr>
        <w:t>第</w:t>
      </w:r>
      <w:r>
        <w:rPr>
          <w:rFonts w:eastAsia="隶书"/>
          <w:sz w:val="24"/>
          <w:highlight w:val="white"/>
        </w:rPr>
        <w:t>5.1</w:t>
      </w:r>
      <w:r>
        <w:rPr>
          <w:rFonts w:hint="eastAsia" w:eastAsia="隶书"/>
          <w:sz w:val="24"/>
          <w:highlight w:val="white"/>
        </w:rPr>
        <w:t>款规定的时间和地点对通过投标文件第一个信封（商务及技术文件）评审的投标文件第二个信封（报价文件）进行开标。</w:t>
      </w:r>
    </w:p>
    <w:p>
      <w:pPr>
        <w:pStyle w:val="4"/>
        <w:keepNext w:val="0"/>
        <w:jc w:val="left"/>
        <w:rPr>
          <w:rFonts w:eastAsia="黑体"/>
          <w:b/>
          <w:sz w:val="24"/>
          <w:szCs w:val="24"/>
        </w:rPr>
      </w:pPr>
      <w:bookmarkStart w:id="127" w:name="_Toc510015747"/>
      <w:bookmarkStart w:id="128" w:name="_Toc503235815"/>
      <w:r>
        <w:rPr>
          <w:rFonts w:eastAsia="黑体"/>
          <w:b/>
          <w:sz w:val="24"/>
          <w:szCs w:val="24"/>
          <w:highlight w:val="white"/>
        </w:rPr>
        <w:t xml:space="preserve">3.4 </w:t>
      </w:r>
      <w:r>
        <w:rPr>
          <w:rFonts w:hint="eastAsia" w:eastAsia="黑体"/>
          <w:b/>
          <w:sz w:val="24"/>
          <w:szCs w:val="24"/>
          <w:highlight w:val="white"/>
        </w:rPr>
        <w:t>第二个信封初步评审</w:t>
      </w:r>
      <w:bookmarkEnd w:id="127"/>
      <w:bookmarkEnd w:id="128"/>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 xml:space="preserve">3.4.1 </w:t>
      </w:r>
      <w:r>
        <w:rPr>
          <w:rFonts w:hint="eastAsia" w:eastAsia="隶书"/>
          <w:sz w:val="24"/>
          <w:highlight w:val="white"/>
        </w:rPr>
        <w:t>评标委员会依据本章第</w:t>
      </w:r>
      <w:r>
        <w:rPr>
          <w:rFonts w:eastAsia="隶书"/>
          <w:sz w:val="24"/>
          <w:highlight w:val="white"/>
        </w:rPr>
        <w:t>2.1.1</w:t>
      </w:r>
      <w:r>
        <w:rPr>
          <w:rFonts w:hint="eastAsia" w:eastAsia="隶书"/>
          <w:sz w:val="24"/>
          <w:highlight w:val="white"/>
        </w:rPr>
        <w:t>项、第</w:t>
      </w:r>
      <w:r>
        <w:rPr>
          <w:rFonts w:eastAsia="隶书"/>
          <w:sz w:val="24"/>
          <w:highlight w:val="white"/>
        </w:rPr>
        <w:t>2.1.3</w:t>
      </w:r>
      <w:r>
        <w:rPr>
          <w:rFonts w:hint="eastAsia" w:eastAsia="隶书"/>
          <w:sz w:val="24"/>
          <w:highlight w:val="white"/>
        </w:rPr>
        <w:t>项规定的评审标准对投标文件第二个信封（报价文件）进行初步评审。有一项不符合评审标准的，评标委员会应否决其投标。</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 xml:space="preserve">3.4.2 </w:t>
      </w:r>
      <w:r>
        <w:rPr>
          <w:rFonts w:hint="eastAsia" w:eastAsia="隶书"/>
          <w:sz w:val="24"/>
          <w:highlight w:val="white"/>
        </w:rPr>
        <w:t>投标报价有算术错误的，评标委员会按以下原则对投标报价进行修正，修正的价格经投标人书面确认后具有约束力。投标人不接受修正价格的，评标委员会应否决其投标。</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1</w:t>
      </w:r>
      <w:r>
        <w:rPr>
          <w:rFonts w:hint="eastAsia" w:eastAsia="隶书"/>
          <w:sz w:val="24"/>
          <w:highlight w:val="white"/>
        </w:rPr>
        <w:t>）投标文件中的大写金额与小写金额不一致的，以大写金额为准；</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2</w:t>
      </w:r>
      <w:r>
        <w:rPr>
          <w:rFonts w:hint="eastAsia" w:eastAsia="隶书"/>
          <w:sz w:val="24"/>
          <w:highlight w:val="white"/>
        </w:rPr>
        <w:t>）总价金额与依据单价计算出的结果不一致的，以单价金额为准修正总价，但单价金额小数点有明显错误的除外；</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3</w:t>
      </w:r>
      <w:r>
        <w:rPr>
          <w:rFonts w:hint="eastAsia" w:eastAsia="隶书"/>
          <w:sz w:val="24"/>
          <w:highlight w:val="white"/>
        </w:rPr>
        <w:t>）当单价与数量相乘不等于合价时，以单价计算为准，如果单价有明显的小数点位置差错，应以标出的合价为准，同时对单价予以修正；</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4</w:t>
      </w:r>
      <w:r>
        <w:rPr>
          <w:rFonts w:hint="eastAsia" w:eastAsia="隶书"/>
          <w:sz w:val="24"/>
          <w:highlight w:val="white"/>
        </w:rPr>
        <w:t>）当各子目的合价累计不等于总价时，应以各子目合价累计数为准，修正总价。</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 xml:space="preserve">3.4.3 </w:t>
      </w:r>
      <w:r>
        <w:rPr>
          <w:rFonts w:hint="eastAsia" w:eastAsia="隶书"/>
          <w:sz w:val="24"/>
          <w:highlight w:val="white"/>
        </w:rPr>
        <w:t>修正后的最终投标报价若超过最高投标限价（如有），评标委员会应否决其投标。</w:t>
      </w:r>
    </w:p>
    <w:p>
      <w:pPr>
        <w:spacing w:line="400" w:lineRule="atLeast"/>
        <w:ind w:firstLine="480" w:firstLineChars="200"/>
        <w:rPr>
          <w:rFonts w:eastAsia="隶书"/>
          <w:sz w:val="24"/>
        </w:rPr>
      </w:pPr>
      <w:r>
        <w:rPr>
          <w:rFonts w:eastAsia="隶书"/>
          <w:sz w:val="24"/>
          <w:highlight w:val="white"/>
        </w:rPr>
        <w:t xml:space="preserve">3.4.4 </w:t>
      </w:r>
      <w:r>
        <w:rPr>
          <w:rFonts w:hint="eastAsia" w:eastAsia="隶书"/>
          <w:sz w:val="24"/>
          <w:highlight w:val="white"/>
        </w:rPr>
        <w:t>修正后的最终投标报价仅作为签订合同的一个依据，不参与评标价得分的计算。</w:t>
      </w:r>
    </w:p>
    <w:p>
      <w:pPr>
        <w:pStyle w:val="4"/>
        <w:keepNext w:val="0"/>
        <w:jc w:val="left"/>
        <w:rPr>
          <w:rFonts w:eastAsia="黑体"/>
          <w:b/>
          <w:sz w:val="24"/>
          <w:szCs w:val="24"/>
        </w:rPr>
      </w:pPr>
      <w:bookmarkStart w:id="129" w:name="_Toc510015748"/>
      <w:bookmarkStart w:id="130" w:name="_Toc503235816"/>
      <w:r>
        <w:rPr>
          <w:rFonts w:eastAsia="黑体"/>
          <w:b/>
          <w:sz w:val="24"/>
          <w:szCs w:val="24"/>
          <w:highlight w:val="white"/>
        </w:rPr>
        <w:t xml:space="preserve">3.5 </w:t>
      </w:r>
      <w:r>
        <w:rPr>
          <w:rFonts w:hint="eastAsia" w:eastAsia="黑体"/>
          <w:b/>
          <w:sz w:val="24"/>
          <w:szCs w:val="24"/>
          <w:highlight w:val="white"/>
        </w:rPr>
        <w:t>第二个信封详细评审</w:t>
      </w:r>
      <w:bookmarkEnd w:id="129"/>
      <w:bookmarkEnd w:id="130"/>
    </w:p>
    <w:p>
      <w:pPr>
        <w:spacing w:line="400" w:lineRule="atLeast"/>
        <w:ind w:firstLine="480" w:firstLineChars="200"/>
        <w:rPr>
          <w:rFonts w:eastAsia="隶书"/>
          <w:sz w:val="24"/>
        </w:rPr>
      </w:pPr>
      <w:r>
        <w:rPr>
          <w:rFonts w:eastAsia="隶书"/>
          <w:sz w:val="24"/>
          <w:highlight w:val="white"/>
        </w:rPr>
        <w:t xml:space="preserve">3.5.1 </w:t>
      </w:r>
      <w:r>
        <w:rPr>
          <w:rFonts w:hint="eastAsia" w:eastAsia="隶书"/>
          <w:sz w:val="24"/>
          <w:highlight w:val="white"/>
        </w:rPr>
        <w:t>评标委员会按本章第</w:t>
      </w:r>
      <w:r>
        <w:rPr>
          <w:rFonts w:eastAsia="隶书"/>
          <w:sz w:val="24"/>
          <w:highlight w:val="white"/>
        </w:rPr>
        <w:t>2.2.4</w:t>
      </w:r>
      <w:r>
        <w:rPr>
          <w:rFonts w:hint="eastAsia" w:eastAsia="隶书"/>
          <w:sz w:val="24"/>
          <w:highlight w:val="white"/>
        </w:rPr>
        <w:t>项（</w:t>
      </w:r>
      <w:r>
        <w:rPr>
          <w:rFonts w:eastAsia="隶书"/>
          <w:sz w:val="24"/>
          <w:highlight w:val="white"/>
        </w:rPr>
        <w:t>3</w:t>
      </w:r>
      <w:r>
        <w:rPr>
          <w:rFonts w:hint="eastAsia" w:eastAsia="隶书"/>
          <w:sz w:val="24"/>
          <w:highlight w:val="white"/>
        </w:rPr>
        <w:t>）目规定的评审因素和分值对评标价计算出得分</w:t>
      </w:r>
      <w:r>
        <w:rPr>
          <w:rFonts w:eastAsia="隶书"/>
          <w:sz w:val="24"/>
          <w:highlight w:val="white"/>
        </w:rPr>
        <w:t>C</w:t>
      </w:r>
      <w:r>
        <w:rPr>
          <w:rFonts w:hint="eastAsia" w:eastAsia="隶书"/>
          <w:sz w:val="24"/>
          <w:highlight w:val="white"/>
        </w:rPr>
        <w:t>。评标价得分分值计算保留小数点后两位，小数点后第三位</w:t>
      </w:r>
      <w:r>
        <w:rPr>
          <w:rFonts w:eastAsia="隶书"/>
          <w:sz w:val="24"/>
          <w:highlight w:val="white"/>
        </w:rPr>
        <w:t>“</w:t>
      </w:r>
      <w:r>
        <w:rPr>
          <w:rFonts w:hint="eastAsia" w:eastAsia="隶书"/>
          <w:sz w:val="24"/>
          <w:highlight w:val="white"/>
        </w:rPr>
        <w:t>四舍五入</w:t>
      </w:r>
      <w:r>
        <w:rPr>
          <w:rFonts w:eastAsia="隶书"/>
          <w:sz w:val="24"/>
          <w:highlight w:val="white"/>
        </w:rPr>
        <w:t>”</w:t>
      </w:r>
      <w:r>
        <w:rPr>
          <w:rFonts w:hint="eastAsia" w:eastAsia="隶书"/>
          <w:sz w:val="24"/>
          <w:highlight w:val="white"/>
        </w:rPr>
        <w:t>。</w:t>
      </w:r>
    </w:p>
    <w:p>
      <w:pPr>
        <w:spacing w:line="400" w:lineRule="atLeast"/>
        <w:ind w:firstLine="480" w:firstLineChars="200"/>
        <w:rPr>
          <w:rFonts w:eastAsia="隶书"/>
          <w:sz w:val="24"/>
        </w:rPr>
      </w:pPr>
      <w:r>
        <w:rPr>
          <w:rFonts w:eastAsia="隶书"/>
          <w:sz w:val="24"/>
          <w:highlight w:val="white"/>
        </w:rPr>
        <w:t xml:space="preserve">3.5.2 </w:t>
      </w:r>
      <w:r>
        <w:rPr>
          <w:rFonts w:hint="eastAsia" w:eastAsia="隶书"/>
          <w:sz w:val="24"/>
          <w:highlight w:val="white"/>
        </w:rPr>
        <w:t>投标人综合得分</w:t>
      </w:r>
      <w:r>
        <w:rPr>
          <w:rFonts w:eastAsia="隶书"/>
          <w:sz w:val="24"/>
          <w:highlight w:val="white"/>
        </w:rPr>
        <w:t>=</w:t>
      </w:r>
      <w:r>
        <w:rPr>
          <w:rFonts w:hint="eastAsia" w:eastAsia="隶书"/>
          <w:sz w:val="24"/>
          <w:highlight w:val="white"/>
        </w:rPr>
        <w:t>投标人的商务和技术得分</w:t>
      </w:r>
      <w:r>
        <w:rPr>
          <w:rFonts w:eastAsia="隶书"/>
          <w:sz w:val="24"/>
          <w:highlight w:val="white"/>
        </w:rPr>
        <w:t>+C</w:t>
      </w:r>
      <w:r>
        <w:rPr>
          <w:rFonts w:hint="eastAsia" w:eastAsia="隶书"/>
          <w:sz w:val="24"/>
          <w:highlight w:val="white"/>
        </w:rPr>
        <w:t>。</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 xml:space="preserve">3.5.3 </w:t>
      </w:r>
      <w:r>
        <w:rPr>
          <w:rFonts w:hint="eastAsia" w:eastAsia="隶书"/>
          <w:sz w:val="24"/>
          <w:highlight w:val="whit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4"/>
        <w:keepNext w:val="0"/>
        <w:jc w:val="left"/>
        <w:rPr>
          <w:rFonts w:eastAsia="黑体"/>
          <w:b/>
          <w:sz w:val="24"/>
          <w:szCs w:val="24"/>
        </w:rPr>
      </w:pPr>
      <w:bookmarkStart w:id="131" w:name="_Toc503235817"/>
      <w:bookmarkStart w:id="132" w:name="_Toc510015749"/>
      <w:r>
        <w:rPr>
          <w:rFonts w:eastAsia="黑体"/>
          <w:b/>
          <w:sz w:val="24"/>
          <w:szCs w:val="24"/>
          <w:highlight w:val="white"/>
        </w:rPr>
        <w:t xml:space="preserve">3.6 </w:t>
      </w:r>
      <w:r>
        <w:rPr>
          <w:rFonts w:hint="eastAsia" w:eastAsia="黑体"/>
          <w:b/>
          <w:sz w:val="24"/>
          <w:szCs w:val="24"/>
          <w:highlight w:val="white"/>
        </w:rPr>
        <w:t>投标文件相关信息的核查</w:t>
      </w:r>
      <w:bookmarkEnd w:id="131"/>
      <w:bookmarkEnd w:id="132"/>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 xml:space="preserve">3.6.1 </w:t>
      </w:r>
      <w:r>
        <w:rPr>
          <w:rFonts w:hint="eastAsia" w:eastAsia="隶书"/>
          <w:sz w:val="24"/>
          <w:highlight w:val="white"/>
        </w:rPr>
        <w:t>在评标过程中，评标委员会应查询交通运输主管部门</w:t>
      </w:r>
      <w:r>
        <w:rPr>
          <w:rFonts w:eastAsia="隶书"/>
          <w:sz w:val="24"/>
          <w:highlight w:val="white"/>
        </w:rPr>
        <w:t>“</w:t>
      </w:r>
      <w:r>
        <w:rPr>
          <w:rFonts w:hint="eastAsia" w:eastAsia="隶书"/>
          <w:sz w:val="24"/>
          <w:highlight w:val="white"/>
        </w:rPr>
        <w:t>公路建设市场信用信息管理系统</w:t>
      </w:r>
      <w:r>
        <w:rPr>
          <w:rFonts w:eastAsia="隶书"/>
          <w:sz w:val="24"/>
          <w:highlight w:val="white"/>
        </w:rPr>
        <w:t>”</w:t>
      </w:r>
      <w:r>
        <w:rPr>
          <w:rFonts w:hint="eastAsia" w:eastAsia="隶书"/>
          <w:sz w:val="24"/>
          <w:highlight w:val="white"/>
        </w:rPr>
        <w:t>，对投标人的资质、业绩、主要人员资历和目前在岗情况、信用等级等信息进行核实。若投标文件载明的信息与交通运输主管部门</w:t>
      </w:r>
      <w:r>
        <w:rPr>
          <w:rFonts w:eastAsia="隶书"/>
          <w:sz w:val="24"/>
          <w:highlight w:val="white"/>
        </w:rPr>
        <w:t>“</w:t>
      </w:r>
      <w:r>
        <w:rPr>
          <w:rFonts w:hint="eastAsia" w:eastAsia="隶书"/>
          <w:sz w:val="24"/>
          <w:highlight w:val="white"/>
        </w:rPr>
        <w:t>公路建设市场信用信息管理系统</w:t>
      </w:r>
      <w:r>
        <w:rPr>
          <w:rFonts w:eastAsia="隶书"/>
          <w:sz w:val="24"/>
          <w:highlight w:val="white"/>
        </w:rPr>
        <w:t>”</w:t>
      </w:r>
      <w:r>
        <w:rPr>
          <w:rFonts w:hint="eastAsia" w:eastAsia="隶书"/>
          <w:sz w:val="24"/>
          <w:highlight w:val="white"/>
        </w:rPr>
        <w:t>发布的信息不符，使得投标人的资格条件不符合招标文件规定的，评标委员会应否决其投标。</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 xml:space="preserve">3.6.2 </w:t>
      </w:r>
      <w:r>
        <w:rPr>
          <w:rFonts w:hint="eastAsia" w:eastAsia="隶书"/>
          <w:sz w:val="24"/>
          <w:highlight w:val="white"/>
        </w:rPr>
        <w:t>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1</w:t>
      </w:r>
      <w:r>
        <w:rPr>
          <w:rFonts w:hint="eastAsia" w:eastAsia="隶书"/>
          <w:sz w:val="24"/>
          <w:highlight w:val="white"/>
        </w:rPr>
        <w:t>）有下列情形之一的，属于投标人相互串通投标：</w:t>
      </w:r>
    </w:p>
    <w:p>
      <w:pPr>
        <w:spacing w:line="400" w:lineRule="atLeast"/>
        <w:ind w:firstLine="480" w:firstLineChars="200"/>
        <w:rPr>
          <w:rFonts w:eastAsia="隶书"/>
          <w:sz w:val="24"/>
        </w:rPr>
      </w:pPr>
      <w:r>
        <w:rPr>
          <w:rFonts w:eastAsia="隶书"/>
          <w:sz w:val="24"/>
          <w:highlight w:val="white"/>
        </w:rPr>
        <w:t>a.</w:t>
      </w:r>
      <w:r>
        <w:rPr>
          <w:rFonts w:hint="eastAsia" w:eastAsia="隶书"/>
          <w:sz w:val="24"/>
          <w:highlight w:val="white"/>
        </w:rPr>
        <w:t>投标人之间协商投标报价等投标文件的实质性内容；</w:t>
      </w:r>
    </w:p>
    <w:p>
      <w:pPr>
        <w:spacing w:line="400" w:lineRule="atLeast"/>
        <w:ind w:firstLine="480" w:firstLineChars="200"/>
        <w:rPr>
          <w:rFonts w:eastAsia="隶书"/>
          <w:sz w:val="24"/>
        </w:rPr>
      </w:pPr>
      <w:r>
        <w:rPr>
          <w:rFonts w:eastAsia="隶书"/>
          <w:sz w:val="24"/>
          <w:highlight w:val="white"/>
        </w:rPr>
        <w:t>b.</w:t>
      </w:r>
      <w:r>
        <w:rPr>
          <w:rFonts w:hint="eastAsia" w:eastAsia="隶书"/>
          <w:sz w:val="24"/>
          <w:highlight w:val="white"/>
        </w:rPr>
        <w:t>投标人之间约定中标人；</w:t>
      </w:r>
    </w:p>
    <w:p>
      <w:pPr>
        <w:spacing w:line="400" w:lineRule="atLeast"/>
        <w:ind w:firstLine="480" w:firstLineChars="200"/>
        <w:rPr>
          <w:rFonts w:eastAsia="隶书"/>
          <w:sz w:val="24"/>
        </w:rPr>
      </w:pPr>
      <w:r>
        <w:rPr>
          <w:rFonts w:eastAsia="隶书"/>
          <w:sz w:val="24"/>
          <w:highlight w:val="white"/>
        </w:rPr>
        <w:t>c.</w:t>
      </w:r>
      <w:r>
        <w:rPr>
          <w:rFonts w:hint="eastAsia" w:eastAsia="隶书"/>
          <w:sz w:val="24"/>
          <w:highlight w:val="white"/>
        </w:rPr>
        <w:t>投标人之间约定部分投标人放弃投标或中标；</w:t>
      </w:r>
    </w:p>
    <w:p>
      <w:pPr>
        <w:spacing w:line="400" w:lineRule="atLeast"/>
        <w:ind w:firstLine="480" w:firstLineChars="200"/>
        <w:rPr>
          <w:rFonts w:eastAsia="隶书"/>
          <w:sz w:val="24"/>
        </w:rPr>
      </w:pPr>
      <w:r>
        <w:rPr>
          <w:rFonts w:eastAsia="隶书"/>
          <w:sz w:val="24"/>
          <w:highlight w:val="white"/>
        </w:rPr>
        <w:t>d.</w:t>
      </w:r>
      <w:r>
        <w:rPr>
          <w:rFonts w:hint="eastAsia" w:eastAsia="隶书"/>
          <w:sz w:val="24"/>
          <w:highlight w:val="white"/>
        </w:rPr>
        <w:t>属于同一集团、协会、商会等组织成员的投标人按照该组织要求协同投标；</w:t>
      </w:r>
    </w:p>
    <w:p>
      <w:pPr>
        <w:spacing w:line="400" w:lineRule="atLeast"/>
        <w:ind w:firstLine="480" w:firstLineChars="200"/>
        <w:rPr>
          <w:rFonts w:eastAsia="隶书"/>
          <w:sz w:val="24"/>
        </w:rPr>
      </w:pPr>
      <w:r>
        <w:rPr>
          <w:rFonts w:eastAsia="隶书"/>
          <w:sz w:val="24"/>
          <w:highlight w:val="white"/>
        </w:rPr>
        <w:t>e.</w:t>
      </w:r>
      <w:r>
        <w:rPr>
          <w:rFonts w:hint="eastAsia" w:eastAsia="隶书"/>
          <w:sz w:val="24"/>
          <w:highlight w:val="white"/>
        </w:rPr>
        <w:t>投标人之间为谋取中标或排斥特定投标人而采取的其他联合行动。</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2</w:t>
      </w:r>
      <w:r>
        <w:rPr>
          <w:rFonts w:hint="eastAsia" w:eastAsia="隶书"/>
          <w:sz w:val="24"/>
          <w:highlight w:val="white"/>
        </w:rPr>
        <w:t>）有下列情形之一的，视为投标人相互串通投标：</w:t>
      </w:r>
    </w:p>
    <w:p>
      <w:pPr>
        <w:spacing w:line="400" w:lineRule="atLeast"/>
        <w:ind w:firstLine="480" w:firstLineChars="200"/>
        <w:rPr>
          <w:rFonts w:eastAsia="隶书"/>
          <w:sz w:val="24"/>
        </w:rPr>
      </w:pPr>
      <w:r>
        <w:rPr>
          <w:rFonts w:eastAsia="隶书"/>
          <w:sz w:val="24"/>
          <w:highlight w:val="white"/>
        </w:rPr>
        <w:t>a.</w:t>
      </w:r>
      <w:r>
        <w:rPr>
          <w:rFonts w:hint="eastAsia" w:eastAsia="隶书"/>
          <w:sz w:val="24"/>
          <w:highlight w:val="white"/>
        </w:rPr>
        <w:t>不同投标人的投标文件由同一单位或个人编制；</w:t>
      </w:r>
    </w:p>
    <w:p>
      <w:pPr>
        <w:spacing w:line="400" w:lineRule="atLeast"/>
        <w:ind w:firstLine="480" w:firstLineChars="200"/>
        <w:rPr>
          <w:rFonts w:eastAsia="隶书"/>
          <w:sz w:val="24"/>
        </w:rPr>
      </w:pPr>
      <w:r>
        <w:rPr>
          <w:rFonts w:eastAsia="隶书"/>
          <w:sz w:val="24"/>
          <w:highlight w:val="white"/>
        </w:rPr>
        <w:t>b.</w:t>
      </w:r>
      <w:r>
        <w:rPr>
          <w:rFonts w:hint="eastAsia" w:eastAsia="隶书"/>
          <w:sz w:val="24"/>
          <w:highlight w:val="white"/>
        </w:rPr>
        <w:t>不同投标人委托同一单位或个人办理投标事宜；</w:t>
      </w:r>
    </w:p>
    <w:p>
      <w:pPr>
        <w:spacing w:line="400" w:lineRule="atLeast"/>
        <w:ind w:firstLine="480" w:firstLineChars="200"/>
        <w:rPr>
          <w:rFonts w:eastAsia="隶书"/>
          <w:sz w:val="24"/>
        </w:rPr>
      </w:pPr>
      <w:r>
        <w:rPr>
          <w:rFonts w:eastAsia="隶书"/>
          <w:sz w:val="24"/>
          <w:highlight w:val="white"/>
        </w:rPr>
        <w:t>c.</w:t>
      </w:r>
      <w:r>
        <w:rPr>
          <w:rFonts w:hint="eastAsia" w:eastAsia="隶书"/>
          <w:sz w:val="24"/>
          <w:highlight w:val="white"/>
        </w:rPr>
        <w:t>不同投标人的投标文件载明的项目管理成员为同一人；</w:t>
      </w:r>
    </w:p>
    <w:p>
      <w:pPr>
        <w:spacing w:line="400" w:lineRule="atLeast"/>
        <w:ind w:firstLine="480" w:firstLineChars="200"/>
        <w:rPr>
          <w:rFonts w:eastAsia="隶书"/>
          <w:sz w:val="24"/>
        </w:rPr>
      </w:pPr>
      <w:r>
        <w:rPr>
          <w:rFonts w:eastAsia="隶书"/>
          <w:sz w:val="24"/>
          <w:highlight w:val="white"/>
        </w:rPr>
        <w:t>d.</w:t>
      </w:r>
      <w:r>
        <w:rPr>
          <w:rFonts w:hint="eastAsia" w:eastAsia="隶书"/>
          <w:sz w:val="24"/>
          <w:highlight w:val="white"/>
        </w:rPr>
        <w:t>不同投标人的投标文件异常一致或投标报价呈规律性差异；</w:t>
      </w:r>
    </w:p>
    <w:p>
      <w:pPr>
        <w:spacing w:line="400" w:lineRule="atLeast"/>
        <w:ind w:firstLine="480" w:firstLineChars="200"/>
        <w:rPr>
          <w:rFonts w:eastAsia="隶书"/>
          <w:sz w:val="24"/>
        </w:rPr>
      </w:pPr>
      <w:r>
        <w:rPr>
          <w:rFonts w:eastAsia="隶书"/>
          <w:sz w:val="24"/>
          <w:highlight w:val="white"/>
        </w:rPr>
        <w:t>e.</w:t>
      </w:r>
      <w:r>
        <w:rPr>
          <w:rFonts w:hint="eastAsia" w:eastAsia="隶书"/>
          <w:sz w:val="24"/>
          <w:highlight w:val="white"/>
        </w:rPr>
        <w:t>不同投标人的投标文件相互混装；</w:t>
      </w:r>
    </w:p>
    <w:p>
      <w:pPr>
        <w:spacing w:line="400" w:lineRule="atLeast"/>
        <w:ind w:firstLine="480" w:firstLineChars="200"/>
        <w:rPr>
          <w:rFonts w:hint="eastAsia" w:eastAsia="隶书"/>
          <w:sz w:val="24"/>
        </w:rPr>
      </w:pPr>
      <w:r>
        <w:rPr>
          <w:rFonts w:eastAsia="隶书"/>
          <w:sz w:val="24"/>
          <w:highlight w:val="white"/>
        </w:rPr>
        <w:t>f.</w:t>
      </w:r>
      <w:r>
        <w:rPr>
          <w:rFonts w:hint="eastAsia" w:eastAsia="隶书"/>
          <w:sz w:val="24"/>
          <w:highlight w:val="white"/>
        </w:rPr>
        <w:t>不同投标人的投标保证金从同一单位或个人的账户转出；</w:t>
      </w:r>
    </w:p>
    <w:p>
      <w:pPr>
        <w:widowControl/>
        <w:ind w:left="420"/>
        <w:jc w:val="left"/>
        <w:rPr>
          <w:rFonts w:hint="eastAsia" w:eastAsia="隶书"/>
          <w:sz w:val="24"/>
        </w:rPr>
      </w:pPr>
      <w:r>
        <w:rPr>
          <w:rFonts w:eastAsia="隶书"/>
          <w:sz w:val="24"/>
          <w:highlight w:val="white"/>
        </w:rPr>
        <w:t>g.不同投标人提交电子投标文件IP地址相同且无法合理说明的；</w:t>
      </w:r>
    </w:p>
    <w:p>
      <w:pPr>
        <w:widowControl/>
        <w:ind w:left="420"/>
        <w:jc w:val="left"/>
        <w:rPr>
          <w:rFonts w:hint="eastAsia" w:eastAsia="隶书"/>
          <w:sz w:val="24"/>
        </w:rPr>
      </w:pPr>
      <w:r>
        <w:rPr>
          <w:rFonts w:eastAsia="隶书"/>
          <w:sz w:val="24"/>
          <w:highlight w:val="white"/>
        </w:rPr>
        <w:t>h.不同投标人提交电子投标文件的IP地址在某一特定区域且无法合理说明的；</w:t>
      </w:r>
    </w:p>
    <w:p>
      <w:pPr>
        <w:widowControl/>
        <w:ind w:left="420"/>
        <w:jc w:val="left"/>
        <w:rPr>
          <w:rFonts w:ascii="宋体" w:hAnsi="宋体" w:cs="宋体"/>
          <w:kern w:val="0"/>
          <w:sz w:val="24"/>
          <w:szCs w:val="24"/>
        </w:rPr>
      </w:pPr>
      <w:r>
        <w:rPr>
          <w:rFonts w:eastAsia="隶书"/>
          <w:sz w:val="24"/>
          <w:highlight w:val="white"/>
        </w:rPr>
        <w:t>i.电子投标文件硬件信息相同且无法合理说明的。</w:t>
      </w:r>
    </w:p>
    <w:p>
      <w:pPr>
        <w:spacing w:line="400" w:lineRule="atLeast"/>
        <w:ind w:firstLine="480" w:firstLineChars="200"/>
        <w:rPr>
          <w:rFonts w:eastAsia="隶书"/>
          <w:sz w:val="24"/>
        </w:rPr>
      </w:pP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3</w:t>
      </w:r>
      <w:r>
        <w:rPr>
          <w:rFonts w:hint="eastAsia" w:eastAsia="隶书"/>
          <w:sz w:val="24"/>
          <w:highlight w:val="white"/>
        </w:rPr>
        <w:t>）有下列情形之一的，属于招标人与投标人串通投标：</w:t>
      </w:r>
    </w:p>
    <w:p>
      <w:pPr>
        <w:spacing w:line="400" w:lineRule="atLeast"/>
        <w:ind w:firstLine="480" w:firstLineChars="200"/>
        <w:rPr>
          <w:rFonts w:eastAsia="隶书"/>
          <w:sz w:val="24"/>
        </w:rPr>
      </w:pPr>
      <w:r>
        <w:rPr>
          <w:rFonts w:eastAsia="隶书"/>
          <w:sz w:val="24"/>
          <w:highlight w:val="white"/>
        </w:rPr>
        <w:t>a.</w:t>
      </w:r>
      <w:r>
        <w:rPr>
          <w:rFonts w:hint="eastAsia" w:eastAsia="隶书"/>
          <w:sz w:val="24"/>
          <w:highlight w:val="white"/>
        </w:rPr>
        <w:t>招标人在开标前开启投标文件并将有关信息泄露给其他投标人</w:t>
      </w:r>
      <w:r>
        <w:rPr>
          <w:rFonts w:eastAsia="隶书"/>
          <w:sz w:val="24"/>
          <w:highlight w:val="white"/>
        </w:rPr>
        <w:t>;</w:t>
      </w:r>
    </w:p>
    <w:p>
      <w:pPr>
        <w:spacing w:line="400" w:lineRule="atLeast"/>
        <w:ind w:firstLine="480" w:firstLineChars="200"/>
        <w:rPr>
          <w:rFonts w:eastAsia="隶书"/>
          <w:sz w:val="24"/>
        </w:rPr>
      </w:pPr>
      <w:r>
        <w:rPr>
          <w:rFonts w:eastAsia="隶书"/>
          <w:sz w:val="24"/>
          <w:highlight w:val="white"/>
        </w:rPr>
        <w:t>b.</w:t>
      </w:r>
      <w:r>
        <w:rPr>
          <w:rFonts w:hint="eastAsia" w:eastAsia="隶书"/>
          <w:sz w:val="24"/>
          <w:highlight w:val="white"/>
        </w:rPr>
        <w:t>招标人直接或间接向投标人泄露标底、评标委员会成员等信息；</w:t>
      </w:r>
    </w:p>
    <w:p>
      <w:pPr>
        <w:spacing w:line="400" w:lineRule="atLeast"/>
        <w:ind w:firstLine="480" w:firstLineChars="200"/>
        <w:rPr>
          <w:rFonts w:eastAsia="隶书"/>
          <w:sz w:val="24"/>
        </w:rPr>
      </w:pPr>
      <w:r>
        <w:rPr>
          <w:rFonts w:eastAsia="隶书"/>
          <w:sz w:val="24"/>
          <w:highlight w:val="white"/>
        </w:rPr>
        <w:t>c.</w:t>
      </w:r>
      <w:r>
        <w:rPr>
          <w:rFonts w:hint="eastAsia" w:eastAsia="隶书"/>
          <w:sz w:val="24"/>
          <w:highlight w:val="white"/>
        </w:rPr>
        <w:t>招标人明示或暗示投标人压低或抬高投标报价；</w:t>
      </w:r>
    </w:p>
    <w:p>
      <w:pPr>
        <w:spacing w:line="400" w:lineRule="atLeast"/>
        <w:ind w:firstLine="480" w:firstLineChars="200"/>
        <w:rPr>
          <w:rFonts w:eastAsia="隶书"/>
          <w:sz w:val="24"/>
        </w:rPr>
      </w:pPr>
      <w:r>
        <w:rPr>
          <w:rFonts w:eastAsia="隶书"/>
          <w:sz w:val="24"/>
          <w:highlight w:val="white"/>
        </w:rPr>
        <w:t>d.</w:t>
      </w:r>
      <w:r>
        <w:rPr>
          <w:rFonts w:hint="eastAsia" w:eastAsia="隶书"/>
          <w:sz w:val="24"/>
          <w:highlight w:val="white"/>
        </w:rPr>
        <w:t>招标人授意投标人撤换、修改投标文件；</w:t>
      </w:r>
    </w:p>
    <w:p>
      <w:pPr>
        <w:spacing w:line="400" w:lineRule="atLeast"/>
        <w:ind w:firstLine="480" w:firstLineChars="200"/>
        <w:rPr>
          <w:rFonts w:eastAsia="隶书"/>
          <w:sz w:val="24"/>
        </w:rPr>
      </w:pPr>
      <w:r>
        <w:rPr>
          <w:rFonts w:eastAsia="隶书"/>
          <w:sz w:val="24"/>
          <w:highlight w:val="white"/>
        </w:rPr>
        <w:t>e.</w:t>
      </w:r>
      <w:r>
        <w:rPr>
          <w:rFonts w:hint="eastAsia" w:eastAsia="隶书"/>
          <w:sz w:val="24"/>
          <w:highlight w:val="white"/>
        </w:rPr>
        <w:t>招标人明示或暗示投标人为特定投标人中标提供方便；</w:t>
      </w:r>
    </w:p>
    <w:p>
      <w:pPr>
        <w:spacing w:line="400" w:lineRule="atLeast"/>
        <w:ind w:firstLine="480" w:firstLineChars="200"/>
        <w:rPr>
          <w:rFonts w:eastAsia="隶书"/>
          <w:sz w:val="24"/>
        </w:rPr>
      </w:pPr>
      <w:r>
        <w:rPr>
          <w:rFonts w:eastAsia="隶书"/>
          <w:sz w:val="24"/>
          <w:highlight w:val="white"/>
        </w:rPr>
        <w:t>f.</w:t>
      </w:r>
      <w:r>
        <w:rPr>
          <w:rFonts w:hint="eastAsia" w:eastAsia="隶书"/>
          <w:sz w:val="24"/>
          <w:highlight w:val="white"/>
        </w:rPr>
        <w:t>招标人与投标人为谋求特定投标人中标而采取的其他串通行为。</w:t>
      </w:r>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4</w:t>
      </w:r>
      <w:r>
        <w:rPr>
          <w:rFonts w:hint="eastAsia" w:eastAsia="隶书"/>
          <w:sz w:val="24"/>
          <w:highlight w:val="white"/>
        </w:rPr>
        <w:t>）投标人有下列情形之一的，属于弄虚作假的行为：</w:t>
      </w:r>
    </w:p>
    <w:p>
      <w:pPr>
        <w:spacing w:line="400" w:lineRule="atLeast"/>
        <w:ind w:firstLine="480" w:firstLineChars="200"/>
        <w:rPr>
          <w:rFonts w:eastAsia="隶书"/>
          <w:sz w:val="24"/>
        </w:rPr>
      </w:pPr>
      <w:r>
        <w:rPr>
          <w:rFonts w:eastAsia="隶书"/>
          <w:sz w:val="24"/>
          <w:highlight w:val="white"/>
        </w:rPr>
        <w:t>a.</w:t>
      </w:r>
      <w:r>
        <w:rPr>
          <w:rFonts w:hint="eastAsia" w:eastAsia="隶书"/>
          <w:sz w:val="24"/>
          <w:highlight w:val="white"/>
        </w:rPr>
        <w:t>使用通过受让或租借等方式获取的资格、资质证书投标；</w:t>
      </w:r>
    </w:p>
    <w:p>
      <w:pPr>
        <w:spacing w:line="400" w:lineRule="atLeast"/>
        <w:ind w:firstLine="480" w:firstLineChars="200"/>
        <w:rPr>
          <w:rFonts w:eastAsia="隶书"/>
          <w:sz w:val="24"/>
        </w:rPr>
      </w:pPr>
      <w:r>
        <w:rPr>
          <w:rFonts w:eastAsia="隶书"/>
          <w:sz w:val="24"/>
          <w:highlight w:val="white"/>
        </w:rPr>
        <w:t>b.</w:t>
      </w:r>
      <w:r>
        <w:rPr>
          <w:rFonts w:hint="eastAsia" w:eastAsia="隶书"/>
          <w:sz w:val="24"/>
          <w:highlight w:val="white"/>
        </w:rPr>
        <w:t>使用伪造、变造的许可证件；</w:t>
      </w:r>
    </w:p>
    <w:p>
      <w:pPr>
        <w:spacing w:line="400" w:lineRule="atLeast"/>
        <w:ind w:firstLine="480" w:firstLineChars="200"/>
        <w:rPr>
          <w:rFonts w:eastAsia="隶书"/>
          <w:sz w:val="24"/>
        </w:rPr>
      </w:pPr>
      <w:r>
        <w:rPr>
          <w:rFonts w:eastAsia="隶书"/>
          <w:sz w:val="24"/>
          <w:highlight w:val="white"/>
        </w:rPr>
        <w:t>c.</w:t>
      </w:r>
      <w:r>
        <w:rPr>
          <w:rFonts w:hint="eastAsia" w:eastAsia="隶书"/>
          <w:sz w:val="24"/>
          <w:highlight w:val="white"/>
        </w:rPr>
        <w:t>提供虚假的业绩；</w:t>
      </w:r>
    </w:p>
    <w:p>
      <w:pPr>
        <w:spacing w:line="400" w:lineRule="atLeast"/>
        <w:ind w:firstLine="480" w:firstLineChars="200"/>
        <w:rPr>
          <w:rFonts w:eastAsia="隶书"/>
          <w:sz w:val="24"/>
        </w:rPr>
      </w:pPr>
      <w:r>
        <w:rPr>
          <w:rFonts w:eastAsia="隶书"/>
          <w:sz w:val="24"/>
          <w:highlight w:val="white"/>
        </w:rPr>
        <w:t>d.</w:t>
      </w:r>
      <w:r>
        <w:rPr>
          <w:rFonts w:hint="eastAsia" w:eastAsia="隶书"/>
          <w:sz w:val="24"/>
          <w:highlight w:val="white"/>
        </w:rPr>
        <w:t>提供虚假的项目负责人或主要技术人员简历、劳动关系证明；</w:t>
      </w:r>
    </w:p>
    <w:p>
      <w:pPr>
        <w:spacing w:line="400" w:lineRule="atLeast"/>
        <w:ind w:firstLine="480" w:firstLineChars="200"/>
        <w:rPr>
          <w:rFonts w:eastAsia="隶书"/>
          <w:sz w:val="24"/>
        </w:rPr>
      </w:pPr>
      <w:r>
        <w:rPr>
          <w:rFonts w:eastAsia="隶书"/>
          <w:sz w:val="24"/>
          <w:highlight w:val="white"/>
        </w:rPr>
        <w:t>e.</w:t>
      </w:r>
      <w:r>
        <w:rPr>
          <w:rFonts w:hint="eastAsia" w:eastAsia="隶书"/>
          <w:sz w:val="24"/>
          <w:highlight w:val="white"/>
        </w:rPr>
        <w:t>提供虚假的信用状况；</w:t>
      </w:r>
    </w:p>
    <w:p>
      <w:pPr>
        <w:spacing w:line="400" w:lineRule="atLeast"/>
        <w:ind w:firstLine="480" w:firstLineChars="200"/>
        <w:rPr>
          <w:rFonts w:eastAsia="隶书"/>
          <w:sz w:val="24"/>
        </w:rPr>
      </w:pPr>
      <w:r>
        <w:rPr>
          <w:rFonts w:eastAsia="隶书"/>
          <w:sz w:val="24"/>
          <w:highlight w:val="white"/>
        </w:rPr>
        <w:t>f.</w:t>
      </w:r>
      <w:r>
        <w:rPr>
          <w:rFonts w:hint="eastAsia" w:eastAsia="隶书"/>
          <w:sz w:val="24"/>
          <w:highlight w:val="white"/>
        </w:rPr>
        <w:t>其他弄虚作假的行为。</w:t>
      </w:r>
    </w:p>
    <w:p>
      <w:pPr>
        <w:pStyle w:val="4"/>
        <w:keepNext w:val="0"/>
        <w:jc w:val="left"/>
        <w:rPr>
          <w:rFonts w:eastAsia="黑体"/>
          <w:b/>
          <w:sz w:val="24"/>
          <w:szCs w:val="24"/>
        </w:rPr>
      </w:pPr>
      <w:bookmarkStart w:id="133" w:name="_Toc510015750"/>
      <w:bookmarkStart w:id="134" w:name="_Toc503235818"/>
      <w:r>
        <w:rPr>
          <w:rFonts w:eastAsia="黑体"/>
          <w:b/>
          <w:sz w:val="24"/>
          <w:szCs w:val="24"/>
          <w:highlight w:val="white"/>
        </w:rPr>
        <w:t xml:space="preserve">3.7 </w:t>
      </w:r>
      <w:r>
        <w:rPr>
          <w:rFonts w:hint="eastAsia" w:eastAsia="黑体"/>
          <w:b/>
          <w:sz w:val="24"/>
          <w:szCs w:val="24"/>
          <w:highlight w:val="white"/>
        </w:rPr>
        <w:t>投标文件的澄清和说明</w:t>
      </w:r>
      <w:bookmarkEnd w:id="133"/>
      <w:bookmarkEnd w:id="134"/>
    </w:p>
    <w:p>
      <w:pPr>
        <w:spacing w:line="400" w:lineRule="atLeast"/>
        <w:ind w:firstLine="480" w:firstLineChars="200"/>
        <w:rPr>
          <w:rFonts w:eastAsia="隶书"/>
          <w:sz w:val="24"/>
        </w:rPr>
      </w:pPr>
      <w:r>
        <w:rPr>
          <w:rFonts w:hint="eastAsia" w:eastAsia="隶书"/>
          <w:sz w:val="24"/>
          <w:highlight w:val="white"/>
        </w:rPr>
        <w:t>*</w:t>
      </w:r>
      <w:r>
        <w:rPr>
          <w:rFonts w:eastAsia="隶书"/>
          <w:sz w:val="24"/>
          <w:highlight w:val="white"/>
        </w:rPr>
        <w:t xml:space="preserve">3.7.1 </w:t>
      </w:r>
      <w:r>
        <w:rPr>
          <w:rFonts w:hint="eastAsia" w:eastAsia="隶书"/>
          <w:sz w:val="24"/>
          <w:highlight w:val="whit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atLeast"/>
        <w:ind w:firstLine="480" w:firstLineChars="200"/>
        <w:rPr>
          <w:rFonts w:eastAsia="隶书"/>
          <w:sz w:val="24"/>
        </w:rPr>
      </w:pPr>
      <w:r>
        <w:rPr>
          <w:rFonts w:eastAsia="隶书"/>
          <w:sz w:val="24"/>
          <w:highlight w:val="white"/>
        </w:rPr>
        <w:t xml:space="preserve">3.7.2 </w:t>
      </w:r>
      <w:r>
        <w:rPr>
          <w:rFonts w:hint="eastAsia" w:eastAsia="隶书"/>
          <w:sz w:val="24"/>
          <w:highlight w:val="white"/>
        </w:rPr>
        <w:t>澄清和说明不得超出投标文件的范围或改变投标文件的实质性内容（算术性错误的修正除外）。投标人的书面澄清、说明属于投标文件的组成部分。</w:t>
      </w:r>
    </w:p>
    <w:p>
      <w:pPr>
        <w:spacing w:line="400" w:lineRule="atLeast"/>
        <w:ind w:firstLine="480" w:firstLineChars="200"/>
        <w:rPr>
          <w:rFonts w:eastAsia="隶书"/>
          <w:sz w:val="24"/>
        </w:rPr>
      </w:pPr>
      <w:r>
        <w:rPr>
          <w:rFonts w:eastAsia="隶书"/>
          <w:sz w:val="24"/>
          <w:highlight w:val="white"/>
        </w:rPr>
        <w:t xml:space="preserve">3.7.3 </w:t>
      </w:r>
      <w:r>
        <w:rPr>
          <w:rFonts w:hint="eastAsia" w:eastAsia="隶书"/>
          <w:sz w:val="24"/>
          <w:highlight w:val="white"/>
        </w:rPr>
        <w:t>评标委员会不得暗示或诱导投标人作出澄清、说明，对投标人提交的澄清、说明有疑问的，可以要求投标人进一步澄清或说明，直至满足评标委员会的要求。</w:t>
      </w:r>
    </w:p>
    <w:p>
      <w:pPr>
        <w:spacing w:line="400" w:lineRule="atLeast"/>
        <w:ind w:firstLine="480" w:firstLineChars="200"/>
        <w:rPr>
          <w:rFonts w:eastAsia="隶书"/>
          <w:sz w:val="24"/>
        </w:rPr>
      </w:pPr>
      <w:r>
        <w:rPr>
          <w:rFonts w:eastAsia="隶书"/>
          <w:sz w:val="24"/>
          <w:highlight w:val="white"/>
        </w:rPr>
        <w:t xml:space="preserve">3.7.4 </w:t>
      </w:r>
      <w:r>
        <w:rPr>
          <w:rFonts w:hint="eastAsia" w:eastAsia="隶书"/>
          <w:sz w:val="24"/>
          <w:highlight w:val="white"/>
        </w:rPr>
        <w:t>凡超出招标文件规定的或给委托人带来未曾要求的利益的变化、偏差或其他因素在评标时不予考虑。</w:t>
      </w:r>
    </w:p>
    <w:p>
      <w:pPr>
        <w:pStyle w:val="4"/>
        <w:keepNext w:val="0"/>
        <w:jc w:val="left"/>
        <w:rPr>
          <w:rFonts w:eastAsia="黑体"/>
          <w:b/>
          <w:sz w:val="24"/>
          <w:szCs w:val="24"/>
        </w:rPr>
      </w:pPr>
      <w:bookmarkStart w:id="135" w:name="_Toc501257170"/>
      <w:bookmarkStart w:id="136" w:name="_Toc510015751"/>
      <w:bookmarkStart w:id="137" w:name="_Toc503235819"/>
      <w:r>
        <w:rPr>
          <w:rFonts w:eastAsia="黑体"/>
          <w:b/>
          <w:sz w:val="24"/>
          <w:szCs w:val="24"/>
          <w:highlight w:val="white"/>
        </w:rPr>
        <w:t xml:space="preserve">3.8 </w:t>
      </w:r>
      <w:r>
        <w:rPr>
          <w:rFonts w:hint="eastAsia" w:eastAsia="黑体"/>
          <w:b/>
          <w:sz w:val="24"/>
          <w:szCs w:val="24"/>
          <w:highlight w:val="white"/>
        </w:rPr>
        <w:t>不得否决投标的情形</w:t>
      </w:r>
      <w:bookmarkEnd w:id="135"/>
      <w:bookmarkEnd w:id="136"/>
      <w:bookmarkEnd w:id="137"/>
    </w:p>
    <w:p>
      <w:pPr>
        <w:spacing w:line="400" w:lineRule="atLeast"/>
        <w:ind w:firstLine="480" w:firstLineChars="200"/>
        <w:rPr>
          <w:rFonts w:eastAsia="隶书"/>
          <w:sz w:val="24"/>
        </w:rPr>
      </w:pPr>
      <w:r>
        <w:rPr>
          <w:rFonts w:hint="eastAsia" w:eastAsia="隶书"/>
          <w:sz w:val="24"/>
          <w:highlight w:val="white"/>
        </w:rPr>
        <w:t>投标文件存在第二章</w:t>
      </w:r>
      <w:r>
        <w:rPr>
          <w:rFonts w:eastAsia="隶书"/>
          <w:sz w:val="24"/>
          <w:highlight w:val="white"/>
        </w:rPr>
        <w:t>“</w:t>
      </w:r>
      <w:r>
        <w:rPr>
          <w:rFonts w:hint="eastAsia" w:eastAsia="隶书"/>
          <w:sz w:val="24"/>
          <w:highlight w:val="white"/>
        </w:rPr>
        <w:t>投标人须知</w:t>
      </w:r>
      <w:r>
        <w:rPr>
          <w:rFonts w:eastAsia="隶书"/>
          <w:sz w:val="24"/>
          <w:highlight w:val="white"/>
        </w:rPr>
        <w:t>”</w:t>
      </w:r>
      <w:r>
        <w:rPr>
          <w:rFonts w:hint="eastAsia" w:eastAsia="隶书"/>
          <w:sz w:val="24"/>
          <w:highlight w:val="white"/>
        </w:rPr>
        <w:t>第</w:t>
      </w:r>
      <w:r>
        <w:rPr>
          <w:rFonts w:eastAsia="隶书"/>
          <w:sz w:val="24"/>
          <w:highlight w:val="white"/>
        </w:rPr>
        <w:t>1.12.3</w:t>
      </w:r>
      <w:r>
        <w:rPr>
          <w:rFonts w:hint="eastAsia" w:eastAsia="隶书"/>
          <w:sz w:val="24"/>
          <w:highlight w:val="white"/>
        </w:rPr>
        <w:t>项所列情形的，均视为细微偏差，评标委员会不得否决投标人的投标，应按照第二章</w:t>
      </w:r>
      <w:r>
        <w:rPr>
          <w:rFonts w:eastAsia="隶书"/>
          <w:sz w:val="24"/>
          <w:highlight w:val="white"/>
        </w:rPr>
        <w:t>“</w:t>
      </w:r>
      <w:r>
        <w:rPr>
          <w:rFonts w:hint="eastAsia" w:eastAsia="隶书"/>
          <w:sz w:val="24"/>
          <w:highlight w:val="white"/>
        </w:rPr>
        <w:t>投标人须知</w:t>
      </w:r>
      <w:r>
        <w:rPr>
          <w:rFonts w:eastAsia="隶书"/>
          <w:sz w:val="24"/>
          <w:highlight w:val="white"/>
        </w:rPr>
        <w:t>”</w:t>
      </w:r>
      <w:r>
        <w:rPr>
          <w:rFonts w:hint="eastAsia" w:eastAsia="隶书"/>
          <w:sz w:val="24"/>
          <w:highlight w:val="white"/>
        </w:rPr>
        <w:t>第</w:t>
      </w:r>
      <w:r>
        <w:rPr>
          <w:rFonts w:eastAsia="隶书"/>
          <w:sz w:val="24"/>
          <w:highlight w:val="white"/>
        </w:rPr>
        <w:t>1.12.4</w:t>
      </w:r>
      <w:r>
        <w:rPr>
          <w:rFonts w:hint="eastAsia" w:eastAsia="隶书"/>
          <w:sz w:val="24"/>
          <w:highlight w:val="white"/>
        </w:rPr>
        <w:t>项规定的原则处理。</w:t>
      </w:r>
    </w:p>
    <w:p>
      <w:pPr>
        <w:pStyle w:val="4"/>
        <w:keepNext w:val="0"/>
        <w:jc w:val="left"/>
        <w:rPr>
          <w:rFonts w:eastAsia="黑体"/>
          <w:b/>
          <w:sz w:val="24"/>
          <w:szCs w:val="24"/>
        </w:rPr>
      </w:pPr>
      <w:bookmarkStart w:id="138" w:name="_Toc510015752"/>
      <w:bookmarkStart w:id="139" w:name="_Toc503235820"/>
      <w:r>
        <w:rPr>
          <w:rFonts w:eastAsia="黑体"/>
          <w:b/>
          <w:sz w:val="24"/>
          <w:szCs w:val="24"/>
          <w:highlight w:val="white"/>
        </w:rPr>
        <w:t xml:space="preserve">3.9 </w:t>
      </w:r>
      <w:r>
        <w:rPr>
          <w:rFonts w:hint="eastAsia" w:eastAsia="黑体"/>
          <w:b/>
          <w:sz w:val="24"/>
          <w:szCs w:val="24"/>
          <w:highlight w:val="white"/>
        </w:rPr>
        <w:t>评标结果</w:t>
      </w:r>
      <w:bookmarkEnd w:id="138"/>
      <w:bookmarkEnd w:id="139"/>
    </w:p>
    <w:p>
      <w:pPr>
        <w:spacing w:line="400" w:lineRule="atLeast"/>
        <w:ind w:firstLine="480" w:firstLineChars="200"/>
        <w:rPr>
          <w:rFonts w:eastAsia="隶书"/>
          <w:sz w:val="24"/>
        </w:rPr>
      </w:pPr>
      <w:r>
        <w:rPr>
          <w:rFonts w:eastAsia="隶书"/>
          <w:sz w:val="24"/>
          <w:highlight w:val="white"/>
        </w:rPr>
        <w:t xml:space="preserve">3.9.1 </w:t>
      </w:r>
      <w:r>
        <w:rPr>
          <w:rFonts w:hint="eastAsia" w:eastAsia="隶书"/>
          <w:sz w:val="24"/>
          <w:highlight w:val="white"/>
        </w:rPr>
        <w:t>除第二章</w:t>
      </w:r>
      <w:r>
        <w:rPr>
          <w:rFonts w:eastAsia="隶书"/>
          <w:sz w:val="24"/>
          <w:highlight w:val="white"/>
        </w:rPr>
        <w:t>“</w:t>
      </w:r>
      <w:r>
        <w:rPr>
          <w:rFonts w:hint="eastAsia" w:eastAsia="隶书"/>
          <w:sz w:val="24"/>
          <w:highlight w:val="white"/>
        </w:rPr>
        <w:t>投标人须知</w:t>
      </w:r>
      <w:r>
        <w:rPr>
          <w:rFonts w:eastAsia="隶书"/>
          <w:sz w:val="24"/>
          <w:highlight w:val="white"/>
        </w:rPr>
        <w:t>”</w:t>
      </w:r>
      <w:r>
        <w:rPr>
          <w:rFonts w:hint="eastAsia" w:eastAsia="隶书"/>
          <w:sz w:val="24"/>
          <w:highlight w:val="white"/>
        </w:rPr>
        <w:t>前附表授权直接确定中标人外，评标委员会按照得分由高到低的顺序推荐中标候选人，并标明排序。</w:t>
      </w:r>
    </w:p>
    <w:p>
      <w:pPr>
        <w:spacing w:line="400" w:lineRule="atLeast"/>
        <w:ind w:firstLine="480" w:firstLineChars="200"/>
        <w:rPr>
          <w:rFonts w:hint="eastAsia" w:eastAsia="隶书"/>
          <w:sz w:val="24"/>
          <w:highlight w:val="white"/>
        </w:rPr>
      </w:pPr>
      <w:r>
        <w:rPr>
          <w:rFonts w:hint="eastAsia" w:eastAsia="隶书"/>
          <w:sz w:val="24"/>
          <w:highlight w:val="white"/>
        </w:rPr>
        <w:t xml:space="preserve">3.9.2 </w:t>
      </w:r>
      <w:r>
        <w:rPr>
          <w:rFonts w:hint="eastAsia" w:eastAsia="隶书"/>
          <w:sz w:val="24"/>
          <w:highlight w:val="white"/>
        </w:rPr>
        <w:t>评标委员会完成评标后，应向招标人提交书面评标报告。</w:t>
      </w:r>
    </w:p>
    <w:p>
      <w:pPr>
        <w:spacing w:line="400" w:lineRule="atLeast"/>
        <w:ind w:firstLine="480" w:firstLineChars="200"/>
        <w:rPr>
          <w:rFonts w:hint="eastAsia" w:eastAsia="隶书"/>
          <w:sz w:val="24"/>
          <w:highlight w:val="white"/>
        </w:rPr>
      </w:pPr>
    </w:p>
    <w:p>
      <w:pPr>
        <w:spacing w:line="400" w:lineRule="atLeast"/>
        <w:rPr>
          <w:rStyle w:val="12"/>
          <w:rFonts w:hint="eastAsia" w:ascii="Times New Roman" w:hAnsi="Times New Roman" w:eastAsia="黑体" w:cs="Times New Roman"/>
          <w:b/>
          <w:bCs/>
          <w:kern w:val="44"/>
          <w:sz w:val="28"/>
          <w:szCs w:val="28"/>
        </w:rPr>
      </w:pPr>
      <w:bookmarkStart w:id="140" w:name="_Toc256000011"/>
      <w:r>
        <w:rPr>
          <w:rStyle w:val="12"/>
          <w:rFonts w:hint="eastAsia" w:ascii="Times New Roman" w:hAnsi="Times New Roman" w:eastAsia="黑体" w:cs="Times New Roman"/>
          <w:b/>
          <w:bCs/>
          <w:kern w:val="44"/>
          <w:sz w:val="28"/>
          <w:szCs w:val="28"/>
        </w:rPr>
        <w:t>附件</w:t>
      </w:r>
      <w:r>
        <w:rPr>
          <w:rStyle w:val="12"/>
          <w:rFonts w:ascii="Times New Roman" w:hAnsi="Times New Roman" w:eastAsia="黑体" w:cs="Times New Roman"/>
          <w:b/>
          <w:bCs/>
          <w:kern w:val="44"/>
          <w:sz w:val="28"/>
          <w:szCs w:val="28"/>
        </w:rPr>
        <w:t xml:space="preserve">3 </w:t>
      </w:r>
      <w:r>
        <w:rPr>
          <w:rStyle w:val="12"/>
          <w:rFonts w:hint="eastAsia" w:ascii="Times New Roman" w:hAnsi="Times New Roman" w:eastAsia="黑体" w:cs="Times New Roman"/>
          <w:b/>
          <w:bCs/>
          <w:kern w:val="44"/>
          <w:sz w:val="28"/>
          <w:szCs w:val="28"/>
        </w:rPr>
        <w:t>项目概况</w:t>
      </w:r>
      <w:bookmarkEnd w:id="140"/>
    </w:p>
    <w:p>
      <w:pPr>
        <w:pStyle w:val="14"/>
        <w:spacing w:line="360" w:lineRule="auto"/>
        <w:jc w:val="center"/>
        <w:rPr>
          <w:rStyle w:val="12"/>
          <w:rFonts w:ascii="仿宋" w:hAnsi="仿宋" w:eastAsia="仿宋" w:cs="仿宋"/>
          <w:b/>
          <w:bCs/>
          <w:color w:val="000000"/>
          <w:kern w:val="0"/>
          <w:sz w:val="24"/>
          <w:lang w:bidi="ar"/>
        </w:rPr>
      </w:pPr>
      <w:r>
        <w:rPr>
          <w:rStyle w:val="12"/>
          <w:rFonts w:hint="eastAsia" w:ascii="黑体" w:hAnsi="黑体" w:eastAsia="黑体" w:cs="黑体"/>
          <w:b/>
          <w:bCs/>
          <w:color w:val="000000"/>
          <w:kern w:val="0"/>
          <w:sz w:val="44"/>
          <w:szCs w:val="44"/>
          <w:lang w:bidi="ar"/>
        </w:rPr>
        <w:t>工程概况</w:t>
      </w:r>
    </w:p>
    <w:p>
      <w:pPr>
        <w:pStyle w:val="14"/>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Style w:val="12"/>
          <w:rFonts w:ascii="仿宋" w:hAnsi="仿宋" w:eastAsia="仿宋" w:cs="仿宋"/>
          <w:kern w:val="0"/>
          <w:sz w:val="24"/>
        </w:rPr>
      </w:pPr>
      <w:r>
        <w:rPr>
          <w:rStyle w:val="12"/>
          <w:rFonts w:hint="eastAsia" w:ascii="仿宋" w:hAnsi="仿宋" w:eastAsia="仿宋" w:cs="仿宋"/>
          <w:b/>
          <w:bCs/>
          <w:color w:val="000000"/>
          <w:kern w:val="0"/>
          <w:sz w:val="28"/>
          <w:szCs w:val="28"/>
          <w:lang w:bidi="ar"/>
        </w:rPr>
        <w:t>一、G4京港澳高速耒阳大市至宜章（湘粤界）段扩容工程</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1项目位置</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1.1项目名称：G4京港澳高速耒阳大市至宜章（湘粤界）段扩容工程（简称耒宜高速扩容工程）</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1.2概述</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项目起自耒阳市境内京港澳高速大市枢纽互通，沿既有高速公路改扩建，经永兴、苏仙、北湖、宜章，止于宜章县小塘村湘粤省界，接京港澳高速广东段，全长144.309公里。全线原位改扩建耒阳、公平、马田、永兴、五里牌、郴州北、郴州、水龙（枢纽）、良田、宜章北、宜章（枢纽）11处互通式立交，新建耒阳南1处互通式立交，同步建设马田互通连接线长5.59公里。全线采用双向八车道高速公路标准改扩建，其中，起点至五里牌互通段设计速度120公里/小时，路基宽度41.5米；五里牌互通至终点路段设计速度100公里/小时，路基宽度41米。新建和拼宽桥涵设计汽车荷载等级采用公路-I级，利用既有桥梁沿用原荷载标准。连接线采用二级公路标准，设计速度60km/h，路基宽度12米。全线共设置监控通信分中心1处（原位改扩建），匝道收费站11处（改扩建9处，新建2处），养护工区3处（改扩建2处，新建1处），服务区5处（改扩建4处，新建1处），停车区1处（改扩建）。本项目扩容后，将发挥高速公路便捷、安全、高效的优势，加快城际间人员流动、加速产业聚集，推进衡阳及郴州的新型城镇化的建设和发展，支持全省“四化两型”战略，使沿线中小城市成为城市群融合的接点、使沿线工业园区成为产业对接的平台、使沿线风景区（点）成为宜居城市群的后花园。</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1.3项目建设</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路线走向：项目起自耒阳市境内京港澳高速大市枢纽互通，沿既有高速公路改扩建，经永兴、苏仙、北湖、宜章，止于宜章县小塘村湘粤省界，接京港澳高速广东段。</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主要控制点：耒阳市大市镇、永兴县马田镇、苏仙区栖凤渡镇、五里牌镇、北湖区郴江街道、苏仙区良田镇、宜章县五岭乡等。</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沿线主要城镇：耒阳市大市镇、公平圩镇、小水镇、灶市街街道、水东江街道、永兴县马田镇、湘阴渡镇、苏仙区栖凤渡镇、五里牌镇、许家洞镇、白露塘镇、王仙岭街道、北湖区郴江街道、苏仙区坳上镇、良田镇、宜章县五岭乡、玉溪镇。</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沿线主要河流：耒水、西河、郴江、宜章河。</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沿线主要公路：茶常高速、厦蓉高速、宜连高速、S320、G356、G107、G240、S212、S215 等国省干线公路。</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沿线主要铁路：京广铁路、资许铁路、京广高铁、马田煤矿专用铁路。</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2技术标准</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主线：本项目路线全长</w:t>
      </w:r>
      <w:r>
        <w:rPr>
          <w:rStyle w:val="12"/>
          <w:rFonts w:ascii="仿宋" w:hAnsi="仿宋" w:eastAsia="仿宋" w:cs="仿宋"/>
          <w:kern w:val="0"/>
          <w:sz w:val="24"/>
        </w:rPr>
        <w:t>144.309</w:t>
      </w:r>
      <w:r>
        <w:rPr>
          <w:rStyle w:val="12"/>
          <w:rFonts w:hint="eastAsia" w:ascii="仿宋" w:hAnsi="仿宋" w:eastAsia="仿宋" w:cs="仿宋"/>
          <w:kern w:val="0"/>
          <w:sz w:val="24"/>
        </w:rPr>
        <w:t>公里，采用双向八车道高速公路标准改扩建，其中，起点至五里牌互通段设计速度120公里/小时，路基宽度41.5米，本段长7</w:t>
      </w:r>
      <w:r>
        <w:rPr>
          <w:rStyle w:val="12"/>
          <w:rFonts w:ascii="仿宋" w:hAnsi="仿宋" w:eastAsia="仿宋" w:cs="仿宋"/>
          <w:kern w:val="0"/>
          <w:sz w:val="24"/>
        </w:rPr>
        <w:t>1.090</w:t>
      </w:r>
      <w:r>
        <w:rPr>
          <w:rStyle w:val="12"/>
          <w:rFonts w:hint="eastAsia" w:ascii="仿宋" w:hAnsi="仿宋" w:eastAsia="仿宋" w:cs="仿宋"/>
          <w:kern w:val="0"/>
          <w:sz w:val="24"/>
        </w:rPr>
        <w:t>公里；五里牌互通至终点路段设计速度100公里/小时，路基宽度41米，本段长7</w:t>
      </w:r>
      <w:r>
        <w:rPr>
          <w:rStyle w:val="12"/>
          <w:rFonts w:ascii="仿宋" w:hAnsi="仿宋" w:eastAsia="仿宋" w:cs="仿宋"/>
          <w:kern w:val="0"/>
          <w:sz w:val="24"/>
        </w:rPr>
        <w:t>3.219公里</w:t>
      </w:r>
      <w:r>
        <w:rPr>
          <w:rStyle w:val="12"/>
          <w:rFonts w:hint="eastAsia" w:ascii="仿宋" w:hAnsi="仿宋" w:eastAsia="仿宋" w:cs="仿宋"/>
          <w:kern w:val="0"/>
          <w:sz w:val="24"/>
        </w:rPr>
        <w:t>。</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连接线：路线全长</w:t>
      </w:r>
      <w:r>
        <w:rPr>
          <w:rStyle w:val="12"/>
          <w:rFonts w:ascii="仿宋" w:hAnsi="仿宋" w:eastAsia="仿宋" w:cs="仿宋"/>
          <w:kern w:val="0"/>
          <w:sz w:val="24"/>
        </w:rPr>
        <w:t>5.59</w:t>
      </w:r>
      <w:r>
        <w:rPr>
          <w:rStyle w:val="12"/>
          <w:rFonts w:hint="eastAsia" w:ascii="仿宋" w:hAnsi="仿宋" w:eastAsia="仿宋" w:cs="仿宋"/>
          <w:kern w:val="0"/>
          <w:sz w:val="24"/>
        </w:rPr>
        <w:t>公里，按二级公路标准建设，设计速度采用60公里/小时，路基宽度采用12米。</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宋体" w:hAnsi="宋体" w:eastAsia="宋体" w:cs="宋体"/>
          <w:kern w:val="0"/>
          <w:sz w:val="24"/>
        </w:rPr>
      </w:pPr>
      <w:r>
        <w:rPr>
          <w:rStyle w:val="12"/>
          <w:rFonts w:hint="eastAsia" w:ascii="仿宋" w:hAnsi="仿宋" w:eastAsia="仿宋" w:cs="仿宋"/>
          <w:kern w:val="0"/>
          <w:sz w:val="24"/>
        </w:rPr>
        <w:t>有关技术指标执行《公路工程技术标准》JTGB01-2014及相关技术标准、规范、规程的规定。</w:t>
      </w:r>
    </w:p>
    <w:p>
      <w:pPr>
        <w:pStyle w:val="14"/>
        <w:jc w:val="center"/>
        <w:rPr>
          <w:rStyle w:val="12"/>
          <w:rFonts w:ascii="仿宋" w:hAnsi="仿宋" w:eastAsia="仿宋" w:cs="仿宋"/>
          <w:kern w:val="0"/>
          <w:sz w:val="24"/>
        </w:rPr>
      </w:pPr>
      <w:r>
        <w:rPr>
          <w:rStyle w:val="12"/>
          <w:rFonts w:hint="eastAsia" w:ascii="仿宋" w:hAnsi="仿宋" w:eastAsia="仿宋" w:cs="仿宋"/>
          <w:kern w:val="0"/>
          <w:sz w:val="24"/>
        </w:rPr>
        <w:t>主线主要技术标准表</w:t>
      </w:r>
    </w:p>
    <w:tbl>
      <w:tblPr>
        <w:tblStyle w:val="11"/>
        <w:tblW w:w="82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8"/>
        <w:gridCol w:w="1572"/>
        <w:gridCol w:w="1314"/>
        <w:gridCol w:w="2164"/>
        <w:gridCol w:w="23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858" w:type="dxa"/>
            <w:noWrap w:val="0"/>
            <w:vAlign w:val="center"/>
          </w:tcPr>
          <w:p>
            <w:pPr>
              <w:pStyle w:val="14"/>
              <w:jc w:val="center"/>
              <w:rPr>
                <w:rStyle w:val="12"/>
                <w:rFonts w:ascii="仿宋" w:hAnsi="仿宋" w:eastAsia="仿宋" w:cs="仿宋"/>
                <w:bCs/>
                <w:kern w:val="0"/>
                <w:sz w:val="22"/>
              </w:rPr>
            </w:pPr>
            <w:r>
              <w:rPr>
                <w:rStyle w:val="12"/>
                <w:rFonts w:hint="eastAsia" w:ascii="仿宋" w:hAnsi="仿宋" w:eastAsia="仿宋" w:cs="仿宋"/>
                <w:bCs/>
                <w:kern w:val="0"/>
                <w:sz w:val="22"/>
              </w:rPr>
              <w:t>序号</w:t>
            </w:r>
          </w:p>
        </w:tc>
        <w:tc>
          <w:tcPr>
            <w:tcW w:w="2886" w:type="dxa"/>
            <w:gridSpan w:val="2"/>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指标名称</w:t>
            </w:r>
          </w:p>
        </w:tc>
        <w:tc>
          <w:tcPr>
            <w:tcW w:w="4510" w:type="dxa"/>
            <w:gridSpan w:val="2"/>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规范值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858"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1</w:t>
            </w:r>
          </w:p>
        </w:tc>
        <w:tc>
          <w:tcPr>
            <w:tcW w:w="2886" w:type="dxa"/>
            <w:gridSpan w:val="2"/>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桩号范围</w:t>
            </w:r>
          </w:p>
        </w:tc>
        <w:tc>
          <w:tcPr>
            <w:tcW w:w="216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K1739+469.717～K176</w:t>
            </w:r>
            <w:r>
              <w:rPr>
                <w:rStyle w:val="12"/>
                <w:rFonts w:ascii="仿宋" w:hAnsi="仿宋" w:eastAsia="仿宋" w:cs="仿宋"/>
                <w:bCs/>
                <w:kern w:val="0"/>
                <w:sz w:val="22"/>
              </w:rPr>
              <w:t>8</w:t>
            </w:r>
            <w:r>
              <w:rPr>
                <w:rStyle w:val="12"/>
                <w:rFonts w:hint="eastAsia" w:ascii="仿宋" w:hAnsi="仿宋" w:eastAsia="仿宋" w:cs="仿宋"/>
                <w:bCs/>
                <w:kern w:val="0"/>
                <w:sz w:val="22"/>
              </w:rPr>
              <w:t>+500</w:t>
            </w:r>
          </w:p>
        </w:tc>
        <w:tc>
          <w:tcPr>
            <w:tcW w:w="2346"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K176</w:t>
            </w:r>
            <w:r>
              <w:rPr>
                <w:rStyle w:val="12"/>
                <w:rFonts w:ascii="仿宋" w:hAnsi="仿宋" w:eastAsia="仿宋" w:cs="仿宋"/>
                <w:bCs/>
                <w:kern w:val="0"/>
                <w:sz w:val="22"/>
              </w:rPr>
              <w:t>8</w:t>
            </w:r>
            <w:r>
              <w:rPr>
                <w:rStyle w:val="12"/>
                <w:rFonts w:hint="eastAsia" w:ascii="仿宋" w:hAnsi="仿宋" w:eastAsia="仿宋" w:cs="仿宋"/>
                <w:bCs/>
                <w:kern w:val="0"/>
                <w:sz w:val="22"/>
              </w:rPr>
              <w:t>+500～K1841+624.650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858"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2</w:t>
            </w:r>
          </w:p>
        </w:tc>
        <w:tc>
          <w:tcPr>
            <w:tcW w:w="2886" w:type="dxa"/>
            <w:gridSpan w:val="2"/>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路线长度</w:t>
            </w:r>
          </w:p>
        </w:tc>
        <w:tc>
          <w:tcPr>
            <w:tcW w:w="216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7</w:t>
            </w:r>
            <w:r>
              <w:rPr>
                <w:rStyle w:val="12"/>
                <w:rFonts w:ascii="仿宋" w:hAnsi="仿宋" w:eastAsia="仿宋" w:cs="仿宋"/>
                <w:bCs/>
                <w:kern w:val="0"/>
                <w:sz w:val="22"/>
              </w:rPr>
              <w:t>1.090</w:t>
            </w:r>
          </w:p>
        </w:tc>
        <w:tc>
          <w:tcPr>
            <w:tcW w:w="2346"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7</w:t>
            </w:r>
            <w:r>
              <w:rPr>
                <w:rStyle w:val="12"/>
                <w:rFonts w:ascii="仿宋" w:hAnsi="仿宋" w:eastAsia="仿宋" w:cs="仿宋"/>
                <w:bCs/>
                <w:kern w:val="0"/>
                <w:sz w:val="22"/>
              </w:rPr>
              <w:t>3.219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858"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3</w:t>
            </w:r>
          </w:p>
        </w:tc>
        <w:tc>
          <w:tcPr>
            <w:tcW w:w="2886" w:type="dxa"/>
            <w:gridSpan w:val="2"/>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设计速度</w:t>
            </w:r>
          </w:p>
        </w:tc>
        <w:tc>
          <w:tcPr>
            <w:tcW w:w="216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120km/h</w:t>
            </w:r>
          </w:p>
        </w:tc>
        <w:tc>
          <w:tcPr>
            <w:tcW w:w="2346"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100km/h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858" w:type="dxa"/>
            <w:vMerge w:val="restart"/>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4</w:t>
            </w:r>
          </w:p>
        </w:tc>
        <w:tc>
          <w:tcPr>
            <w:tcW w:w="1572" w:type="dxa"/>
            <w:vMerge w:val="restart"/>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平曲线</w:t>
            </w:r>
          </w:p>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最小半径</w:t>
            </w:r>
          </w:p>
        </w:tc>
        <w:tc>
          <w:tcPr>
            <w:tcW w:w="131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一般值(m)</w:t>
            </w:r>
          </w:p>
        </w:tc>
        <w:tc>
          <w:tcPr>
            <w:tcW w:w="216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1000</w:t>
            </w:r>
          </w:p>
        </w:tc>
        <w:tc>
          <w:tcPr>
            <w:tcW w:w="2346"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858" w:type="dxa"/>
            <w:vMerge w:val="continue"/>
            <w:noWrap w:val="0"/>
            <w:vAlign w:val="center"/>
          </w:tcPr>
          <w:p>
            <w:pPr>
              <w:pStyle w:val="14"/>
              <w:jc w:val="center"/>
              <w:rPr>
                <w:rStyle w:val="12"/>
                <w:rFonts w:ascii="仿宋" w:hAnsi="仿宋" w:eastAsia="仿宋" w:cs="仿宋"/>
                <w:bCs/>
                <w:kern w:val="0"/>
                <w:sz w:val="22"/>
              </w:rPr>
            </w:pPr>
          </w:p>
        </w:tc>
        <w:tc>
          <w:tcPr>
            <w:tcW w:w="1572" w:type="dxa"/>
            <w:vMerge w:val="continue"/>
            <w:noWrap w:val="0"/>
            <w:vAlign w:val="center"/>
          </w:tcPr>
          <w:p>
            <w:pPr>
              <w:pStyle w:val="14"/>
              <w:jc w:val="center"/>
              <w:rPr>
                <w:rStyle w:val="12"/>
                <w:rFonts w:ascii="仿宋" w:hAnsi="仿宋" w:eastAsia="仿宋" w:cs="仿宋"/>
                <w:bCs/>
                <w:kern w:val="0"/>
                <w:sz w:val="22"/>
              </w:rPr>
            </w:pPr>
          </w:p>
        </w:tc>
        <w:tc>
          <w:tcPr>
            <w:tcW w:w="131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极限值(m)</w:t>
            </w:r>
          </w:p>
        </w:tc>
        <w:tc>
          <w:tcPr>
            <w:tcW w:w="216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710</w:t>
            </w:r>
          </w:p>
        </w:tc>
        <w:tc>
          <w:tcPr>
            <w:tcW w:w="2346"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858"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5</w:t>
            </w:r>
          </w:p>
        </w:tc>
        <w:tc>
          <w:tcPr>
            <w:tcW w:w="2886" w:type="dxa"/>
            <w:gridSpan w:val="2"/>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不设超高最小平曲线半径(m)</w:t>
            </w:r>
          </w:p>
        </w:tc>
        <w:tc>
          <w:tcPr>
            <w:tcW w:w="216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5500</w:t>
            </w:r>
          </w:p>
        </w:tc>
        <w:tc>
          <w:tcPr>
            <w:tcW w:w="2346"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4000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858"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6</w:t>
            </w:r>
          </w:p>
        </w:tc>
        <w:tc>
          <w:tcPr>
            <w:tcW w:w="2886" w:type="dxa"/>
            <w:gridSpan w:val="2"/>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停车视距(m)</w:t>
            </w:r>
          </w:p>
        </w:tc>
        <w:tc>
          <w:tcPr>
            <w:tcW w:w="216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210</w:t>
            </w:r>
          </w:p>
        </w:tc>
        <w:tc>
          <w:tcPr>
            <w:tcW w:w="2346"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858"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7</w:t>
            </w:r>
          </w:p>
        </w:tc>
        <w:tc>
          <w:tcPr>
            <w:tcW w:w="2886" w:type="dxa"/>
            <w:gridSpan w:val="2"/>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最大纵坡(%)</w:t>
            </w:r>
          </w:p>
        </w:tc>
        <w:tc>
          <w:tcPr>
            <w:tcW w:w="216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3</w:t>
            </w:r>
          </w:p>
        </w:tc>
        <w:tc>
          <w:tcPr>
            <w:tcW w:w="2346"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858"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8</w:t>
            </w:r>
          </w:p>
        </w:tc>
        <w:tc>
          <w:tcPr>
            <w:tcW w:w="2886" w:type="dxa"/>
            <w:gridSpan w:val="2"/>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最短坡长(m)</w:t>
            </w:r>
          </w:p>
        </w:tc>
        <w:tc>
          <w:tcPr>
            <w:tcW w:w="216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300</w:t>
            </w:r>
          </w:p>
        </w:tc>
        <w:tc>
          <w:tcPr>
            <w:tcW w:w="2346"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5" w:hRule="atLeast"/>
        </w:trPr>
        <w:tc>
          <w:tcPr>
            <w:tcW w:w="858" w:type="dxa"/>
            <w:vMerge w:val="restart"/>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9</w:t>
            </w:r>
          </w:p>
        </w:tc>
        <w:tc>
          <w:tcPr>
            <w:tcW w:w="1572" w:type="dxa"/>
            <w:vMerge w:val="restart"/>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凸型竖曲线</w:t>
            </w:r>
          </w:p>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最小半径</w:t>
            </w:r>
          </w:p>
        </w:tc>
        <w:tc>
          <w:tcPr>
            <w:tcW w:w="131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一般值（m）</w:t>
            </w:r>
          </w:p>
        </w:tc>
        <w:tc>
          <w:tcPr>
            <w:tcW w:w="216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17000</w:t>
            </w:r>
          </w:p>
        </w:tc>
        <w:tc>
          <w:tcPr>
            <w:tcW w:w="2346"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atLeast"/>
        </w:trPr>
        <w:tc>
          <w:tcPr>
            <w:tcW w:w="858" w:type="dxa"/>
            <w:vMerge w:val="continue"/>
            <w:noWrap w:val="0"/>
            <w:vAlign w:val="center"/>
          </w:tcPr>
          <w:p>
            <w:pPr>
              <w:pStyle w:val="14"/>
              <w:jc w:val="center"/>
              <w:rPr>
                <w:rStyle w:val="12"/>
                <w:rFonts w:ascii="仿宋" w:hAnsi="仿宋" w:eastAsia="仿宋" w:cs="仿宋"/>
                <w:bCs/>
                <w:kern w:val="0"/>
                <w:sz w:val="22"/>
              </w:rPr>
            </w:pPr>
          </w:p>
        </w:tc>
        <w:tc>
          <w:tcPr>
            <w:tcW w:w="1572" w:type="dxa"/>
            <w:vMerge w:val="continue"/>
            <w:noWrap w:val="0"/>
            <w:vAlign w:val="center"/>
          </w:tcPr>
          <w:p>
            <w:pPr>
              <w:pStyle w:val="14"/>
              <w:jc w:val="center"/>
              <w:rPr>
                <w:rStyle w:val="12"/>
                <w:rFonts w:ascii="仿宋" w:hAnsi="仿宋" w:eastAsia="仿宋" w:cs="仿宋"/>
                <w:bCs/>
                <w:kern w:val="0"/>
                <w:sz w:val="22"/>
              </w:rPr>
            </w:pPr>
          </w:p>
        </w:tc>
        <w:tc>
          <w:tcPr>
            <w:tcW w:w="131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极限值</w:t>
            </w:r>
          </w:p>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(m)</w:t>
            </w:r>
          </w:p>
        </w:tc>
        <w:tc>
          <w:tcPr>
            <w:tcW w:w="216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11000</w:t>
            </w:r>
          </w:p>
        </w:tc>
        <w:tc>
          <w:tcPr>
            <w:tcW w:w="2346"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6500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858" w:type="dxa"/>
            <w:vMerge w:val="restart"/>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10</w:t>
            </w:r>
          </w:p>
        </w:tc>
        <w:tc>
          <w:tcPr>
            <w:tcW w:w="1572" w:type="dxa"/>
            <w:vMerge w:val="restart"/>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凹型竖曲线</w:t>
            </w:r>
          </w:p>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最小半径</w:t>
            </w:r>
          </w:p>
        </w:tc>
        <w:tc>
          <w:tcPr>
            <w:tcW w:w="131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一般值(m)</w:t>
            </w:r>
          </w:p>
        </w:tc>
        <w:tc>
          <w:tcPr>
            <w:tcW w:w="216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6000</w:t>
            </w:r>
          </w:p>
        </w:tc>
        <w:tc>
          <w:tcPr>
            <w:tcW w:w="2346"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4500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trPr>
        <w:tc>
          <w:tcPr>
            <w:tcW w:w="858" w:type="dxa"/>
            <w:vMerge w:val="continue"/>
            <w:noWrap w:val="0"/>
            <w:vAlign w:val="center"/>
          </w:tcPr>
          <w:p>
            <w:pPr>
              <w:pStyle w:val="14"/>
              <w:jc w:val="center"/>
              <w:rPr>
                <w:rStyle w:val="12"/>
                <w:rFonts w:ascii="仿宋" w:hAnsi="仿宋" w:eastAsia="仿宋" w:cs="仿宋"/>
                <w:bCs/>
                <w:kern w:val="0"/>
                <w:sz w:val="22"/>
              </w:rPr>
            </w:pPr>
          </w:p>
        </w:tc>
        <w:tc>
          <w:tcPr>
            <w:tcW w:w="1572" w:type="dxa"/>
            <w:vMerge w:val="continue"/>
            <w:noWrap w:val="0"/>
            <w:vAlign w:val="center"/>
          </w:tcPr>
          <w:p>
            <w:pPr>
              <w:pStyle w:val="14"/>
              <w:jc w:val="center"/>
              <w:rPr>
                <w:rStyle w:val="12"/>
                <w:rFonts w:ascii="仿宋" w:hAnsi="仿宋" w:eastAsia="仿宋" w:cs="仿宋"/>
                <w:bCs/>
                <w:kern w:val="0"/>
                <w:sz w:val="22"/>
              </w:rPr>
            </w:pPr>
          </w:p>
        </w:tc>
        <w:tc>
          <w:tcPr>
            <w:tcW w:w="1314" w:type="dxa"/>
            <w:noWrap w:val="0"/>
            <w:vAlign w:val="center"/>
          </w:tcPr>
          <w:p>
            <w:pPr>
              <w:pStyle w:val="29"/>
              <w:widowControl w:val="0"/>
              <w:ind w:firstLine="0" w:firstLineChars="0"/>
              <w:rPr>
                <w:rStyle w:val="12"/>
                <w:rFonts w:hint="eastAsia" w:ascii="仿宋" w:hAnsi="仿宋" w:eastAsia="仿宋" w:cs="仿宋"/>
                <w:bCs/>
                <w:kern w:val="0"/>
                <w:sz w:val="22"/>
              </w:rPr>
            </w:pPr>
            <w:r>
              <w:rPr>
                <w:rStyle w:val="12"/>
                <w:rFonts w:hint="eastAsia" w:ascii="仿宋" w:hAnsi="仿宋" w:eastAsia="仿宋" w:cs="仿宋"/>
                <w:bCs/>
                <w:kern w:val="0"/>
                <w:sz w:val="22"/>
              </w:rPr>
              <w:t>极限值(m)</w:t>
            </w:r>
          </w:p>
        </w:tc>
        <w:tc>
          <w:tcPr>
            <w:tcW w:w="2164"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4000</w:t>
            </w:r>
          </w:p>
        </w:tc>
        <w:tc>
          <w:tcPr>
            <w:tcW w:w="2346" w:type="dxa"/>
            <w:noWrap w:val="0"/>
            <w:vAlign w:val="center"/>
          </w:tcPr>
          <w:p>
            <w:pPr>
              <w:pStyle w:val="14"/>
              <w:jc w:val="center"/>
              <w:rPr>
                <w:rStyle w:val="12"/>
                <w:rFonts w:hint="eastAsia" w:ascii="仿宋" w:hAnsi="仿宋" w:eastAsia="仿宋" w:cs="仿宋"/>
                <w:bCs/>
                <w:kern w:val="0"/>
                <w:sz w:val="22"/>
              </w:rPr>
            </w:pPr>
            <w:r>
              <w:rPr>
                <w:rStyle w:val="12"/>
                <w:rFonts w:hint="eastAsia" w:ascii="仿宋" w:hAnsi="仿宋" w:eastAsia="仿宋" w:cs="仿宋"/>
                <w:bCs/>
                <w:kern w:val="0"/>
                <w:sz w:val="22"/>
              </w:rPr>
              <w:t>3000</w:t>
            </w:r>
          </w:p>
        </w:tc>
      </w:tr>
    </w:tbl>
    <w:p>
      <w:pPr>
        <w:pStyle w:val="14"/>
        <w:jc w:val="center"/>
        <w:rPr>
          <w:rStyle w:val="12"/>
          <w:rFonts w:ascii="仿宋" w:hAnsi="仿宋" w:eastAsia="仿宋" w:cs="仿宋"/>
          <w:kern w:val="0"/>
          <w:sz w:val="24"/>
        </w:rPr>
      </w:pP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3气象与水文简况</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hint="eastAsia" w:ascii="仿宋" w:hAnsi="仿宋" w:eastAsia="仿宋" w:cs="仿宋"/>
          <w:kern w:val="0"/>
          <w:sz w:val="24"/>
        </w:rPr>
      </w:pPr>
      <w:r>
        <w:rPr>
          <w:rStyle w:val="12"/>
          <w:rFonts w:hint="eastAsia" w:ascii="仿宋" w:hAnsi="仿宋" w:eastAsia="仿宋" w:cs="仿宋"/>
          <w:kern w:val="0"/>
          <w:sz w:val="24"/>
        </w:rPr>
        <w:t>本项目区属中亚热带季风性湿润气候区，四季分明，温暖湿润，雨量充沛，春湿多雨，夏秋多旱，严寒期短，暑热期长。多年平均气温17.4℃，多年平均降水量1452.1毫米。春季为一年中降水量最季节，降水量占全年降雨量的37.3%，历年极端气温41°C(1953年）；历年极端最低气温-9°C(1955年）。多年平均风速1.3m/s。年平均日照时数1625.2小时，照率37.0%，全年无霜期307天。项目周边水系主要为耒水水系，路线跨越耒水一级支流西河、郴江。西河为耒水一级支流，发源于郴州北湖区仰天湖，流经郴州北湖区、桂阳县、苏仙区、永兴县，于永兴县塘门口镇西河村注入耒水，河流全长136公里，流域面积为1618平方公里，多年平均流量为29.4立方米每秒。郴江河是湘江二级支流，郴州市区的母亲河，发源于南岭之一的宜章县骑田岭，由南向北流向，在飞天山脚下，流入耒水河。郴江河全长75公里，平均宽50米，坡降3.9‰，自然落差280米，平均流量20立方米每秒，流域770平方公里。</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4地形与地质简况</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沿线地形南高北低，属山岭丘陵地貌。构造剥蚀作用强烈地形切割较深，多形成U形山谷。山脉走向总体受向斜构造控制。山坡坡度一般在15°-35°之间，标高在85-350m之间，部分基岩裸露，植被较为发育。许家洞至宜章小塘地相处湘南山地，北邻永兴红屋盆地，南接南岭山脉北缘，路线东傍五盖山，西倚骑田岭。沿线所经地带为区内相对低矮的构造剥蚀低山重丘及侵蚀剥蚀微丘，间有河谷阶地、溪谷坪地，地形变化较频繁，少数地段地势陡峻，局部切割较深。本项目地貌类型主要为低山重丘，微丘岗岭地貌两种类型，同时中间夹溪谷坪地、河谷阶地、岩溶地貌区。</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5工程规模</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hint="eastAsia" w:ascii="仿宋" w:hAnsi="仿宋" w:eastAsia="仿宋" w:cs="仿宋"/>
          <w:kern w:val="0"/>
          <w:sz w:val="24"/>
        </w:rPr>
      </w:pPr>
      <w:r>
        <w:rPr>
          <w:rStyle w:val="12"/>
          <w:rFonts w:hint="eastAsia" w:ascii="仿宋" w:hAnsi="仿宋" w:eastAsia="仿宋" w:cs="仿宋"/>
          <w:kern w:val="0"/>
          <w:sz w:val="24"/>
        </w:rPr>
        <w:t>本项目全线桥梁共计6283.765米/117座（含分离式立体交叉、互通范围内主线桥），其中：大桥2995.515米/18座、中桥2799.15m/63座、小桥383.6m/29座，地道桥（小桥）105.5m/7座</w:t>
      </w:r>
      <w:r>
        <w:rPr>
          <w:rStyle w:val="12"/>
          <w:rFonts w:hint="eastAsia" w:ascii="仿宋" w:hAnsi="仿宋" w:eastAsia="仿宋" w:cs="仿宋"/>
          <w:kern w:val="0"/>
          <w:sz w:val="24"/>
          <w:lang w:eastAsia="zh-CN"/>
        </w:rPr>
        <w:t>，</w:t>
      </w:r>
      <w:r>
        <w:rPr>
          <w:rStyle w:val="12"/>
          <w:rFonts w:hint="eastAsia" w:ascii="仿宋" w:hAnsi="仿宋" w:eastAsia="仿宋" w:cs="仿宋"/>
          <w:kern w:val="0"/>
          <w:sz w:val="24"/>
        </w:rPr>
        <w:t>桥梁占路线总长为4.35%。涵洞448道，通道206道</w:t>
      </w:r>
      <w:r>
        <w:rPr>
          <w:rStyle w:val="12"/>
          <w:rFonts w:hint="eastAsia" w:ascii="仿宋" w:hAnsi="仿宋" w:eastAsia="仿宋" w:cs="仿宋"/>
          <w:kern w:val="0"/>
          <w:sz w:val="24"/>
          <w:lang w:eastAsia="zh-CN"/>
        </w:rPr>
        <w:t>，</w:t>
      </w:r>
      <w:r>
        <w:rPr>
          <w:rStyle w:val="12"/>
          <w:rFonts w:hint="eastAsia" w:ascii="仿宋" w:hAnsi="仿宋" w:eastAsia="仿宋" w:cs="仿宋"/>
          <w:kern w:val="0"/>
          <w:sz w:val="24"/>
        </w:rPr>
        <w:t>天桥6座，互通式立交</w:t>
      </w:r>
      <w:r>
        <w:rPr>
          <w:rStyle w:val="12"/>
          <w:rFonts w:ascii="仿宋" w:hAnsi="仿宋" w:eastAsia="仿宋" w:cs="仿宋"/>
          <w:kern w:val="0"/>
          <w:sz w:val="24"/>
        </w:rPr>
        <w:t>12</w:t>
      </w:r>
      <w:r>
        <w:rPr>
          <w:rStyle w:val="12"/>
          <w:rFonts w:hint="eastAsia" w:ascii="仿宋" w:hAnsi="仿宋" w:eastAsia="仿宋" w:cs="仿宋"/>
          <w:kern w:val="0"/>
          <w:sz w:val="24"/>
        </w:rPr>
        <w:t>处。沿线设完善的安全设施、服务设施和交通管理设施。其中包括收费站</w:t>
      </w:r>
      <w:r>
        <w:rPr>
          <w:rStyle w:val="12"/>
          <w:rFonts w:ascii="仿宋" w:hAnsi="仿宋" w:eastAsia="仿宋" w:cs="仿宋"/>
          <w:kern w:val="0"/>
          <w:sz w:val="24"/>
        </w:rPr>
        <w:t>11</w:t>
      </w:r>
      <w:r>
        <w:rPr>
          <w:rStyle w:val="12"/>
          <w:rFonts w:hint="eastAsia" w:ascii="仿宋" w:hAnsi="仿宋" w:eastAsia="仿宋" w:cs="仿宋"/>
          <w:kern w:val="0"/>
          <w:sz w:val="24"/>
        </w:rPr>
        <w:t>处、服务区</w:t>
      </w:r>
      <w:r>
        <w:rPr>
          <w:rStyle w:val="12"/>
          <w:rFonts w:ascii="仿宋" w:hAnsi="仿宋" w:eastAsia="仿宋" w:cs="仿宋"/>
          <w:kern w:val="0"/>
          <w:sz w:val="24"/>
        </w:rPr>
        <w:t>5</w:t>
      </w:r>
      <w:r>
        <w:rPr>
          <w:rStyle w:val="12"/>
          <w:rFonts w:hint="eastAsia" w:ascii="仿宋" w:hAnsi="仿宋" w:eastAsia="仿宋" w:cs="仿宋"/>
          <w:kern w:val="0"/>
          <w:sz w:val="24"/>
        </w:rPr>
        <w:t>处、停车区1处、监控通信分中心1处、养护工区</w:t>
      </w:r>
      <w:r>
        <w:rPr>
          <w:rStyle w:val="12"/>
          <w:rFonts w:ascii="仿宋" w:hAnsi="仿宋" w:eastAsia="仿宋" w:cs="仿宋"/>
          <w:kern w:val="0"/>
          <w:sz w:val="24"/>
        </w:rPr>
        <w:t>3</w:t>
      </w:r>
      <w:r>
        <w:rPr>
          <w:rStyle w:val="12"/>
          <w:rFonts w:hint="eastAsia" w:ascii="仿宋" w:hAnsi="仿宋" w:eastAsia="仿宋" w:cs="仿宋"/>
          <w:kern w:val="0"/>
          <w:sz w:val="24"/>
        </w:rPr>
        <w:t>处。</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hint="eastAsia" w:ascii="仿宋" w:hAnsi="仿宋" w:eastAsia="仿宋" w:cs="仿宋"/>
          <w:kern w:val="0"/>
          <w:sz w:val="24"/>
        </w:rPr>
      </w:pPr>
    </w:p>
    <w:p>
      <w:pPr>
        <w:pStyle w:val="14"/>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Style w:val="12"/>
          <w:rFonts w:hint="eastAsia" w:ascii="仿宋" w:hAnsi="仿宋" w:eastAsia="仿宋" w:cs="仿宋"/>
          <w:b/>
          <w:bCs/>
          <w:color w:val="000000"/>
          <w:kern w:val="0"/>
          <w:sz w:val="28"/>
          <w:szCs w:val="28"/>
          <w:lang w:bidi="ar"/>
        </w:rPr>
      </w:pPr>
      <w:r>
        <w:rPr>
          <w:rStyle w:val="12"/>
          <w:rFonts w:hint="eastAsia" w:ascii="仿宋" w:hAnsi="仿宋" w:eastAsia="仿宋" w:cs="仿宋"/>
          <w:b/>
          <w:bCs/>
          <w:color w:val="000000"/>
          <w:kern w:val="0"/>
          <w:sz w:val="28"/>
          <w:szCs w:val="28"/>
          <w:lang w:val="en-US" w:eastAsia="zh-CN" w:bidi="ar"/>
        </w:rPr>
        <w:t>二</w:t>
      </w:r>
      <w:r>
        <w:rPr>
          <w:rStyle w:val="12"/>
          <w:rFonts w:hint="eastAsia" w:ascii="仿宋" w:hAnsi="仿宋" w:eastAsia="仿宋" w:cs="仿宋"/>
          <w:b/>
          <w:bCs/>
          <w:color w:val="000000"/>
          <w:kern w:val="0"/>
          <w:sz w:val="28"/>
          <w:szCs w:val="28"/>
          <w:lang w:bidi="ar"/>
        </w:rPr>
        <w:t>、零道高速公路</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1项目位置</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1.1项目名称：湖南省零陵至道县高速公路项目（简称零道高速公路）</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1.2概述</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零陵至道县高速公路项目起于零陵县富家桥镇，接在建的永零高速公路，经五里牌镇、双牌县城、乌鸦山村、安家村、尚仁里镇、打鼓坪林场、过梅花镇后，止于道县华岩村，接厦蓉高速公路。路线全长 74.837 公里。全线设置富家桥互通、双牌互通、尚仁里互通、打鼓坪互通、梅花互通、道县西互通濂溪互通(枢纽)共7处互通式立交。主线采用双向四车道高速公路标准建设，起点至双牌互通段设计速度 120公里/小时，整体式路基宽度采用 26.5 米，双牌互通至终点段设计速度 100 公里/小时，其中整体式路基宽度采用26 米，分离式路基宽度采用 13 米。采用沥青混凝土路面:桥涵设计车辆荷载等级采用公路-I 级;设计洪水频率特大桥为1/300，其余桥涵、路基均为 1/100; 地震动峰值加速度为 0.05g抗震设防烈度为VI度，其余技术指标按《公路工程技术标准》(JTGBO1-2014)执行。项目建成后，可极大地改善湘南山区落后的交通状况，为改善区域投资环境提供基础保证；连接沿线重要旅游景点、加快旅游业发展；完善路网结构，提高公路运输能力供给，加强湖南省南部的客货运输交流；促进湘南山区社会经济发展，对脱贫攻坚将起到巨大的推动作用。</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1.3项目建设</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路线走向：本项目位于永州市中西部，将永州市零陵区、双牌县和道县直接连接起来。路线走廊总体呈南北走向，北接永零高速（零陵区境内），南至厦蓉高速，与道贺高速相接，路线纵贯零陵区、双牌县和道县。</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主要控制点：富家桥镇、五里牌镇、双牌县城、打鼓坪乡、江村镇、理家坪乡、梅花镇、道县县城。</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沿线主要城镇：富家桥镇、五里牌镇、双牌县城、打鼓坪乡、江村镇、理家坪乡、梅花镇、道县县城。</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沿线主要河流：永江、岚江河、蜂子庙水库、螺丝岩水库、前进水库等。</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沿线主要公路：永零高速公路、G207、G357、厦蓉国家高速公路、道贺高速公路等国省干线及众多县、乡公路。</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沿线主要铁路：洛湛铁路。</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2技术标准</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hint="eastAsia" w:ascii="仿宋" w:hAnsi="仿宋" w:eastAsia="仿宋" w:cs="仿宋"/>
          <w:kern w:val="0"/>
          <w:sz w:val="24"/>
        </w:rPr>
      </w:pPr>
      <w:r>
        <w:rPr>
          <w:rStyle w:val="12"/>
          <w:rFonts w:hint="eastAsia" w:ascii="仿宋" w:hAnsi="仿宋" w:eastAsia="仿宋" w:cs="仿宋"/>
          <w:kern w:val="0"/>
          <w:sz w:val="24"/>
        </w:rPr>
        <w:t>主线采用双向四车道高速公路标准建设，起点至双牌互通段设计速度 120公里/小时，整体式路基宽度采用 26.5 米;双牌互通至终点段设计速度 100 公里/小时，其中整体式路基宽度采用 26 米，分离式路基宽度采用 13 米。采用沥青混凝土路面桥涵设计车辆荷载等级采用公路-I 级;设计洪水频率特大桥为1/300，其余桥涵、路基均为 1/100;地震动峰值加速度为 0.05g抗震设防烈度为VI度。</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宋体" w:hAnsi="宋体" w:eastAsia="宋体" w:cs="宋体"/>
          <w:kern w:val="0"/>
          <w:sz w:val="24"/>
        </w:rPr>
      </w:pPr>
      <w:r>
        <w:rPr>
          <w:rStyle w:val="12"/>
          <w:rFonts w:hint="eastAsia" w:ascii="仿宋" w:hAnsi="仿宋" w:eastAsia="仿宋" w:cs="仿宋"/>
          <w:kern w:val="0"/>
          <w:sz w:val="24"/>
        </w:rPr>
        <w:t>其余技术指标按《公路工程技术标准》(JTGBO1-2014)执行。</w:t>
      </w:r>
    </w:p>
    <w:p>
      <w:pPr>
        <w:pStyle w:val="14"/>
        <w:jc w:val="center"/>
        <w:rPr>
          <w:rStyle w:val="12"/>
          <w:rFonts w:ascii="仿宋" w:hAnsi="仿宋" w:eastAsia="仿宋" w:cs="仿宋"/>
          <w:kern w:val="0"/>
          <w:sz w:val="24"/>
        </w:rPr>
      </w:pPr>
      <w:r>
        <w:rPr>
          <w:rStyle w:val="12"/>
          <w:rFonts w:hint="eastAsia" w:ascii="仿宋" w:hAnsi="仿宋" w:eastAsia="仿宋" w:cs="仿宋"/>
          <w:kern w:val="0"/>
          <w:sz w:val="24"/>
        </w:rPr>
        <w:t>主线主要技术标准表</w:t>
      </w:r>
    </w:p>
    <w:tbl>
      <w:tblPr>
        <w:tblStyle w:val="11"/>
        <w:tblW w:w="909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63"/>
        <w:gridCol w:w="1325"/>
        <w:gridCol w:w="710"/>
        <w:gridCol w:w="227"/>
        <w:gridCol w:w="1496"/>
        <w:gridCol w:w="1825"/>
        <w:gridCol w:w="1324"/>
        <w:gridCol w:w="132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tblHeader/>
          <w:jc w:val="center"/>
        </w:trPr>
        <w:tc>
          <w:tcPr>
            <w:tcW w:w="863"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序号</w:t>
            </w:r>
          </w:p>
        </w:tc>
        <w:tc>
          <w:tcPr>
            <w:tcW w:w="3758" w:type="dxa"/>
            <w:gridSpan w:val="4"/>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项   目</w:t>
            </w:r>
          </w:p>
        </w:tc>
        <w:tc>
          <w:tcPr>
            <w:tcW w:w="1825"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单  位</w:t>
            </w:r>
          </w:p>
        </w:tc>
        <w:tc>
          <w:tcPr>
            <w:tcW w:w="2648" w:type="dxa"/>
            <w:gridSpan w:val="2"/>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指标值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1</w:t>
            </w:r>
          </w:p>
        </w:tc>
        <w:tc>
          <w:tcPr>
            <w:tcW w:w="3758" w:type="dxa"/>
            <w:gridSpan w:val="4"/>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公路等级</w:t>
            </w:r>
          </w:p>
        </w:tc>
        <w:tc>
          <w:tcPr>
            <w:tcW w:w="1825" w:type="dxa"/>
            <w:noWrap w:val="0"/>
            <w:vAlign w:val="center"/>
          </w:tcPr>
          <w:p>
            <w:pPr>
              <w:pStyle w:val="14"/>
              <w:widowControl/>
              <w:jc w:val="center"/>
              <w:rPr>
                <w:rStyle w:val="12"/>
                <w:rFonts w:ascii="Times New Roman" w:hAnsi="宋体" w:eastAsia="宋体" w:cs="Times New Roman"/>
                <w:kern w:val="0"/>
                <w:szCs w:val="21"/>
              </w:rPr>
            </w:pPr>
          </w:p>
        </w:tc>
        <w:tc>
          <w:tcPr>
            <w:tcW w:w="2648" w:type="dxa"/>
            <w:gridSpan w:val="2"/>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高速公路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2</w:t>
            </w:r>
          </w:p>
        </w:tc>
        <w:tc>
          <w:tcPr>
            <w:tcW w:w="3758" w:type="dxa"/>
            <w:gridSpan w:val="4"/>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设计速度</w:t>
            </w:r>
          </w:p>
        </w:tc>
        <w:tc>
          <w:tcPr>
            <w:tcW w:w="1825"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km/h</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120</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100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3</w:t>
            </w:r>
          </w:p>
        </w:tc>
        <w:tc>
          <w:tcPr>
            <w:tcW w:w="3758" w:type="dxa"/>
            <w:gridSpan w:val="4"/>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路基宽度</w:t>
            </w:r>
          </w:p>
        </w:tc>
        <w:tc>
          <w:tcPr>
            <w:tcW w:w="1825"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m</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26.5</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26</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4</w:t>
            </w:r>
          </w:p>
        </w:tc>
        <w:tc>
          <w:tcPr>
            <w:tcW w:w="3758" w:type="dxa"/>
            <w:gridSpan w:val="4"/>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车道数</w:t>
            </w:r>
          </w:p>
        </w:tc>
        <w:tc>
          <w:tcPr>
            <w:tcW w:w="1825" w:type="dxa"/>
            <w:noWrap w:val="0"/>
            <w:vAlign w:val="center"/>
          </w:tcPr>
          <w:p>
            <w:pPr>
              <w:pStyle w:val="14"/>
              <w:widowControl/>
              <w:jc w:val="center"/>
              <w:rPr>
                <w:rStyle w:val="12"/>
                <w:rFonts w:ascii="Times New Roman" w:hAnsi="宋体" w:eastAsia="宋体" w:cs="Times New Roman"/>
                <w:kern w:val="0"/>
                <w:szCs w:val="21"/>
              </w:rPr>
            </w:pPr>
          </w:p>
        </w:tc>
        <w:tc>
          <w:tcPr>
            <w:tcW w:w="2648" w:type="dxa"/>
            <w:gridSpan w:val="2"/>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4</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5</w:t>
            </w:r>
          </w:p>
        </w:tc>
        <w:tc>
          <w:tcPr>
            <w:tcW w:w="3758" w:type="dxa"/>
            <w:gridSpan w:val="4"/>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停车视距</w:t>
            </w:r>
          </w:p>
        </w:tc>
        <w:tc>
          <w:tcPr>
            <w:tcW w:w="1825"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m</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210</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160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vMerge w:val="restart"/>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6</w:t>
            </w:r>
          </w:p>
        </w:tc>
        <w:tc>
          <w:tcPr>
            <w:tcW w:w="2035" w:type="dxa"/>
            <w:gridSpan w:val="2"/>
            <w:vMerge w:val="restart"/>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圆曲线最小半径</w:t>
            </w:r>
          </w:p>
        </w:tc>
        <w:tc>
          <w:tcPr>
            <w:tcW w:w="1723" w:type="dxa"/>
            <w:gridSpan w:val="2"/>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一般值</w:t>
            </w:r>
          </w:p>
        </w:tc>
        <w:tc>
          <w:tcPr>
            <w:tcW w:w="1825"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m</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1000</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700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vMerge w:val="continue"/>
            <w:noWrap w:val="0"/>
            <w:vAlign w:val="center"/>
          </w:tcPr>
          <w:p>
            <w:pPr>
              <w:pStyle w:val="14"/>
              <w:widowControl/>
              <w:jc w:val="center"/>
              <w:rPr>
                <w:rStyle w:val="12"/>
                <w:rFonts w:ascii="Times New Roman" w:hAnsi="宋体" w:eastAsia="宋体" w:cs="Times New Roman"/>
                <w:kern w:val="0"/>
                <w:szCs w:val="21"/>
              </w:rPr>
            </w:pPr>
          </w:p>
        </w:tc>
        <w:tc>
          <w:tcPr>
            <w:tcW w:w="2035" w:type="dxa"/>
            <w:gridSpan w:val="2"/>
            <w:vMerge w:val="continue"/>
            <w:noWrap w:val="0"/>
            <w:vAlign w:val="center"/>
          </w:tcPr>
          <w:p>
            <w:pPr>
              <w:pStyle w:val="14"/>
              <w:widowControl/>
              <w:jc w:val="center"/>
              <w:rPr>
                <w:rStyle w:val="12"/>
                <w:rFonts w:ascii="Times New Roman" w:hAnsi="宋体" w:eastAsia="宋体" w:cs="Times New Roman"/>
                <w:kern w:val="0"/>
                <w:szCs w:val="21"/>
              </w:rPr>
            </w:pPr>
          </w:p>
        </w:tc>
        <w:tc>
          <w:tcPr>
            <w:tcW w:w="1723" w:type="dxa"/>
            <w:gridSpan w:val="2"/>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极限值</w:t>
            </w:r>
          </w:p>
        </w:tc>
        <w:tc>
          <w:tcPr>
            <w:tcW w:w="1825"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m</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650</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400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7</w:t>
            </w:r>
          </w:p>
        </w:tc>
        <w:tc>
          <w:tcPr>
            <w:tcW w:w="3758" w:type="dxa"/>
            <w:gridSpan w:val="4"/>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最大纵坡</w:t>
            </w:r>
          </w:p>
        </w:tc>
        <w:tc>
          <w:tcPr>
            <w:tcW w:w="1825"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3</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4</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8</w:t>
            </w:r>
          </w:p>
        </w:tc>
        <w:tc>
          <w:tcPr>
            <w:tcW w:w="3758" w:type="dxa"/>
            <w:gridSpan w:val="4"/>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最小坡长</w:t>
            </w:r>
          </w:p>
        </w:tc>
        <w:tc>
          <w:tcPr>
            <w:tcW w:w="1825"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m</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300</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250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vMerge w:val="restart"/>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9</w:t>
            </w:r>
          </w:p>
        </w:tc>
        <w:tc>
          <w:tcPr>
            <w:tcW w:w="1325" w:type="dxa"/>
            <w:vMerge w:val="restart"/>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竖曲线最小半径</w:t>
            </w:r>
          </w:p>
        </w:tc>
        <w:tc>
          <w:tcPr>
            <w:tcW w:w="937" w:type="dxa"/>
            <w:gridSpan w:val="2"/>
            <w:vMerge w:val="restart"/>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凸</w:t>
            </w:r>
          </w:p>
        </w:tc>
        <w:tc>
          <w:tcPr>
            <w:tcW w:w="1496"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一般值</w:t>
            </w:r>
          </w:p>
        </w:tc>
        <w:tc>
          <w:tcPr>
            <w:tcW w:w="1825" w:type="dxa"/>
            <w:noWrap w:val="0"/>
            <w:vAlign w:val="top"/>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m</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17000</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10000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vMerge w:val="continue"/>
            <w:noWrap w:val="0"/>
            <w:vAlign w:val="center"/>
          </w:tcPr>
          <w:p>
            <w:pPr>
              <w:pStyle w:val="14"/>
              <w:widowControl/>
              <w:jc w:val="center"/>
              <w:rPr>
                <w:rStyle w:val="12"/>
                <w:rFonts w:ascii="Times New Roman" w:hAnsi="宋体" w:eastAsia="宋体" w:cs="Times New Roman"/>
                <w:kern w:val="0"/>
                <w:szCs w:val="21"/>
              </w:rPr>
            </w:pPr>
          </w:p>
        </w:tc>
        <w:tc>
          <w:tcPr>
            <w:tcW w:w="1325" w:type="dxa"/>
            <w:vMerge w:val="continue"/>
            <w:noWrap w:val="0"/>
            <w:vAlign w:val="center"/>
          </w:tcPr>
          <w:p>
            <w:pPr>
              <w:pStyle w:val="14"/>
              <w:widowControl/>
              <w:jc w:val="center"/>
              <w:rPr>
                <w:rStyle w:val="12"/>
                <w:rFonts w:ascii="Times New Roman" w:hAnsi="宋体" w:eastAsia="宋体" w:cs="Times New Roman"/>
                <w:kern w:val="0"/>
                <w:szCs w:val="21"/>
              </w:rPr>
            </w:pPr>
          </w:p>
        </w:tc>
        <w:tc>
          <w:tcPr>
            <w:tcW w:w="937" w:type="dxa"/>
            <w:gridSpan w:val="2"/>
            <w:vMerge w:val="continue"/>
            <w:noWrap w:val="0"/>
            <w:vAlign w:val="center"/>
          </w:tcPr>
          <w:p>
            <w:pPr>
              <w:pStyle w:val="14"/>
              <w:widowControl/>
              <w:jc w:val="center"/>
              <w:rPr>
                <w:rStyle w:val="12"/>
                <w:rFonts w:ascii="Times New Roman" w:hAnsi="宋体" w:eastAsia="宋体" w:cs="Times New Roman"/>
                <w:kern w:val="0"/>
                <w:szCs w:val="21"/>
              </w:rPr>
            </w:pPr>
          </w:p>
        </w:tc>
        <w:tc>
          <w:tcPr>
            <w:tcW w:w="1496"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极限值</w:t>
            </w:r>
          </w:p>
        </w:tc>
        <w:tc>
          <w:tcPr>
            <w:tcW w:w="1825" w:type="dxa"/>
            <w:noWrap w:val="0"/>
            <w:vAlign w:val="top"/>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m</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11000</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6500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vMerge w:val="continue"/>
            <w:noWrap w:val="0"/>
            <w:vAlign w:val="center"/>
          </w:tcPr>
          <w:p>
            <w:pPr>
              <w:pStyle w:val="14"/>
              <w:widowControl/>
              <w:jc w:val="center"/>
              <w:rPr>
                <w:rStyle w:val="12"/>
                <w:rFonts w:ascii="Times New Roman" w:hAnsi="宋体" w:eastAsia="宋体" w:cs="Times New Roman"/>
                <w:kern w:val="0"/>
                <w:szCs w:val="21"/>
              </w:rPr>
            </w:pPr>
          </w:p>
        </w:tc>
        <w:tc>
          <w:tcPr>
            <w:tcW w:w="1325" w:type="dxa"/>
            <w:vMerge w:val="continue"/>
            <w:noWrap w:val="0"/>
            <w:vAlign w:val="center"/>
          </w:tcPr>
          <w:p>
            <w:pPr>
              <w:pStyle w:val="14"/>
              <w:widowControl/>
              <w:jc w:val="center"/>
              <w:rPr>
                <w:rStyle w:val="12"/>
                <w:rFonts w:ascii="Times New Roman" w:hAnsi="宋体" w:eastAsia="宋体" w:cs="Times New Roman"/>
                <w:kern w:val="0"/>
                <w:szCs w:val="21"/>
              </w:rPr>
            </w:pPr>
          </w:p>
        </w:tc>
        <w:tc>
          <w:tcPr>
            <w:tcW w:w="937" w:type="dxa"/>
            <w:gridSpan w:val="2"/>
            <w:vMerge w:val="restart"/>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凹</w:t>
            </w:r>
          </w:p>
        </w:tc>
        <w:tc>
          <w:tcPr>
            <w:tcW w:w="1496"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一般值</w:t>
            </w:r>
          </w:p>
        </w:tc>
        <w:tc>
          <w:tcPr>
            <w:tcW w:w="1825" w:type="dxa"/>
            <w:noWrap w:val="0"/>
            <w:vAlign w:val="top"/>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m</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6000</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4500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vMerge w:val="continue"/>
            <w:noWrap w:val="0"/>
            <w:vAlign w:val="center"/>
          </w:tcPr>
          <w:p>
            <w:pPr>
              <w:pStyle w:val="14"/>
              <w:widowControl/>
              <w:jc w:val="center"/>
              <w:rPr>
                <w:rStyle w:val="12"/>
                <w:rFonts w:ascii="Times New Roman" w:hAnsi="宋体" w:eastAsia="宋体" w:cs="Times New Roman"/>
                <w:kern w:val="0"/>
                <w:szCs w:val="21"/>
              </w:rPr>
            </w:pPr>
          </w:p>
        </w:tc>
        <w:tc>
          <w:tcPr>
            <w:tcW w:w="1325" w:type="dxa"/>
            <w:vMerge w:val="continue"/>
            <w:noWrap w:val="0"/>
            <w:vAlign w:val="center"/>
          </w:tcPr>
          <w:p>
            <w:pPr>
              <w:pStyle w:val="14"/>
              <w:widowControl/>
              <w:jc w:val="center"/>
              <w:rPr>
                <w:rStyle w:val="12"/>
                <w:rFonts w:ascii="Times New Roman" w:hAnsi="宋体" w:eastAsia="宋体" w:cs="Times New Roman"/>
                <w:kern w:val="0"/>
                <w:szCs w:val="21"/>
              </w:rPr>
            </w:pPr>
          </w:p>
        </w:tc>
        <w:tc>
          <w:tcPr>
            <w:tcW w:w="937" w:type="dxa"/>
            <w:gridSpan w:val="2"/>
            <w:vMerge w:val="continue"/>
            <w:noWrap w:val="0"/>
            <w:vAlign w:val="center"/>
          </w:tcPr>
          <w:p>
            <w:pPr>
              <w:pStyle w:val="14"/>
              <w:widowControl/>
              <w:jc w:val="center"/>
              <w:rPr>
                <w:rStyle w:val="12"/>
                <w:rFonts w:ascii="Times New Roman" w:hAnsi="宋体" w:eastAsia="宋体" w:cs="Times New Roman"/>
                <w:kern w:val="0"/>
                <w:szCs w:val="21"/>
              </w:rPr>
            </w:pPr>
          </w:p>
        </w:tc>
        <w:tc>
          <w:tcPr>
            <w:tcW w:w="1496"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极限值</w:t>
            </w:r>
          </w:p>
        </w:tc>
        <w:tc>
          <w:tcPr>
            <w:tcW w:w="1825" w:type="dxa"/>
            <w:noWrap w:val="0"/>
            <w:vAlign w:val="top"/>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m</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4000</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3000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10</w:t>
            </w:r>
          </w:p>
        </w:tc>
        <w:tc>
          <w:tcPr>
            <w:tcW w:w="3758" w:type="dxa"/>
            <w:gridSpan w:val="4"/>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路基设计洪水频率</w:t>
            </w:r>
          </w:p>
        </w:tc>
        <w:tc>
          <w:tcPr>
            <w:tcW w:w="1825" w:type="dxa"/>
            <w:noWrap w:val="0"/>
            <w:vAlign w:val="center"/>
          </w:tcPr>
          <w:p>
            <w:pPr>
              <w:pStyle w:val="14"/>
              <w:widowControl/>
              <w:jc w:val="center"/>
              <w:rPr>
                <w:rStyle w:val="12"/>
                <w:rFonts w:ascii="Times New Roman" w:hAnsi="宋体" w:eastAsia="宋体" w:cs="Times New Roman"/>
                <w:kern w:val="0"/>
                <w:szCs w:val="21"/>
              </w:rPr>
            </w:pPr>
          </w:p>
        </w:tc>
        <w:tc>
          <w:tcPr>
            <w:tcW w:w="2648" w:type="dxa"/>
            <w:gridSpan w:val="2"/>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1/100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11</w:t>
            </w:r>
          </w:p>
        </w:tc>
        <w:tc>
          <w:tcPr>
            <w:tcW w:w="3758" w:type="dxa"/>
            <w:gridSpan w:val="4"/>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桥涵荷载等级</w:t>
            </w:r>
          </w:p>
        </w:tc>
        <w:tc>
          <w:tcPr>
            <w:tcW w:w="1825" w:type="dxa"/>
            <w:noWrap w:val="0"/>
            <w:vAlign w:val="center"/>
          </w:tcPr>
          <w:p>
            <w:pPr>
              <w:pStyle w:val="14"/>
              <w:widowControl/>
              <w:jc w:val="center"/>
              <w:rPr>
                <w:rStyle w:val="12"/>
                <w:rFonts w:ascii="Times New Roman" w:hAnsi="宋体" w:eastAsia="宋体" w:cs="Times New Roman"/>
                <w:kern w:val="0"/>
                <w:szCs w:val="21"/>
              </w:rPr>
            </w:pPr>
          </w:p>
        </w:tc>
        <w:tc>
          <w:tcPr>
            <w:tcW w:w="2648" w:type="dxa"/>
            <w:gridSpan w:val="2"/>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公路—I 级</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vMerge w:val="restart"/>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12</w:t>
            </w:r>
          </w:p>
        </w:tc>
        <w:tc>
          <w:tcPr>
            <w:tcW w:w="3758" w:type="dxa"/>
            <w:gridSpan w:val="4"/>
            <w:vMerge w:val="restart"/>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桥涵设计洪水频率</w:t>
            </w:r>
          </w:p>
        </w:tc>
        <w:tc>
          <w:tcPr>
            <w:tcW w:w="1825"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特大桥</w:t>
            </w:r>
          </w:p>
        </w:tc>
        <w:tc>
          <w:tcPr>
            <w:tcW w:w="2648" w:type="dxa"/>
            <w:gridSpan w:val="2"/>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1/300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vMerge w:val="continue"/>
            <w:noWrap w:val="0"/>
            <w:vAlign w:val="center"/>
          </w:tcPr>
          <w:p>
            <w:pPr>
              <w:pStyle w:val="14"/>
              <w:widowControl/>
              <w:jc w:val="center"/>
              <w:rPr>
                <w:rStyle w:val="12"/>
                <w:rFonts w:ascii="Times New Roman" w:hAnsi="宋体" w:eastAsia="宋体" w:cs="Times New Roman"/>
                <w:kern w:val="0"/>
                <w:szCs w:val="21"/>
              </w:rPr>
            </w:pPr>
          </w:p>
        </w:tc>
        <w:tc>
          <w:tcPr>
            <w:tcW w:w="3758" w:type="dxa"/>
            <w:gridSpan w:val="4"/>
            <w:vMerge w:val="continue"/>
            <w:noWrap w:val="0"/>
            <w:vAlign w:val="center"/>
          </w:tcPr>
          <w:p>
            <w:pPr>
              <w:pStyle w:val="14"/>
              <w:widowControl/>
              <w:ind w:firstLine="18" w:firstLineChars="9"/>
              <w:jc w:val="center"/>
              <w:rPr>
                <w:rStyle w:val="12"/>
                <w:rFonts w:ascii="Times New Roman" w:hAnsi="宋体" w:eastAsia="宋体" w:cs="Times New Roman"/>
                <w:kern w:val="0"/>
                <w:szCs w:val="21"/>
              </w:rPr>
            </w:pPr>
          </w:p>
        </w:tc>
        <w:tc>
          <w:tcPr>
            <w:tcW w:w="1825"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大、中桥</w:t>
            </w:r>
          </w:p>
        </w:tc>
        <w:tc>
          <w:tcPr>
            <w:tcW w:w="2648" w:type="dxa"/>
            <w:gridSpan w:val="2"/>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1/100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vMerge w:val="continue"/>
            <w:noWrap w:val="0"/>
            <w:vAlign w:val="center"/>
          </w:tcPr>
          <w:p>
            <w:pPr>
              <w:pStyle w:val="14"/>
              <w:widowControl/>
              <w:jc w:val="center"/>
              <w:rPr>
                <w:rStyle w:val="12"/>
                <w:rFonts w:ascii="Times New Roman" w:hAnsi="宋体" w:eastAsia="宋体" w:cs="Times New Roman"/>
                <w:kern w:val="0"/>
                <w:szCs w:val="21"/>
              </w:rPr>
            </w:pPr>
          </w:p>
        </w:tc>
        <w:tc>
          <w:tcPr>
            <w:tcW w:w="3758" w:type="dxa"/>
            <w:gridSpan w:val="4"/>
            <w:vMerge w:val="continue"/>
            <w:noWrap w:val="0"/>
            <w:vAlign w:val="center"/>
          </w:tcPr>
          <w:p>
            <w:pPr>
              <w:pStyle w:val="14"/>
              <w:widowControl/>
              <w:ind w:firstLine="18" w:firstLineChars="9"/>
              <w:jc w:val="center"/>
              <w:rPr>
                <w:rStyle w:val="12"/>
                <w:rFonts w:ascii="Times New Roman" w:hAnsi="宋体" w:eastAsia="宋体" w:cs="Times New Roman"/>
                <w:kern w:val="0"/>
                <w:szCs w:val="21"/>
              </w:rPr>
            </w:pPr>
          </w:p>
        </w:tc>
        <w:tc>
          <w:tcPr>
            <w:tcW w:w="1825"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小桥及涵洞</w:t>
            </w:r>
          </w:p>
        </w:tc>
        <w:tc>
          <w:tcPr>
            <w:tcW w:w="2648" w:type="dxa"/>
            <w:gridSpan w:val="2"/>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1/100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13</w:t>
            </w:r>
          </w:p>
        </w:tc>
        <w:tc>
          <w:tcPr>
            <w:tcW w:w="3758" w:type="dxa"/>
            <w:gridSpan w:val="4"/>
            <w:noWrap w:val="0"/>
            <w:vAlign w:val="center"/>
          </w:tcPr>
          <w:p>
            <w:pPr>
              <w:pStyle w:val="14"/>
              <w:widowControl/>
              <w:ind w:firstLine="18" w:firstLineChars="9"/>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隧道建筑限界净宽</w:t>
            </w:r>
          </w:p>
        </w:tc>
        <w:tc>
          <w:tcPr>
            <w:tcW w:w="1825"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m</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2×10.75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63"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14</w:t>
            </w:r>
          </w:p>
        </w:tc>
        <w:tc>
          <w:tcPr>
            <w:tcW w:w="3758" w:type="dxa"/>
            <w:gridSpan w:val="4"/>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隧道建筑限界净高</w:t>
            </w:r>
          </w:p>
        </w:tc>
        <w:tc>
          <w:tcPr>
            <w:tcW w:w="1825"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m</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w:t>
            </w:r>
          </w:p>
        </w:tc>
        <w:tc>
          <w:tcPr>
            <w:tcW w:w="1324" w:type="dxa"/>
            <w:noWrap w:val="0"/>
            <w:vAlign w:val="center"/>
          </w:tcPr>
          <w:p>
            <w:pPr>
              <w:pStyle w:val="14"/>
              <w:widowControl/>
              <w:jc w:val="center"/>
              <w:rPr>
                <w:rStyle w:val="12"/>
                <w:rFonts w:ascii="Times New Roman" w:hAnsi="宋体" w:eastAsia="宋体" w:cs="Times New Roman"/>
                <w:kern w:val="0"/>
                <w:szCs w:val="21"/>
              </w:rPr>
            </w:pPr>
            <w:r>
              <w:rPr>
                <w:rStyle w:val="12"/>
                <w:rFonts w:ascii="Times New Roman" w:hAnsi="宋体" w:eastAsia="宋体" w:cs="Times New Roman"/>
                <w:kern w:val="0"/>
                <w:szCs w:val="21"/>
              </w:rPr>
              <w:t>5</w:t>
            </w:r>
          </w:p>
        </w:tc>
      </w:tr>
    </w:tbl>
    <w:p>
      <w:pPr>
        <w:pStyle w:val="14"/>
        <w:ind w:firstLine="480" w:firstLineChars="200"/>
        <w:rPr>
          <w:rStyle w:val="12"/>
          <w:rFonts w:ascii="宋体" w:hAnsi="宋体" w:eastAsia="宋体" w:cs="宋体"/>
          <w:kern w:val="0"/>
          <w:sz w:val="24"/>
        </w:rPr>
      </w:pP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3水文地质条件简况</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hint="eastAsia" w:ascii="仿宋" w:hAnsi="仿宋" w:eastAsia="仿宋" w:cs="仿宋"/>
          <w:kern w:val="0"/>
          <w:sz w:val="24"/>
        </w:rPr>
      </w:pPr>
      <w:r>
        <w:rPr>
          <w:rStyle w:val="12"/>
          <w:rFonts w:hint="eastAsia" w:ascii="仿宋" w:hAnsi="仿宋" w:eastAsia="仿宋" w:cs="仿宋"/>
          <w:kern w:val="0"/>
          <w:sz w:val="24"/>
        </w:rPr>
        <w:t>沿线地下水按含水层特征及埋藏条件可划分为三类：第四系松散岩类孔隙水、基岩类裂隙水及碳酸盐岩类岩溶裂隙水。</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hint="eastAsia" w:ascii="仿宋" w:hAnsi="仿宋" w:eastAsia="仿宋" w:cs="仿宋"/>
          <w:kern w:val="0"/>
          <w:sz w:val="24"/>
        </w:rPr>
      </w:pPr>
      <w:r>
        <w:rPr>
          <w:rStyle w:val="12"/>
          <w:rFonts w:hint="eastAsia" w:ascii="仿宋" w:hAnsi="仿宋" w:eastAsia="仿宋" w:cs="仿宋"/>
          <w:kern w:val="0"/>
          <w:sz w:val="24"/>
        </w:rPr>
        <w:t>1）第四系松散岩类孔隙水</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hint="eastAsia" w:ascii="仿宋" w:hAnsi="仿宋" w:eastAsia="仿宋" w:cs="仿宋"/>
          <w:kern w:val="0"/>
          <w:sz w:val="24"/>
        </w:rPr>
      </w:pPr>
      <w:r>
        <w:rPr>
          <w:rStyle w:val="12"/>
          <w:rFonts w:hint="eastAsia" w:ascii="仿宋" w:hAnsi="仿宋" w:eastAsia="仿宋" w:cs="仿宋"/>
          <w:kern w:val="0"/>
          <w:sz w:val="24"/>
        </w:rPr>
        <w:t>主要赋存于第四系全新统、更新统地层的下部及河流、溪沟低阶地地层中，水量较为丰富，初见水位较浅。主要受大气降水渗入补给及地表水体侧向补给。受地形制约，该层地下水自高至低向渗流，以潜流形式向路线地势较低处汇集排泄。河流、溪沟低阶地地层中水量较丰，中、低山丘陵区水量较小。孔隙潜水对路基工程影响较小，但应采取措施防止丰水季节水位上涨对路基的浸泡，对桥涵基础施工有一定影响。</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hint="eastAsia" w:ascii="仿宋" w:hAnsi="仿宋" w:eastAsia="仿宋" w:cs="仿宋"/>
          <w:kern w:val="0"/>
          <w:sz w:val="24"/>
        </w:rPr>
      </w:pPr>
      <w:r>
        <w:rPr>
          <w:rStyle w:val="12"/>
          <w:rFonts w:hint="eastAsia" w:ascii="仿宋" w:hAnsi="仿宋" w:eastAsia="仿宋" w:cs="仿宋"/>
          <w:kern w:val="0"/>
          <w:sz w:val="24"/>
        </w:rPr>
        <w:t>2）基岩类裂隙水</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hint="eastAsia" w:ascii="仿宋" w:hAnsi="仿宋" w:eastAsia="仿宋" w:cs="仿宋"/>
          <w:kern w:val="0"/>
          <w:sz w:val="24"/>
        </w:rPr>
      </w:pPr>
      <w:r>
        <w:rPr>
          <w:rStyle w:val="12"/>
          <w:rFonts w:hint="eastAsia" w:ascii="仿宋" w:hAnsi="仿宋" w:eastAsia="仿宋" w:cs="仿宋"/>
          <w:kern w:val="0"/>
          <w:sz w:val="24"/>
        </w:rPr>
        <w:t>主要赋存于基岩风化节理裂隙、层面裂隙及构造裂隙中。无稳定地下水位，水量不大，水量随季节变化较大。主要接受大气降水补给，无明显径流区，基岩裂隙水对深切方路基有一定影响。</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hint="eastAsia" w:ascii="仿宋" w:hAnsi="仿宋" w:eastAsia="仿宋" w:cs="仿宋"/>
          <w:kern w:val="0"/>
          <w:sz w:val="24"/>
        </w:rPr>
      </w:pPr>
      <w:r>
        <w:rPr>
          <w:rStyle w:val="12"/>
          <w:rFonts w:hint="eastAsia" w:ascii="仿宋" w:hAnsi="仿宋" w:eastAsia="仿宋" w:cs="仿宋"/>
          <w:kern w:val="0"/>
          <w:sz w:val="24"/>
        </w:rPr>
        <w:t>3）碳酸盐岩类岩溶裂隙水</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该类型地下水主要指赋存于灰岩、泥质灰岩中的地下水。根据本次勘察揭露，该类型地下水在本合同段线路内分布点较少，集中出露在部分斜坡的裂隙中，是当地居民重要的饮用及生产水源。。</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4地形与地质简况</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4.1项目区处于湖南省西南部，路线走廊带近南北向穿过都庞岭北支阳明山和紫金山，主要为丘陵低山和中低山地貌，地势整体北低南高；最大标高1100m，一般标高150～400m，相对高差一般50～600m。山体走向整体多为北东向和北北东向。</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5工程规模</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hint="eastAsia" w:ascii="仿宋" w:hAnsi="仿宋" w:eastAsia="仿宋" w:cs="仿宋"/>
          <w:kern w:val="0"/>
          <w:sz w:val="24"/>
        </w:rPr>
      </w:pPr>
      <w:r>
        <w:rPr>
          <w:rStyle w:val="12"/>
          <w:rFonts w:hint="eastAsia" w:ascii="仿宋" w:hAnsi="仿宋" w:eastAsia="仿宋" w:cs="仿宋"/>
          <w:kern w:val="0"/>
          <w:sz w:val="24"/>
        </w:rPr>
        <w:t>零陵至道县高速公路项目起于零陵县富家桥镇，接在建的永零高速公路，经五里牌镇、双牌县城、乌鸦山村、安家村、尚仁里镇、打鼓坪林场、过梅花镇后，止于道县华岩村，接厦蓉高速公路。路线全长 74.837 公里。全线设置富家桥互通、双牌互通、尚仁里互通、打鼓坪互通、梅花互通、道县西互通、濂溪互通(枢纽)共7处互通式立交。</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hint="eastAsia" w:ascii="仿宋" w:hAnsi="仿宋" w:eastAsia="仿宋" w:cs="仿宋"/>
          <w:kern w:val="0"/>
          <w:sz w:val="24"/>
        </w:rPr>
      </w:pPr>
    </w:p>
    <w:p>
      <w:pPr>
        <w:pStyle w:val="14"/>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Style w:val="12"/>
          <w:rFonts w:hint="eastAsia" w:ascii="仿宋" w:hAnsi="仿宋" w:eastAsia="仿宋" w:cs="仿宋"/>
          <w:b/>
          <w:bCs/>
          <w:color w:val="000000"/>
          <w:kern w:val="0"/>
          <w:sz w:val="28"/>
          <w:szCs w:val="28"/>
          <w:lang w:val="en-US" w:eastAsia="zh-CN" w:bidi="ar"/>
        </w:rPr>
      </w:pPr>
      <w:r>
        <w:rPr>
          <w:rStyle w:val="12"/>
          <w:rFonts w:hint="eastAsia" w:ascii="仿宋" w:hAnsi="仿宋" w:eastAsia="仿宋" w:cs="仿宋"/>
          <w:b/>
          <w:bCs/>
          <w:color w:val="000000"/>
          <w:kern w:val="0"/>
          <w:sz w:val="28"/>
          <w:szCs w:val="28"/>
          <w:lang w:val="en-US" w:eastAsia="zh-CN" w:bidi="ar"/>
        </w:rPr>
        <w:t>三、桂新高速公路</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1</w:t>
      </w:r>
      <w:r>
        <w:rPr>
          <w:rStyle w:val="12"/>
          <w:rFonts w:hint="eastAsia" w:ascii="仿宋" w:hAnsi="仿宋" w:eastAsia="仿宋" w:cs="仿宋"/>
          <w:kern w:val="0"/>
          <w:sz w:val="24"/>
          <w:lang w:eastAsia="zh-CN"/>
        </w:rPr>
        <w:t>.</w:t>
      </w:r>
      <w:r>
        <w:rPr>
          <w:rStyle w:val="12"/>
          <w:rFonts w:hint="eastAsia" w:ascii="仿宋" w:hAnsi="仿宋" w:eastAsia="仿宋" w:cs="仿宋"/>
          <w:kern w:val="0"/>
          <w:sz w:val="24"/>
        </w:rPr>
        <w:t>项目位置</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1.1项目名称：湖南省桂东至新田（宁远）高速公路桂阳至新田段项目（简称桂新高速公路）</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1.2概述</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本项目位于湖南省南部，线路整体为东西走向，项目起于郴州市桂阳县舂陵江镇蔓池村附近，与许广高速衡武段相交，往西经永州市新田县大坪塘镇、新圩镇、新田县城和宁远县鲤溪镇、柏家坪镇，止于永州市宁远县清水桥镇与二广高速公路相接，路线全长约</w:t>
      </w:r>
      <w:r>
        <w:rPr>
          <w:rStyle w:val="12"/>
          <w:rFonts w:ascii="仿宋" w:hAnsi="仿宋" w:eastAsia="仿宋" w:cs="仿宋"/>
          <w:kern w:val="0"/>
          <w:sz w:val="24"/>
        </w:rPr>
        <w:t>58.049km</w:t>
      </w:r>
      <w:r>
        <w:rPr>
          <w:rStyle w:val="12"/>
          <w:rFonts w:hint="eastAsia" w:ascii="仿宋" w:hAnsi="仿宋" w:eastAsia="仿宋" w:cs="仿宋"/>
          <w:kern w:val="0"/>
          <w:sz w:val="24"/>
        </w:rPr>
        <w:t>。全线采用双向四车道高速公路标准，设计速度1</w:t>
      </w:r>
      <w:r>
        <w:rPr>
          <w:rStyle w:val="12"/>
          <w:rFonts w:ascii="仿宋" w:hAnsi="仿宋" w:eastAsia="仿宋" w:cs="仿宋"/>
          <w:kern w:val="0"/>
          <w:sz w:val="24"/>
        </w:rPr>
        <w:t>2</w:t>
      </w:r>
      <w:r>
        <w:rPr>
          <w:rStyle w:val="12"/>
          <w:rFonts w:hint="eastAsia" w:ascii="仿宋" w:hAnsi="仿宋" w:eastAsia="仿宋" w:cs="仿宋"/>
          <w:kern w:val="0"/>
          <w:sz w:val="24"/>
        </w:rPr>
        <w:t>0km/h，路基宽度2</w:t>
      </w:r>
      <w:r>
        <w:rPr>
          <w:rStyle w:val="12"/>
          <w:rFonts w:ascii="仿宋" w:hAnsi="仿宋" w:eastAsia="仿宋" w:cs="仿宋"/>
          <w:kern w:val="0"/>
          <w:sz w:val="24"/>
        </w:rPr>
        <w:t>6</w:t>
      </w:r>
      <w:r>
        <w:rPr>
          <w:rStyle w:val="12"/>
          <w:rFonts w:hint="eastAsia" w:ascii="仿宋" w:hAnsi="仿宋" w:eastAsia="仿宋" w:cs="仿宋"/>
          <w:kern w:val="0"/>
          <w:sz w:val="24"/>
        </w:rPr>
        <w:t>.5米，桥涵设计汽车荷载等级采用公路－Ⅰ级。全线设置舂陵江（枢纽）、大坪塘、新田、鲤溪、清水桥（枢纽）5处互通式立交，全线设置服务区1处、匝道收费站</w:t>
      </w:r>
      <w:r>
        <w:rPr>
          <w:rStyle w:val="12"/>
          <w:rFonts w:ascii="仿宋" w:hAnsi="仿宋" w:eastAsia="仿宋" w:cs="仿宋"/>
          <w:kern w:val="0"/>
          <w:sz w:val="24"/>
        </w:rPr>
        <w:t>3</w:t>
      </w:r>
      <w:r>
        <w:rPr>
          <w:rStyle w:val="12"/>
          <w:rFonts w:hint="eastAsia" w:ascii="仿宋" w:hAnsi="仿宋" w:eastAsia="仿宋" w:cs="仿宋"/>
          <w:kern w:val="0"/>
          <w:sz w:val="24"/>
        </w:rPr>
        <w:t>处，养护工区1处，路政基地1处。项目建成后，将大大改善湘南地区落后的交通状况，改善区域投资环境，连接沿线重要旅游景点并加快旅游业的发展，完善路网结构和提高公路运输能力供给，加强湖南省南部的客货运输交流；促进湘南地区社会经济发展，对脱贫攻坚将起到巨大的推动作用。</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1.3项目建设</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路线走向：本项目起于郴州市桂阳县舂陵江镇顺接桂东至新田（宁远）高速公路桂东至桂阳段，与许广高速设舂陵江枢纽互通进行交通转换，往西经桂阳县双林村南侧、古楼村北侧，于观门口北侧跨越车溪河后穿越山体进入永州市新田县境内，过白杜窑、坦头村北侧，而后设大坪塘互通连接</w:t>
      </w:r>
      <w:r>
        <w:rPr>
          <w:rStyle w:val="12"/>
          <w:rFonts w:ascii="仿宋" w:hAnsi="仿宋" w:eastAsia="仿宋" w:cs="仿宋"/>
          <w:kern w:val="0"/>
          <w:sz w:val="24"/>
        </w:rPr>
        <w:t>G234</w:t>
      </w:r>
      <w:r>
        <w:rPr>
          <w:rStyle w:val="12"/>
          <w:rFonts w:hint="eastAsia" w:ascii="仿宋" w:hAnsi="仿宋" w:eastAsia="仿宋" w:cs="仿宋"/>
          <w:kern w:val="0"/>
          <w:sz w:val="24"/>
        </w:rPr>
        <w:t>，之后沿</w:t>
      </w:r>
      <w:r>
        <w:rPr>
          <w:rStyle w:val="12"/>
          <w:rFonts w:ascii="仿宋" w:hAnsi="仿宋" w:eastAsia="仿宋" w:cs="仿宋"/>
          <w:kern w:val="0"/>
          <w:sz w:val="24"/>
        </w:rPr>
        <w:t xml:space="preserve">G234 </w:t>
      </w:r>
      <w:r>
        <w:rPr>
          <w:rStyle w:val="12"/>
          <w:rFonts w:hint="eastAsia" w:ascii="仿宋" w:hAnsi="仿宋" w:eastAsia="仿宋" w:cs="仿宋"/>
          <w:kern w:val="0"/>
          <w:sz w:val="24"/>
        </w:rPr>
        <w:t>走廊南侧继续向西，于麻塘窝以南设新田服务区，随后在黄沙溪村以北相继跨越</w:t>
      </w:r>
      <w:r>
        <w:rPr>
          <w:rStyle w:val="12"/>
          <w:rFonts w:ascii="仿宋" w:hAnsi="仿宋" w:eastAsia="仿宋" w:cs="仿宋"/>
          <w:kern w:val="0"/>
          <w:sz w:val="24"/>
        </w:rPr>
        <w:t>S227</w:t>
      </w:r>
      <w:r>
        <w:rPr>
          <w:rStyle w:val="12"/>
          <w:rFonts w:hint="eastAsia" w:ascii="仿宋" w:hAnsi="仿宋" w:eastAsia="仿宋" w:cs="仿宋"/>
          <w:kern w:val="0"/>
          <w:sz w:val="24"/>
        </w:rPr>
        <w:t>、新田河，于五柳塘设新田互通连接新田县城，而后向西北侧展线，跨越</w:t>
      </w:r>
      <w:r>
        <w:rPr>
          <w:rStyle w:val="12"/>
          <w:rFonts w:ascii="仿宋" w:hAnsi="仿宋" w:eastAsia="仿宋" w:cs="仿宋"/>
          <w:kern w:val="0"/>
          <w:sz w:val="24"/>
        </w:rPr>
        <w:t>S345</w:t>
      </w:r>
      <w:r>
        <w:rPr>
          <w:rStyle w:val="12"/>
          <w:rFonts w:hint="eastAsia" w:ascii="仿宋" w:hAnsi="仿宋" w:eastAsia="仿宋" w:cs="仿宋"/>
          <w:kern w:val="0"/>
          <w:sz w:val="24"/>
        </w:rPr>
        <w:t>，沿</w:t>
      </w:r>
      <w:r>
        <w:rPr>
          <w:rStyle w:val="12"/>
          <w:rFonts w:ascii="仿宋" w:hAnsi="仿宋" w:eastAsia="仿宋" w:cs="仿宋"/>
          <w:kern w:val="0"/>
          <w:sz w:val="24"/>
        </w:rPr>
        <w:t xml:space="preserve">S229 </w:t>
      </w:r>
      <w:r>
        <w:rPr>
          <w:rStyle w:val="12"/>
          <w:rFonts w:hint="eastAsia" w:ascii="仿宋" w:hAnsi="仿宋" w:eastAsia="仿宋" w:cs="仿宋"/>
          <w:kern w:val="0"/>
          <w:sz w:val="24"/>
        </w:rPr>
        <w:t>南侧布线，过关口后进入永州市宁远县境内，而后向西南展线连续跨越</w:t>
      </w:r>
      <w:r>
        <w:rPr>
          <w:rStyle w:val="12"/>
          <w:rFonts w:ascii="仿宋" w:hAnsi="仿宋" w:eastAsia="仿宋" w:cs="仿宋"/>
          <w:kern w:val="0"/>
          <w:sz w:val="24"/>
        </w:rPr>
        <w:t>S229</w:t>
      </w:r>
      <w:r>
        <w:rPr>
          <w:rStyle w:val="12"/>
          <w:rFonts w:hint="eastAsia" w:ascii="仿宋" w:hAnsi="仿宋" w:eastAsia="仿宋" w:cs="仿宋"/>
          <w:kern w:val="0"/>
          <w:sz w:val="24"/>
        </w:rPr>
        <w:t>，过宁远河后，于汤家坪南侧设鲤溪互通连接鲤溪镇，随后沿</w:t>
      </w:r>
      <w:r>
        <w:rPr>
          <w:rStyle w:val="12"/>
          <w:rFonts w:ascii="仿宋" w:hAnsi="仿宋" w:eastAsia="仿宋" w:cs="仿宋"/>
          <w:kern w:val="0"/>
          <w:sz w:val="24"/>
        </w:rPr>
        <w:t xml:space="preserve">S229 </w:t>
      </w:r>
      <w:r>
        <w:rPr>
          <w:rStyle w:val="12"/>
          <w:rFonts w:hint="eastAsia" w:ascii="仿宋" w:hAnsi="仿宋" w:eastAsia="仿宋" w:cs="仿宋"/>
          <w:kern w:val="0"/>
          <w:sz w:val="24"/>
        </w:rPr>
        <w:t>南侧布设，于湾子里跨越</w:t>
      </w:r>
      <w:r>
        <w:rPr>
          <w:rStyle w:val="12"/>
          <w:rFonts w:ascii="仿宋" w:hAnsi="仿宋" w:eastAsia="仿宋" w:cs="仿宋"/>
          <w:kern w:val="0"/>
          <w:sz w:val="24"/>
        </w:rPr>
        <w:t>S229</w:t>
      </w:r>
      <w:r>
        <w:rPr>
          <w:rStyle w:val="12"/>
          <w:rFonts w:hint="eastAsia" w:ascii="仿宋" w:hAnsi="仿宋" w:eastAsia="仿宋" w:cs="仿宋"/>
          <w:kern w:val="0"/>
          <w:sz w:val="24"/>
        </w:rPr>
        <w:t>后沿吕仙岩南侧展线，跨过</w:t>
      </w:r>
      <w:r>
        <w:rPr>
          <w:rStyle w:val="12"/>
          <w:rFonts w:ascii="仿宋" w:hAnsi="仿宋" w:eastAsia="仿宋" w:cs="仿宋"/>
          <w:kern w:val="0"/>
          <w:sz w:val="24"/>
        </w:rPr>
        <w:t xml:space="preserve">S230 </w:t>
      </w:r>
      <w:r>
        <w:rPr>
          <w:rStyle w:val="12"/>
          <w:rFonts w:hint="eastAsia" w:ascii="仿宋" w:hAnsi="仿宋" w:eastAsia="仿宋" w:cs="仿宋"/>
          <w:kern w:val="0"/>
          <w:sz w:val="24"/>
        </w:rPr>
        <w:t>后至项目终点，在清水桥镇木凉亭设清水桥枢纽互通与二广高速进行交通转换。</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主要控制点有：起点与许广高速公路交叉点、桂阳县舂陵江镇、新田县大坪塘镇、新田县城、宁远县鲤溪镇、清水桥镇、新田宁远交界处地形地物、新田河、终点与二广高速公路交叉点。</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控制性工程：刘家桥特大桥、二八湾大桥、宁远河特大桥、汤家坪特大桥。</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主要河流：车溪河、大圩圹河、新田河、宁远河等均无通航要求。</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主要不良地质条件：崩塌、岩溶及地下洞穴、不稳定斜坡、顺层边坡。</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hint="eastAsia" w:ascii="仿宋" w:hAnsi="仿宋" w:eastAsia="仿宋" w:cs="仿宋"/>
          <w:kern w:val="0"/>
          <w:sz w:val="24"/>
        </w:rPr>
      </w:pPr>
      <w:r>
        <w:rPr>
          <w:rStyle w:val="12"/>
          <w:rFonts w:hint="eastAsia" w:ascii="仿宋" w:hAnsi="仿宋" w:eastAsia="仿宋" w:cs="仿宋"/>
          <w:kern w:val="0"/>
          <w:sz w:val="24"/>
        </w:rPr>
        <w:t>项目区内主要的公路有国道</w:t>
      </w:r>
      <w:r>
        <w:rPr>
          <w:rStyle w:val="12"/>
          <w:rFonts w:ascii="仿宋" w:hAnsi="仿宋" w:eastAsia="仿宋" w:cs="仿宋"/>
          <w:kern w:val="0"/>
          <w:sz w:val="24"/>
        </w:rPr>
        <w:t>G234</w:t>
      </w:r>
      <w:r>
        <w:rPr>
          <w:rStyle w:val="12"/>
          <w:rFonts w:hint="eastAsia" w:ascii="仿宋" w:hAnsi="仿宋" w:eastAsia="仿宋" w:cs="仿宋"/>
          <w:kern w:val="0"/>
          <w:sz w:val="24"/>
        </w:rPr>
        <w:t>、新老省道</w:t>
      </w:r>
      <w:r>
        <w:rPr>
          <w:rStyle w:val="12"/>
          <w:rFonts w:ascii="仿宋" w:hAnsi="仿宋" w:eastAsia="仿宋" w:cs="仿宋"/>
          <w:kern w:val="0"/>
          <w:sz w:val="24"/>
        </w:rPr>
        <w:t>S345</w:t>
      </w:r>
      <w:r>
        <w:rPr>
          <w:rStyle w:val="12"/>
          <w:rFonts w:hint="eastAsia" w:ascii="仿宋" w:hAnsi="仿宋" w:eastAsia="仿宋" w:cs="仿宋"/>
          <w:kern w:val="0"/>
          <w:sz w:val="24"/>
        </w:rPr>
        <w:t>、省道</w:t>
      </w:r>
      <w:r>
        <w:rPr>
          <w:rStyle w:val="12"/>
          <w:rFonts w:ascii="仿宋" w:hAnsi="仿宋" w:eastAsia="仿宋" w:cs="仿宋"/>
          <w:kern w:val="0"/>
          <w:sz w:val="24"/>
        </w:rPr>
        <w:t>S215</w:t>
      </w:r>
      <w:r>
        <w:rPr>
          <w:rStyle w:val="12"/>
          <w:rFonts w:hint="eastAsia" w:ascii="仿宋" w:hAnsi="仿宋" w:eastAsia="仿宋" w:cs="仿宋"/>
          <w:kern w:val="0"/>
          <w:sz w:val="24"/>
        </w:rPr>
        <w:t>、</w:t>
      </w:r>
      <w:r>
        <w:rPr>
          <w:rStyle w:val="12"/>
          <w:rFonts w:ascii="仿宋" w:hAnsi="仿宋" w:eastAsia="仿宋" w:cs="仿宋"/>
          <w:kern w:val="0"/>
          <w:sz w:val="24"/>
        </w:rPr>
        <w:t>S227</w:t>
      </w:r>
      <w:r>
        <w:rPr>
          <w:rStyle w:val="12"/>
          <w:rFonts w:hint="eastAsia" w:ascii="仿宋" w:hAnsi="仿宋" w:eastAsia="仿宋" w:cs="仿宋"/>
          <w:kern w:val="0"/>
          <w:sz w:val="24"/>
        </w:rPr>
        <w:t>、</w:t>
      </w:r>
      <w:r>
        <w:rPr>
          <w:rStyle w:val="12"/>
          <w:rFonts w:ascii="仿宋" w:hAnsi="仿宋" w:eastAsia="仿宋" w:cs="仿宋"/>
          <w:kern w:val="0"/>
          <w:sz w:val="24"/>
        </w:rPr>
        <w:t>S229</w:t>
      </w:r>
      <w:r>
        <w:rPr>
          <w:rStyle w:val="12"/>
          <w:rFonts w:hint="eastAsia" w:ascii="仿宋" w:hAnsi="仿宋" w:eastAsia="仿宋" w:cs="仿宋"/>
          <w:kern w:val="0"/>
          <w:sz w:val="24"/>
        </w:rPr>
        <w:t>、</w:t>
      </w:r>
      <w:r>
        <w:rPr>
          <w:rStyle w:val="12"/>
          <w:rFonts w:ascii="仿宋" w:hAnsi="仿宋" w:eastAsia="仿宋" w:cs="仿宋"/>
          <w:kern w:val="0"/>
          <w:sz w:val="24"/>
        </w:rPr>
        <w:t xml:space="preserve">S230 </w:t>
      </w:r>
      <w:r>
        <w:rPr>
          <w:rStyle w:val="12"/>
          <w:rFonts w:hint="eastAsia" w:ascii="仿宋" w:hAnsi="仿宋" w:eastAsia="仿宋" w:cs="仿宋"/>
          <w:kern w:val="0"/>
          <w:sz w:val="24"/>
        </w:rPr>
        <w:t>以及县道和村村通道路，项目区域内无铁路穿过。</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2</w:t>
      </w:r>
      <w:r>
        <w:rPr>
          <w:rStyle w:val="12"/>
          <w:rFonts w:hint="eastAsia" w:ascii="仿宋" w:hAnsi="仿宋" w:eastAsia="仿宋" w:cs="仿宋"/>
          <w:kern w:val="0"/>
          <w:sz w:val="24"/>
          <w:lang w:eastAsia="zh-CN"/>
        </w:rPr>
        <w:t>.</w:t>
      </w:r>
      <w:r>
        <w:rPr>
          <w:rStyle w:val="12"/>
          <w:rFonts w:hint="eastAsia" w:ascii="仿宋" w:hAnsi="仿宋" w:eastAsia="仿宋" w:cs="仿宋"/>
          <w:kern w:val="0"/>
          <w:sz w:val="24"/>
        </w:rPr>
        <w:t>技术标准</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主线：本项目路线全长</w:t>
      </w:r>
      <w:r>
        <w:rPr>
          <w:rStyle w:val="12"/>
          <w:rFonts w:ascii="仿宋" w:hAnsi="仿宋" w:eastAsia="仿宋" w:cs="仿宋"/>
          <w:kern w:val="0"/>
          <w:sz w:val="24"/>
        </w:rPr>
        <w:t>58.049</w:t>
      </w:r>
      <w:r>
        <w:rPr>
          <w:rStyle w:val="12"/>
          <w:rFonts w:hint="eastAsia" w:ascii="仿宋" w:hAnsi="仿宋" w:eastAsia="仿宋" w:cs="仿宋"/>
          <w:kern w:val="0"/>
          <w:sz w:val="24"/>
        </w:rPr>
        <w:t>km，主线按双向4车道高速公路标准建设，设计速度采用1</w:t>
      </w:r>
      <w:r>
        <w:rPr>
          <w:rStyle w:val="12"/>
          <w:rFonts w:ascii="仿宋" w:hAnsi="仿宋" w:eastAsia="仿宋" w:cs="仿宋"/>
          <w:kern w:val="0"/>
          <w:sz w:val="24"/>
        </w:rPr>
        <w:t>2</w:t>
      </w:r>
      <w:r>
        <w:rPr>
          <w:rStyle w:val="12"/>
          <w:rFonts w:hint="eastAsia" w:ascii="仿宋" w:hAnsi="仿宋" w:eastAsia="仿宋" w:cs="仿宋"/>
          <w:kern w:val="0"/>
          <w:sz w:val="24"/>
        </w:rPr>
        <w:t>0km/h，路基宽度采用2</w:t>
      </w:r>
      <w:r>
        <w:rPr>
          <w:rStyle w:val="12"/>
          <w:rFonts w:ascii="仿宋" w:hAnsi="仿宋" w:eastAsia="仿宋" w:cs="仿宋"/>
          <w:kern w:val="0"/>
          <w:sz w:val="24"/>
        </w:rPr>
        <w:t>6</w:t>
      </w:r>
      <w:r>
        <w:rPr>
          <w:rStyle w:val="12"/>
          <w:rFonts w:hint="eastAsia" w:ascii="仿宋" w:hAnsi="仿宋" w:eastAsia="仿宋" w:cs="仿宋"/>
          <w:kern w:val="0"/>
          <w:sz w:val="24"/>
        </w:rPr>
        <w:t>.5m。</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宋体" w:hAnsi="宋体" w:eastAsia="宋体" w:cs="宋体"/>
          <w:kern w:val="0"/>
          <w:sz w:val="24"/>
        </w:rPr>
      </w:pPr>
      <w:r>
        <w:rPr>
          <w:rStyle w:val="12"/>
          <w:rFonts w:hint="eastAsia" w:ascii="仿宋" w:hAnsi="仿宋" w:eastAsia="仿宋" w:cs="仿宋"/>
          <w:kern w:val="0"/>
          <w:sz w:val="24"/>
        </w:rPr>
        <w:t>有关技术指标执行《公路工程技术标准》JTGB01-2014及相关技术标准、规范、规程的规定。</w:t>
      </w:r>
    </w:p>
    <w:p>
      <w:pPr>
        <w:pStyle w:val="14"/>
        <w:jc w:val="center"/>
        <w:rPr>
          <w:rStyle w:val="12"/>
          <w:rFonts w:ascii="仿宋" w:hAnsi="仿宋" w:eastAsia="仿宋" w:cs="仿宋"/>
          <w:kern w:val="0"/>
          <w:sz w:val="24"/>
        </w:rPr>
      </w:pPr>
      <w:r>
        <w:rPr>
          <w:rStyle w:val="12"/>
          <w:rFonts w:hint="eastAsia" w:ascii="仿宋" w:hAnsi="仿宋" w:eastAsia="仿宋" w:cs="仿宋"/>
          <w:kern w:val="0"/>
          <w:sz w:val="24"/>
        </w:rPr>
        <w:t>主线主要技术标准表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456"/>
        <w:gridCol w:w="1903"/>
        <w:gridCol w:w="1913"/>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75" w:type="dxa"/>
            <w:gridSpan w:val="3"/>
            <w:noWrap w:val="0"/>
            <w:vAlign w:val="center"/>
          </w:tcPr>
          <w:p>
            <w:pPr>
              <w:pStyle w:val="14"/>
              <w:jc w:val="center"/>
              <w:rPr>
                <w:rStyle w:val="12"/>
                <w:rFonts w:ascii="仿宋" w:hAnsi="仿宋" w:eastAsia="仿宋" w:cs="仿宋"/>
                <w:b/>
                <w:bCs/>
                <w:kern w:val="0"/>
                <w:sz w:val="24"/>
              </w:rPr>
            </w:pPr>
            <w:r>
              <w:rPr>
                <w:rStyle w:val="12"/>
                <w:rFonts w:hint="eastAsia" w:ascii="仿宋" w:hAnsi="仿宋" w:eastAsia="仿宋" w:cs="仿宋"/>
                <w:b/>
                <w:bCs/>
                <w:kern w:val="0"/>
                <w:sz w:val="24"/>
              </w:rPr>
              <w:t>指标名称</w:t>
            </w:r>
          </w:p>
        </w:tc>
        <w:tc>
          <w:tcPr>
            <w:tcW w:w="1913" w:type="dxa"/>
            <w:noWrap w:val="0"/>
            <w:vAlign w:val="center"/>
          </w:tcPr>
          <w:p>
            <w:pPr>
              <w:pStyle w:val="14"/>
              <w:jc w:val="center"/>
              <w:rPr>
                <w:rStyle w:val="12"/>
                <w:rFonts w:ascii="仿宋" w:hAnsi="仿宋" w:eastAsia="仿宋" w:cs="仿宋"/>
                <w:b/>
                <w:bCs/>
                <w:kern w:val="0"/>
                <w:sz w:val="24"/>
              </w:rPr>
            </w:pPr>
            <w:r>
              <w:rPr>
                <w:rStyle w:val="12"/>
                <w:rFonts w:hint="eastAsia" w:ascii="仿宋" w:hAnsi="仿宋" w:eastAsia="仿宋" w:cs="仿宋"/>
                <w:b/>
                <w:bCs/>
                <w:kern w:val="0"/>
                <w:sz w:val="24"/>
              </w:rPr>
              <w:t>单位</w:t>
            </w:r>
          </w:p>
        </w:tc>
        <w:tc>
          <w:tcPr>
            <w:tcW w:w="2834" w:type="dxa"/>
            <w:noWrap w:val="0"/>
            <w:vAlign w:val="center"/>
          </w:tcPr>
          <w:p>
            <w:pPr>
              <w:pStyle w:val="14"/>
              <w:jc w:val="center"/>
              <w:rPr>
                <w:rStyle w:val="12"/>
                <w:rFonts w:ascii="仿宋" w:hAnsi="仿宋" w:eastAsia="仿宋" w:cs="仿宋"/>
                <w:b/>
                <w:bCs/>
                <w:kern w:val="0"/>
                <w:sz w:val="24"/>
              </w:rPr>
            </w:pPr>
            <w:r>
              <w:rPr>
                <w:rStyle w:val="12"/>
                <w:rFonts w:hint="eastAsia" w:ascii="仿宋" w:hAnsi="仿宋" w:eastAsia="仿宋" w:cs="仿宋"/>
                <w:b/>
                <w:bCs/>
                <w:kern w:val="0"/>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gridSpan w:val="3"/>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公路等级</w:t>
            </w:r>
          </w:p>
        </w:tc>
        <w:tc>
          <w:tcPr>
            <w:tcW w:w="1913" w:type="dxa"/>
            <w:noWrap w:val="0"/>
            <w:vAlign w:val="center"/>
          </w:tcPr>
          <w:p>
            <w:pPr>
              <w:pStyle w:val="14"/>
              <w:jc w:val="center"/>
              <w:rPr>
                <w:rStyle w:val="12"/>
                <w:rFonts w:ascii="仿宋" w:hAnsi="仿宋" w:eastAsia="仿宋" w:cs="仿宋"/>
                <w:kern w:val="0"/>
                <w:sz w:val="24"/>
              </w:rPr>
            </w:pPr>
          </w:p>
        </w:tc>
        <w:tc>
          <w:tcPr>
            <w:tcW w:w="2834"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gridSpan w:val="3"/>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设计速度</w:t>
            </w:r>
          </w:p>
        </w:tc>
        <w:tc>
          <w:tcPr>
            <w:tcW w:w="191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km/h</w:t>
            </w:r>
          </w:p>
        </w:tc>
        <w:tc>
          <w:tcPr>
            <w:tcW w:w="2834"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1</w:t>
            </w:r>
            <w:r>
              <w:rPr>
                <w:rStyle w:val="12"/>
                <w:rFonts w:ascii="仿宋" w:hAnsi="仿宋" w:eastAsia="仿宋" w:cs="仿宋"/>
                <w:kern w:val="0"/>
                <w:sz w:val="24"/>
              </w:rPr>
              <w:t>2</w:t>
            </w:r>
            <w:r>
              <w:rPr>
                <w:rStyle w:val="12"/>
                <w:rFonts w:hint="eastAsia" w:ascii="仿宋" w:hAnsi="仿宋" w:eastAsia="仿宋" w:cs="仿宋"/>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gridSpan w:val="3"/>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路基宽度</w:t>
            </w:r>
          </w:p>
        </w:tc>
        <w:tc>
          <w:tcPr>
            <w:tcW w:w="191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m</w:t>
            </w:r>
          </w:p>
        </w:tc>
        <w:tc>
          <w:tcPr>
            <w:tcW w:w="2834"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2</w:t>
            </w:r>
            <w:r>
              <w:rPr>
                <w:rStyle w:val="12"/>
                <w:rFonts w:ascii="仿宋" w:hAnsi="仿宋" w:eastAsia="仿宋" w:cs="仿宋"/>
                <w:kern w:val="0"/>
                <w:sz w:val="24"/>
              </w:rPr>
              <w:t>6</w:t>
            </w:r>
            <w:r>
              <w:rPr>
                <w:rStyle w:val="12"/>
                <w:rFonts w:hint="eastAsia" w:ascii="仿宋" w:hAnsi="仿宋" w:eastAsia="仿宋" w:cs="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gridSpan w:val="3"/>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设计荷载</w:t>
            </w:r>
          </w:p>
        </w:tc>
        <w:tc>
          <w:tcPr>
            <w:tcW w:w="1913" w:type="dxa"/>
            <w:noWrap w:val="0"/>
            <w:vAlign w:val="center"/>
          </w:tcPr>
          <w:p>
            <w:pPr>
              <w:pStyle w:val="14"/>
              <w:jc w:val="center"/>
              <w:rPr>
                <w:rStyle w:val="12"/>
                <w:rFonts w:ascii="仿宋" w:hAnsi="仿宋" w:eastAsia="仿宋" w:cs="仿宋"/>
                <w:kern w:val="0"/>
                <w:sz w:val="24"/>
              </w:rPr>
            </w:pPr>
          </w:p>
        </w:tc>
        <w:tc>
          <w:tcPr>
            <w:tcW w:w="2834"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公路—Ⅰ级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gridSpan w:val="3"/>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设计洪水频率</w:t>
            </w:r>
          </w:p>
        </w:tc>
        <w:tc>
          <w:tcPr>
            <w:tcW w:w="1913" w:type="dxa"/>
            <w:noWrap w:val="0"/>
            <w:vAlign w:val="center"/>
          </w:tcPr>
          <w:p>
            <w:pPr>
              <w:pStyle w:val="14"/>
              <w:jc w:val="center"/>
              <w:rPr>
                <w:rStyle w:val="12"/>
                <w:rFonts w:ascii="仿宋" w:hAnsi="仿宋" w:eastAsia="仿宋" w:cs="仿宋"/>
                <w:kern w:val="0"/>
                <w:sz w:val="24"/>
              </w:rPr>
            </w:pPr>
          </w:p>
        </w:tc>
        <w:tc>
          <w:tcPr>
            <w:tcW w:w="2834"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1/100(特大桥1/300)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gridSpan w:val="3"/>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最小停车视距</w:t>
            </w:r>
          </w:p>
        </w:tc>
        <w:tc>
          <w:tcPr>
            <w:tcW w:w="191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m</w:t>
            </w:r>
          </w:p>
        </w:tc>
        <w:tc>
          <w:tcPr>
            <w:tcW w:w="2834" w:type="dxa"/>
            <w:noWrap w:val="0"/>
            <w:vAlign w:val="center"/>
          </w:tcPr>
          <w:p>
            <w:pPr>
              <w:pStyle w:val="14"/>
              <w:jc w:val="center"/>
              <w:rPr>
                <w:rStyle w:val="12"/>
                <w:rFonts w:ascii="仿宋" w:hAnsi="仿宋" w:eastAsia="仿宋" w:cs="仿宋"/>
                <w:kern w:val="0"/>
                <w:sz w:val="24"/>
              </w:rPr>
            </w:pPr>
            <w:r>
              <w:rPr>
                <w:rStyle w:val="12"/>
                <w:rFonts w:ascii="仿宋" w:hAnsi="仿宋" w:eastAsia="仿宋" w:cs="仿宋"/>
                <w:kern w:val="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restart"/>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平曲线半径</w:t>
            </w:r>
          </w:p>
        </w:tc>
        <w:tc>
          <w:tcPr>
            <w:tcW w:w="2359" w:type="dxa"/>
            <w:gridSpan w:val="2"/>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极限最小</w:t>
            </w:r>
          </w:p>
        </w:tc>
        <w:tc>
          <w:tcPr>
            <w:tcW w:w="191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m</w:t>
            </w:r>
          </w:p>
        </w:tc>
        <w:tc>
          <w:tcPr>
            <w:tcW w:w="2834" w:type="dxa"/>
            <w:noWrap w:val="0"/>
            <w:vAlign w:val="center"/>
          </w:tcPr>
          <w:p>
            <w:pPr>
              <w:pStyle w:val="14"/>
              <w:jc w:val="center"/>
              <w:rPr>
                <w:rStyle w:val="12"/>
                <w:rFonts w:ascii="仿宋" w:hAnsi="仿宋" w:eastAsia="仿宋" w:cs="仿宋"/>
                <w:kern w:val="0"/>
                <w:sz w:val="24"/>
              </w:rPr>
            </w:pPr>
            <w:r>
              <w:rPr>
                <w:rStyle w:val="12"/>
                <w:rFonts w:ascii="仿宋" w:hAnsi="仿宋" w:eastAsia="仿宋" w:cs="仿宋"/>
                <w:kern w:val="0"/>
                <w:sz w:val="24"/>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noWrap w:val="0"/>
            <w:vAlign w:val="center"/>
          </w:tcPr>
          <w:p>
            <w:pPr>
              <w:pStyle w:val="14"/>
              <w:jc w:val="center"/>
              <w:rPr>
                <w:rStyle w:val="12"/>
                <w:rFonts w:ascii="仿宋" w:hAnsi="仿宋" w:eastAsia="仿宋" w:cs="仿宋"/>
                <w:kern w:val="0"/>
                <w:sz w:val="24"/>
              </w:rPr>
            </w:pPr>
          </w:p>
        </w:tc>
        <w:tc>
          <w:tcPr>
            <w:tcW w:w="2359" w:type="dxa"/>
            <w:gridSpan w:val="2"/>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一般最小</w:t>
            </w:r>
          </w:p>
        </w:tc>
        <w:tc>
          <w:tcPr>
            <w:tcW w:w="191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m</w:t>
            </w:r>
          </w:p>
        </w:tc>
        <w:tc>
          <w:tcPr>
            <w:tcW w:w="2834"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1</w:t>
            </w:r>
            <w:r>
              <w:rPr>
                <w:rStyle w:val="12"/>
                <w:rFonts w:ascii="仿宋" w:hAnsi="仿宋" w:eastAsia="仿宋" w:cs="仿宋"/>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noWrap w:val="0"/>
            <w:vAlign w:val="center"/>
          </w:tcPr>
          <w:p>
            <w:pPr>
              <w:pStyle w:val="14"/>
              <w:jc w:val="center"/>
              <w:rPr>
                <w:rStyle w:val="12"/>
                <w:rFonts w:ascii="仿宋" w:hAnsi="仿宋" w:eastAsia="仿宋" w:cs="仿宋"/>
                <w:kern w:val="0"/>
                <w:sz w:val="24"/>
              </w:rPr>
            </w:pPr>
          </w:p>
        </w:tc>
        <w:tc>
          <w:tcPr>
            <w:tcW w:w="2359" w:type="dxa"/>
            <w:gridSpan w:val="2"/>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不设超高最小</w:t>
            </w:r>
          </w:p>
        </w:tc>
        <w:tc>
          <w:tcPr>
            <w:tcW w:w="191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m</w:t>
            </w:r>
          </w:p>
        </w:tc>
        <w:tc>
          <w:tcPr>
            <w:tcW w:w="2834" w:type="dxa"/>
            <w:noWrap w:val="0"/>
            <w:vAlign w:val="center"/>
          </w:tcPr>
          <w:p>
            <w:pPr>
              <w:pStyle w:val="14"/>
              <w:jc w:val="center"/>
              <w:rPr>
                <w:rStyle w:val="12"/>
                <w:rFonts w:ascii="仿宋" w:hAnsi="仿宋" w:eastAsia="仿宋" w:cs="仿宋"/>
                <w:kern w:val="0"/>
                <w:sz w:val="24"/>
              </w:rPr>
            </w:pPr>
            <w:r>
              <w:rPr>
                <w:rStyle w:val="12"/>
                <w:rFonts w:ascii="仿宋" w:hAnsi="仿宋" w:eastAsia="仿宋" w:cs="仿宋"/>
                <w:kern w:val="0"/>
                <w:sz w:val="24"/>
              </w:rPr>
              <w:t>55</w:t>
            </w:r>
            <w:r>
              <w:rPr>
                <w:rStyle w:val="12"/>
                <w:rFonts w:hint="eastAsia" w:ascii="仿宋" w:hAnsi="仿宋" w:eastAsia="仿宋" w:cs="仿宋"/>
                <w:kern w:val="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gridSpan w:val="3"/>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最大纵坡</w:t>
            </w:r>
          </w:p>
        </w:tc>
        <w:tc>
          <w:tcPr>
            <w:tcW w:w="191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w:t>
            </w:r>
          </w:p>
        </w:tc>
        <w:tc>
          <w:tcPr>
            <w:tcW w:w="2834" w:type="dxa"/>
            <w:noWrap w:val="0"/>
            <w:vAlign w:val="center"/>
          </w:tcPr>
          <w:p>
            <w:pPr>
              <w:pStyle w:val="14"/>
              <w:jc w:val="center"/>
              <w:rPr>
                <w:rStyle w:val="12"/>
                <w:rFonts w:ascii="仿宋" w:hAnsi="仿宋" w:eastAsia="仿宋" w:cs="仿宋"/>
                <w:kern w:val="0"/>
                <w:sz w:val="24"/>
              </w:rPr>
            </w:pPr>
            <w:r>
              <w:rPr>
                <w:rStyle w:val="12"/>
                <w:rFonts w:ascii="仿宋" w:hAnsi="仿宋" w:eastAsia="仿宋" w:cs="仿宋"/>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gridSpan w:val="3"/>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最短坡长</w:t>
            </w:r>
          </w:p>
        </w:tc>
        <w:tc>
          <w:tcPr>
            <w:tcW w:w="191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m</w:t>
            </w:r>
          </w:p>
        </w:tc>
        <w:tc>
          <w:tcPr>
            <w:tcW w:w="2834"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3</w:t>
            </w:r>
            <w:r>
              <w:rPr>
                <w:rStyle w:val="12"/>
                <w:rFonts w:ascii="仿宋" w:hAnsi="仿宋" w:eastAsia="仿宋" w:cs="仿宋"/>
                <w:kern w:val="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gridSpan w:val="3"/>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车道数量</w:t>
            </w:r>
          </w:p>
        </w:tc>
        <w:tc>
          <w:tcPr>
            <w:tcW w:w="191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道</w:t>
            </w:r>
          </w:p>
        </w:tc>
        <w:tc>
          <w:tcPr>
            <w:tcW w:w="2834"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restart"/>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竖曲线半径</w:t>
            </w:r>
          </w:p>
        </w:tc>
        <w:tc>
          <w:tcPr>
            <w:tcW w:w="456" w:type="dxa"/>
            <w:vMerge w:val="restart"/>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凸型</w:t>
            </w:r>
          </w:p>
        </w:tc>
        <w:tc>
          <w:tcPr>
            <w:tcW w:w="190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极限最小</w:t>
            </w:r>
          </w:p>
        </w:tc>
        <w:tc>
          <w:tcPr>
            <w:tcW w:w="191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m</w:t>
            </w:r>
          </w:p>
        </w:tc>
        <w:tc>
          <w:tcPr>
            <w:tcW w:w="2834" w:type="dxa"/>
            <w:noWrap w:val="0"/>
            <w:vAlign w:val="center"/>
          </w:tcPr>
          <w:p>
            <w:pPr>
              <w:pStyle w:val="14"/>
              <w:jc w:val="center"/>
              <w:rPr>
                <w:rStyle w:val="12"/>
                <w:rFonts w:ascii="仿宋" w:hAnsi="仿宋" w:eastAsia="仿宋" w:cs="仿宋"/>
                <w:kern w:val="0"/>
                <w:sz w:val="24"/>
              </w:rPr>
            </w:pPr>
            <w:r>
              <w:rPr>
                <w:rStyle w:val="12"/>
                <w:rFonts w:ascii="仿宋" w:hAnsi="仿宋" w:eastAsia="仿宋" w:cs="仿宋"/>
                <w:kern w:val="0"/>
                <w:sz w:val="24"/>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noWrap w:val="0"/>
            <w:vAlign w:val="center"/>
          </w:tcPr>
          <w:p>
            <w:pPr>
              <w:pStyle w:val="14"/>
              <w:jc w:val="center"/>
              <w:rPr>
                <w:rStyle w:val="12"/>
                <w:rFonts w:ascii="仿宋" w:hAnsi="仿宋" w:eastAsia="仿宋" w:cs="仿宋"/>
                <w:kern w:val="0"/>
                <w:sz w:val="24"/>
              </w:rPr>
            </w:pPr>
          </w:p>
        </w:tc>
        <w:tc>
          <w:tcPr>
            <w:tcW w:w="456" w:type="dxa"/>
            <w:vMerge w:val="continue"/>
            <w:noWrap w:val="0"/>
            <w:vAlign w:val="center"/>
          </w:tcPr>
          <w:p>
            <w:pPr>
              <w:pStyle w:val="14"/>
              <w:jc w:val="center"/>
              <w:rPr>
                <w:rStyle w:val="12"/>
                <w:rFonts w:ascii="仿宋" w:hAnsi="仿宋" w:eastAsia="仿宋" w:cs="仿宋"/>
                <w:kern w:val="0"/>
                <w:sz w:val="24"/>
              </w:rPr>
            </w:pPr>
          </w:p>
        </w:tc>
        <w:tc>
          <w:tcPr>
            <w:tcW w:w="190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一般最小</w:t>
            </w:r>
          </w:p>
        </w:tc>
        <w:tc>
          <w:tcPr>
            <w:tcW w:w="191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m</w:t>
            </w:r>
          </w:p>
        </w:tc>
        <w:tc>
          <w:tcPr>
            <w:tcW w:w="2834" w:type="dxa"/>
            <w:noWrap w:val="0"/>
            <w:vAlign w:val="center"/>
          </w:tcPr>
          <w:p>
            <w:pPr>
              <w:pStyle w:val="14"/>
              <w:jc w:val="center"/>
              <w:rPr>
                <w:rStyle w:val="12"/>
                <w:rFonts w:ascii="仿宋" w:hAnsi="仿宋" w:eastAsia="仿宋" w:cs="仿宋"/>
                <w:kern w:val="0"/>
                <w:sz w:val="24"/>
              </w:rPr>
            </w:pPr>
            <w:r>
              <w:rPr>
                <w:rStyle w:val="12"/>
                <w:rFonts w:ascii="仿宋" w:hAnsi="仿宋" w:eastAsia="仿宋" w:cs="仿宋"/>
                <w:kern w:val="0"/>
                <w:sz w:val="24"/>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noWrap w:val="0"/>
            <w:vAlign w:val="center"/>
          </w:tcPr>
          <w:p>
            <w:pPr>
              <w:pStyle w:val="14"/>
              <w:jc w:val="center"/>
              <w:rPr>
                <w:rStyle w:val="12"/>
                <w:rFonts w:ascii="仿宋" w:hAnsi="仿宋" w:eastAsia="仿宋" w:cs="仿宋"/>
                <w:kern w:val="0"/>
                <w:sz w:val="24"/>
              </w:rPr>
            </w:pPr>
          </w:p>
        </w:tc>
        <w:tc>
          <w:tcPr>
            <w:tcW w:w="456" w:type="dxa"/>
            <w:vMerge w:val="restart"/>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凹型</w:t>
            </w:r>
          </w:p>
        </w:tc>
        <w:tc>
          <w:tcPr>
            <w:tcW w:w="190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极限最小</w:t>
            </w:r>
          </w:p>
        </w:tc>
        <w:tc>
          <w:tcPr>
            <w:tcW w:w="191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m</w:t>
            </w:r>
          </w:p>
        </w:tc>
        <w:tc>
          <w:tcPr>
            <w:tcW w:w="2834" w:type="dxa"/>
            <w:noWrap w:val="0"/>
            <w:vAlign w:val="center"/>
          </w:tcPr>
          <w:p>
            <w:pPr>
              <w:pStyle w:val="14"/>
              <w:jc w:val="center"/>
              <w:rPr>
                <w:rStyle w:val="12"/>
                <w:rFonts w:ascii="仿宋" w:hAnsi="仿宋" w:eastAsia="仿宋" w:cs="仿宋"/>
                <w:kern w:val="0"/>
                <w:sz w:val="24"/>
              </w:rPr>
            </w:pPr>
            <w:r>
              <w:rPr>
                <w:rStyle w:val="12"/>
                <w:rFonts w:ascii="仿宋" w:hAnsi="仿宋" w:eastAsia="仿宋" w:cs="仿宋"/>
                <w:kern w:val="0"/>
                <w:sz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noWrap w:val="0"/>
            <w:vAlign w:val="center"/>
          </w:tcPr>
          <w:p>
            <w:pPr>
              <w:pStyle w:val="14"/>
              <w:jc w:val="center"/>
              <w:rPr>
                <w:rStyle w:val="12"/>
                <w:rFonts w:ascii="仿宋" w:hAnsi="仿宋" w:eastAsia="仿宋" w:cs="仿宋"/>
                <w:kern w:val="0"/>
                <w:sz w:val="24"/>
              </w:rPr>
            </w:pPr>
          </w:p>
        </w:tc>
        <w:tc>
          <w:tcPr>
            <w:tcW w:w="456" w:type="dxa"/>
            <w:vMerge w:val="continue"/>
            <w:noWrap w:val="0"/>
            <w:vAlign w:val="center"/>
          </w:tcPr>
          <w:p>
            <w:pPr>
              <w:pStyle w:val="14"/>
              <w:jc w:val="center"/>
              <w:rPr>
                <w:rStyle w:val="12"/>
                <w:rFonts w:ascii="仿宋" w:hAnsi="仿宋" w:eastAsia="仿宋" w:cs="仿宋"/>
                <w:kern w:val="0"/>
                <w:sz w:val="24"/>
              </w:rPr>
            </w:pPr>
          </w:p>
        </w:tc>
        <w:tc>
          <w:tcPr>
            <w:tcW w:w="190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一般最小</w:t>
            </w:r>
          </w:p>
        </w:tc>
        <w:tc>
          <w:tcPr>
            <w:tcW w:w="191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m</w:t>
            </w:r>
          </w:p>
        </w:tc>
        <w:tc>
          <w:tcPr>
            <w:tcW w:w="2834"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4</w:t>
            </w:r>
            <w:r>
              <w:rPr>
                <w:rStyle w:val="12"/>
                <w:rFonts w:ascii="仿宋" w:hAnsi="仿宋" w:eastAsia="仿宋" w:cs="仿宋"/>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gridSpan w:val="3"/>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最小竖曲线长度</w:t>
            </w:r>
          </w:p>
        </w:tc>
        <w:tc>
          <w:tcPr>
            <w:tcW w:w="191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m</w:t>
            </w:r>
          </w:p>
        </w:tc>
        <w:tc>
          <w:tcPr>
            <w:tcW w:w="2834" w:type="dxa"/>
            <w:noWrap w:val="0"/>
            <w:vAlign w:val="center"/>
          </w:tcPr>
          <w:p>
            <w:pPr>
              <w:pStyle w:val="14"/>
              <w:jc w:val="center"/>
              <w:rPr>
                <w:rStyle w:val="12"/>
                <w:rFonts w:ascii="仿宋" w:hAnsi="仿宋" w:eastAsia="仿宋" w:cs="仿宋"/>
                <w:kern w:val="0"/>
                <w:sz w:val="24"/>
              </w:rPr>
            </w:pPr>
            <w:r>
              <w:rPr>
                <w:rStyle w:val="12"/>
                <w:rFonts w:ascii="仿宋" w:hAnsi="仿宋" w:eastAsia="仿宋" w:cs="仿宋"/>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gridSpan w:val="3"/>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路面等级</w:t>
            </w:r>
          </w:p>
        </w:tc>
        <w:tc>
          <w:tcPr>
            <w:tcW w:w="1913" w:type="dxa"/>
            <w:noWrap w:val="0"/>
            <w:vAlign w:val="center"/>
          </w:tcPr>
          <w:p>
            <w:pPr>
              <w:pStyle w:val="14"/>
              <w:jc w:val="center"/>
              <w:rPr>
                <w:rStyle w:val="12"/>
                <w:rFonts w:ascii="仿宋" w:hAnsi="仿宋" w:eastAsia="仿宋" w:cs="仿宋"/>
                <w:kern w:val="0"/>
                <w:sz w:val="24"/>
              </w:rPr>
            </w:pPr>
          </w:p>
        </w:tc>
        <w:tc>
          <w:tcPr>
            <w:tcW w:w="2834"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BZZ-100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gridSpan w:val="3"/>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桥面宽度</w:t>
            </w:r>
          </w:p>
        </w:tc>
        <w:tc>
          <w:tcPr>
            <w:tcW w:w="1913"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m</w:t>
            </w:r>
          </w:p>
        </w:tc>
        <w:tc>
          <w:tcPr>
            <w:tcW w:w="2834" w:type="dxa"/>
            <w:noWrap w:val="0"/>
            <w:vAlign w:val="center"/>
          </w:tcPr>
          <w:p>
            <w:pPr>
              <w:pStyle w:val="14"/>
              <w:jc w:val="center"/>
              <w:rPr>
                <w:rStyle w:val="12"/>
                <w:rFonts w:ascii="仿宋" w:hAnsi="仿宋" w:eastAsia="仿宋" w:cs="仿宋"/>
                <w:kern w:val="0"/>
                <w:sz w:val="24"/>
              </w:rPr>
            </w:pPr>
            <w:r>
              <w:rPr>
                <w:rStyle w:val="12"/>
                <w:rFonts w:hint="eastAsia" w:ascii="仿宋" w:hAnsi="仿宋" w:eastAsia="仿宋" w:cs="仿宋"/>
                <w:kern w:val="0"/>
                <w:sz w:val="24"/>
              </w:rPr>
              <w:t>2×净11</w:t>
            </w:r>
          </w:p>
        </w:tc>
      </w:tr>
    </w:tbl>
    <w:p>
      <w:pPr>
        <w:pStyle w:val="14"/>
        <w:ind w:firstLine="480" w:firstLineChars="200"/>
        <w:rPr>
          <w:rStyle w:val="12"/>
          <w:rFonts w:ascii="宋体" w:hAnsi="宋体" w:eastAsia="宋体" w:cs="宋体"/>
          <w:kern w:val="0"/>
          <w:sz w:val="24"/>
        </w:rPr>
      </w:pP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3</w:t>
      </w:r>
      <w:r>
        <w:rPr>
          <w:rStyle w:val="12"/>
          <w:rFonts w:hint="eastAsia" w:ascii="仿宋" w:hAnsi="仿宋" w:eastAsia="仿宋" w:cs="仿宋"/>
          <w:kern w:val="0"/>
          <w:sz w:val="24"/>
          <w:lang w:eastAsia="zh-CN"/>
        </w:rPr>
        <w:t>.</w:t>
      </w:r>
      <w:r>
        <w:rPr>
          <w:rStyle w:val="12"/>
          <w:rFonts w:hint="eastAsia" w:ascii="仿宋" w:hAnsi="仿宋" w:eastAsia="仿宋" w:cs="仿宋"/>
          <w:kern w:val="0"/>
          <w:sz w:val="24"/>
        </w:rPr>
        <w:t>气象与水文简况</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hint="eastAsia" w:ascii="仿宋" w:hAnsi="仿宋" w:eastAsia="仿宋" w:cs="仿宋"/>
          <w:kern w:val="0"/>
          <w:sz w:val="24"/>
        </w:rPr>
      </w:pPr>
      <w:r>
        <w:rPr>
          <w:rStyle w:val="12"/>
          <w:rFonts w:hint="eastAsia" w:ascii="仿宋" w:hAnsi="仿宋" w:eastAsia="仿宋" w:cs="仿宋"/>
          <w:kern w:val="0"/>
          <w:sz w:val="24"/>
        </w:rPr>
        <w:t>本项目所经桂东县境属季风性湿润气候，具有南亚热带的气候特点。地表水源较为丰富，雨量充沛，地表径流丰富，但大气降水时空分布不均匀；年际变化大，年内分配不匀。全年降雨量的变化系数在0.17～0.25之间。年内分配的一般规律是：雨量集中在3～8月份，降雨量1184mm，占全年的71%。枯水期9～2月份降雨量484mm，占全年的29%，洪水大多发生在5～8月份，最多发生在5月份，占24.2%。洪水暴涨暴落，峰型单瘦，洪峰持续时间一般为0.5～1.5小时，一次洪水过程一般为1～3天。本项目跨越的水系主要有新田河、宁远河和车溪河等，均不通航。</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4</w:t>
      </w:r>
      <w:r>
        <w:rPr>
          <w:rStyle w:val="12"/>
          <w:rFonts w:hint="eastAsia" w:ascii="仿宋" w:hAnsi="仿宋" w:eastAsia="仿宋" w:cs="仿宋"/>
          <w:kern w:val="0"/>
          <w:sz w:val="24"/>
          <w:lang w:eastAsia="zh-CN"/>
        </w:rPr>
        <w:t>.</w:t>
      </w:r>
      <w:r>
        <w:rPr>
          <w:rStyle w:val="12"/>
          <w:rFonts w:hint="eastAsia" w:ascii="仿宋" w:hAnsi="仿宋" w:eastAsia="仿宋" w:cs="仿宋"/>
          <w:kern w:val="0"/>
          <w:sz w:val="24"/>
        </w:rPr>
        <w:t>地形与地质简况</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ascii="仿宋" w:hAnsi="仿宋" w:eastAsia="仿宋" w:cs="仿宋"/>
          <w:kern w:val="0"/>
          <w:sz w:val="24"/>
        </w:rPr>
        <w:t>项目区位于湖南省南部丘陵地区，途径湖南省郴州市桂阳县、永州市新田县、宁远县。路线走向东西向，地势总体起伏不大，地势总体西高东低，地形地貌较为简单。区内发育春陵江、新田河及其支流，均为湘江水系。根据地貌的成因、形态及组合特征，地貌单元可划分为构造溶蚀峰林地貌</w:t>
      </w:r>
      <w:r>
        <w:rPr>
          <w:rStyle w:val="12"/>
          <w:rFonts w:hint="eastAsia" w:ascii="仿宋" w:hAnsi="仿宋" w:eastAsia="仿宋" w:cs="仿宋"/>
          <w:kern w:val="0"/>
          <w:sz w:val="24"/>
        </w:rPr>
        <w:t>，</w:t>
      </w:r>
      <w:r>
        <w:rPr>
          <w:rStyle w:val="12"/>
          <w:rFonts w:ascii="仿宋" w:hAnsi="仿宋" w:eastAsia="仿宋" w:cs="仿宋"/>
          <w:kern w:val="0"/>
          <w:sz w:val="24"/>
        </w:rPr>
        <w:t>构造溶蚀微丘台地地貌，构造剥蚀丘陵缓坡地貌。</w:t>
      </w:r>
    </w:p>
    <w:p>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2"/>
          <w:rFonts w:ascii="仿宋" w:hAnsi="仿宋" w:eastAsia="仿宋" w:cs="仿宋"/>
          <w:kern w:val="0"/>
          <w:sz w:val="24"/>
        </w:rPr>
      </w:pPr>
      <w:r>
        <w:rPr>
          <w:rStyle w:val="12"/>
          <w:rFonts w:hint="eastAsia" w:ascii="仿宋" w:hAnsi="仿宋" w:eastAsia="仿宋" w:cs="仿宋"/>
          <w:kern w:val="0"/>
          <w:sz w:val="24"/>
        </w:rPr>
        <w:t>5</w:t>
      </w:r>
      <w:r>
        <w:rPr>
          <w:rStyle w:val="12"/>
          <w:rFonts w:hint="eastAsia" w:ascii="仿宋" w:hAnsi="仿宋" w:eastAsia="仿宋" w:cs="仿宋"/>
          <w:kern w:val="0"/>
          <w:sz w:val="24"/>
          <w:lang w:eastAsia="zh-CN"/>
        </w:rPr>
        <w:t>.</w:t>
      </w:r>
      <w:r>
        <w:rPr>
          <w:rStyle w:val="12"/>
          <w:rFonts w:hint="eastAsia" w:ascii="仿宋" w:hAnsi="仿宋" w:eastAsia="仿宋" w:cs="仿宋"/>
          <w:kern w:val="0"/>
          <w:sz w:val="24"/>
        </w:rPr>
        <w:t>工程规模</w:t>
      </w:r>
    </w:p>
    <w:p>
      <w:pPr>
        <w:spacing w:line="400" w:lineRule="atLeast"/>
        <w:rPr>
          <w:rStyle w:val="12"/>
          <w:rFonts w:hint="eastAsia" w:ascii="Times New Roman" w:hAnsi="Times New Roman" w:eastAsia="黑体" w:cs="Times New Roman"/>
          <w:b/>
          <w:bCs/>
          <w:kern w:val="44"/>
          <w:sz w:val="28"/>
          <w:szCs w:val="28"/>
        </w:rPr>
      </w:pPr>
      <w:r>
        <w:rPr>
          <w:rStyle w:val="12"/>
          <w:rFonts w:hint="eastAsia" w:ascii="仿宋" w:hAnsi="仿宋" w:eastAsia="仿宋" w:cs="仿宋"/>
          <w:kern w:val="0"/>
          <w:sz w:val="24"/>
        </w:rPr>
        <w:t>本项目主线长</w:t>
      </w:r>
      <w:r>
        <w:rPr>
          <w:rStyle w:val="12"/>
          <w:rFonts w:ascii="仿宋" w:hAnsi="仿宋" w:eastAsia="仿宋" w:cs="仿宋"/>
          <w:kern w:val="0"/>
          <w:sz w:val="24"/>
        </w:rPr>
        <w:t>58.049</w:t>
      </w:r>
      <w:r>
        <w:rPr>
          <w:rStyle w:val="12"/>
          <w:rFonts w:hint="eastAsia" w:ascii="仿宋" w:hAnsi="仿宋" w:eastAsia="仿宋" w:cs="仿宋"/>
          <w:kern w:val="0"/>
          <w:sz w:val="24"/>
        </w:rPr>
        <w:t>km。全线共设大中桥</w:t>
      </w:r>
      <w:r>
        <w:rPr>
          <w:rStyle w:val="12"/>
          <w:rFonts w:ascii="仿宋" w:hAnsi="仿宋" w:eastAsia="仿宋" w:cs="仿宋"/>
          <w:kern w:val="0"/>
          <w:sz w:val="24"/>
        </w:rPr>
        <w:t>16799.6</w:t>
      </w:r>
      <w:r>
        <w:rPr>
          <w:rStyle w:val="12"/>
          <w:rFonts w:hint="eastAsia" w:ascii="仿宋" w:hAnsi="仿宋" w:eastAsia="仿宋" w:cs="仿宋"/>
          <w:kern w:val="0"/>
          <w:sz w:val="24"/>
        </w:rPr>
        <w:t>m/</w:t>
      </w:r>
      <w:r>
        <w:rPr>
          <w:rStyle w:val="12"/>
          <w:rFonts w:ascii="仿宋" w:hAnsi="仿宋" w:eastAsia="仿宋" w:cs="仿宋"/>
          <w:kern w:val="0"/>
          <w:sz w:val="24"/>
        </w:rPr>
        <w:t>34</w:t>
      </w:r>
      <w:r>
        <w:rPr>
          <w:rStyle w:val="12"/>
          <w:rFonts w:hint="eastAsia" w:ascii="仿宋" w:hAnsi="仿宋" w:eastAsia="仿宋" w:cs="仿宋"/>
          <w:kern w:val="0"/>
          <w:sz w:val="24"/>
        </w:rPr>
        <w:t>座（含互通、服务区主线桥</w:t>
      </w:r>
      <w:r>
        <w:rPr>
          <w:rStyle w:val="12"/>
          <w:rFonts w:hint="eastAsia" w:ascii="仿宋" w:hAnsi="仿宋" w:eastAsia="仿宋" w:cs="仿宋"/>
          <w:kern w:val="0"/>
          <w:sz w:val="24"/>
          <w:lang w:eastAsia="zh-CN"/>
        </w:rPr>
        <w:t>）</w:t>
      </w:r>
      <w:r>
        <w:rPr>
          <w:rStyle w:val="12"/>
          <w:rFonts w:hint="eastAsia" w:ascii="仿宋" w:hAnsi="仿宋" w:eastAsia="仿宋" w:cs="仿宋"/>
          <w:kern w:val="0"/>
          <w:sz w:val="24"/>
        </w:rPr>
        <w:t>，互通式立交</w:t>
      </w:r>
      <w:r>
        <w:rPr>
          <w:rStyle w:val="12"/>
          <w:rFonts w:ascii="仿宋" w:hAnsi="仿宋" w:eastAsia="仿宋" w:cs="仿宋"/>
          <w:kern w:val="0"/>
          <w:sz w:val="24"/>
        </w:rPr>
        <w:t>5</w:t>
      </w:r>
      <w:r>
        <w:rPr>
          <w:rStyle w:val="12"/>
          <w:rFonts w:hint="eastAsia" w:ascii="仿宋" w:hAnsi="仿宋" w:eastAsia="仿宋" w:cs="仿宋"/>
          <w:kern w:val="0"/>
          <w:sz w:val="24"/>
        </w:rPr>
        <w:t>处，涵洞、通道、天桥</w:t>
      </w:r>
      <w:r>
        <w:rPr>
          <w:rStyle w:val="12"/>
          <w:rFonts w:ascii="仿宋" w:hAnsi="仿宋" w:eastAsia="仿宋" w:cs="仿宋"/>
          <w:kern w:val="0"/>
          <w:sz w:val="24"/>
        </w:rPr>
        <w:t>172</w:t>
      </w:r>
      <w:r>
        <w:rPr>
          <w:rStyle w:val="12"/>
          <w:rFonts w:hint="eastAsia" w:ascii="仿宋" w:hAnsi="仿宋" w:eastAsia="仿宋" w:cs="仿宋"/>
          <w:kern w:val="0"/>
          <w:sz w:val="24"/>
        </w:rPr>
        <w:t>处。沿线设完善的安全设施、服务设施和交通管理设施</w:t>
      </w:r>
      <w:r>
        <w:rPr>
          <w:rStyle w:val="12"/>
          <w:rFonts w:hint="eastAsia" w:ascii="仿宋" w:hAnsi="仿宋" w:eastAsia="仿宋" w:cs="仿宋"/>
          <w:kern w:val="0"/>
          <w:sz w:val="24"/>
          <w:lang w:eastAsia="zh-CN"/>
        </w:rPr>
        <w:t>，</w:t>
      </w:r>
      <w:r>
        <w:rPr>
          <w:rStyle w:val="12"/>
          <w:rFonts w:hint="eastAsia" w:ascii="仿宋" w:hAnsi="仿宋" w:eastAsia="仿宋" w:cs="仿宋"/>
          <w:kern w:val="0"/>
          <w:sz w:val="24"/>
        </w:rPr>
        <w:t>其中包括收费站</w:t>
      </w:r>
      <w:r>
        <w:rPr>
          <w:rStyle w:val="12"/>
          <w:rFonts w:ascii="仿宋" w:hAnsi="仿宋" w:eastAsia="仿宋" w:cs="仿宋"/>
          <w:kern w:val="0"/>
          <w:sz w:val="24"/>
        </w:rPr>
        <w:t>3</w:t>
      </w:r>
      <w:r>
        <w:rPr>
          <w:rStyle w:val="12"/>
          <w:rFonts w:hint="eastAsia" w:ascii="仿宋" w:hAnsi="仿宋" w:eastAsia="仿宋" w:cs="仿宋"/>
          <w:kern w:val="0"/>
          <w:sz w:val="24"/>
        </w:rPr>
        <w:t>处、服务区1处、养护工区1处，路政基地1处。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25"/>
        <w:keepNext w:val="0"/>
        <w:keepLines w:val="0"/>
        <w:pageBreakBefore w:val="0"/>
        <w:widowControl w:val="0"/>
        <w:kinsoku/>
        <w:wordWrap/>
        <w:overflowPunct/>
        <w:topLinePunct w:val="0"/>
        <w:bidi w:val="0"/>
        <w:adjustRightInd w:val="0"/>
        <w:snapToGrid w:val="0"/>
        <w:spacing w:line="240" w:lineRule="auto"/>
        <w:ind w:left="0" w:leftChars="0" w:firstLine="0" w:firstLineChars="0"/>
        <w:textAlignment w:val="auto"/>
        <w:rPr>
          <w:rStyle w:val="12"/>
        </w:rPr>
      </w:pPr>
      <w:r>
        <w:rPr>
          <w:rStyle w:val="16"/>
        </w:rPr>
        <w:footnoteRef/>
      </w:r>
      <w:r>
        <w:rPr>
          <w:rStyle w:val="12"/>
        </w:rPr>
        <w:t xml:space="preserve"> </w:t>
      </w:r>
      <w:r>
        <w:rPr>
          <w:rStyle w:val="12"/>
          <w:rFonts w:hint="eastAsia" w:ascii="黑体" w:hAnsi="黑体" w:eastAsia="黑体" w:cs="黑体"/>
          <w:lang w:val="en-US" w:eastAsia="zh-CN"/>
        </w:rPr>
        <w:t>交通运输类项目包括：铁路、公路、水运、航空运输（机场）、城市道路、轨道交通等工程项目，招标文件有关交通运输类项目的表述均按此解释。</w:t>
      </w:r>
    </w:p>
  </w:footnote>
  <w:footnote w:id="1">
    <w:p>
      <w:pPr>
        <w:pStyle w:val="25"/>
        <w:keepNext w:val="0"/>
        <w:keepLines w:val="0"/>
        <w:pageBreakBefore w:val="0"/>
        <w:widowControl w:val="0"/>
        <w:kinsoku/>
        <w:wordWrap/>
        <w:overflowPunct/>
        <w:topLinePunct w:val="0"/>
        <w:bidi w:val="0"/>
        <w:adjustRightInd w:val="0"/>
        <w:snapToGrid w:val="0"/>
        <w:spacing w:line="240" w:lineRule="auto"/>
        <w:ind w:firstLine="0"/>
        <w:textAlignment w:val="auto"/>
        <w:rPr>
          <w:rStyle w:val="12"/>
          <w:rFonts w:ascii="黑体" w:hAnsi="黑体" w:eastAsia="黑体" w:cs="黑体"/>
        </w:rPr>
      </w:pPr>
      <w:r>
        <w:rPr>
          <w:rStyle w:val="16"/>
          <w:rFonts w:ascii="华文新魏" w:hAnsi="黑体" w:eastAsia="华文新魏" w:cs="黑体"/>
        </w:rPr>
        <w:footnoteRef/>
      </w:r>
      <w:r>
        <w:rPr>
          <w:rStyle w:val="12"/>
          <w:rFonts w:hint="eastAsia" w:ascii="华文新魏" w:hAnsi="黑体" w:eastAsia="华文新魏" w:cs="黑体"/>
        </w:rPr>
        <w:t xml:space="preserve"> </w:t>
      </w:r>
      <w:r>
        <w:rPr>
          <w:rStyle w:val="12"/>
          <w:rFonts w:hint="eastAsia" w:ascii="黑体" w:hAnsi="黑体" w:eastAsia="黑体" w:cs="黑体"/>
        </w:rPr>
        <w:t>单位负责人，是指单位法定代表人或者法律、行政法规规定代表单位行使职权的主要负责人。（招标文件中所列“单位负责人”均作本条解释）。</w:t>
      </w:r>
    </w:p>
  </w:footnote>
  <w:footnote w:id="2">
    <w:p>
      <w:pPr>
        <w:pStyle w:val="25"/>
        <w:keepNext w:val="0"/>
        <w:keepLines w:val="0"/>
        <w:pageBreakBefore w:val="0"/>
        <w:widowControl w:val="0"/>
        <w:kinsoku/>
        <w:wordWrap/>
        <w:overflowPunct/>
        <w:topLinePunct w:val="0"/>
        <w:bidi w:val="0"/>
        <w:adjustRightInd w:val="0"/>
        <w:snapToGrid w:val="0"/>
        <w:spacing w:line="240" w:lineRule="auto"/>
        <w:ind w:firstLine="0"/>
        <w:textAlignment w:val="auto"/>
        <w:rPr>
          <w:rStyle w:val="12"/>
          <w:rFonts w:hint="eastAsia" w:ascii="黑体" w:hAnsi="黑体" w:eastAsia="黑体" w:cs="黑体"/>
        </w:rPr>
      </w:pPr>
      <w:r>
        <w:rPr>
          <w:rStyle w:val="16"/>
          <w:rFonts w:ascii="黑体" w:hAnsi="黑体" w:eastAsia="黑体" w:cs="黑体"/>
        </w:rPr>
        <w:footnoteRef/>
      </w:r>
      <w:r>
        <w:rPr>
          <w:rStyle w:val="12"/>
          <w:rFonts w:hint="eastAsia"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p>
  </w:footnote>
  <w:footnote w:id="3">
    <w:p>
      <w:pPr>
        <w:pStyle w:val="25"/>
        <w:keepNext w:val="0"/>
        <w:keepLines w:val="0"/>
        <w:pageBreakBefore w:val="0"/>
        <w:widowControl w:val="0"/>
        <w:kinsoku/>
        <w:wordWrap/>
        <w:overflowPunct/>
        <w:topLinePunct w:val="0"/>
        <w:bidi w:val="0"/>
        <w:adjustRightInd w:val="0"/>
        <w:snapToGrid w:val="0"/>
        <w:spacing w:line="240" w:lineRule="auto"/>
        <w:ind w:firstLine="0"/>
        <w:textAlignment w:val="auto"/>
        <w:rPr>
          <w:rStyle w:val="12"/>
          <w:rFonts w:hint="eastAsia" w:ascii="华文新魏" w:hAnsi="黑体" w:eastAsia="华文新魏" w:cs="黑体"/>
        </w:rPr>
      </w:pPr>
      <w:r>
        <w:rPr>
          <w:rStyle w:val="16"/>
          <w:rFonts w:ascii="黑体" w:hAnsi="黑体" w:eastAsia="黑体" w:cs="黑体"/>
        </w:rPr>
        <w:footnoteRef/>
      </w:r>
      <w:r>
        <w:rPr>
          <w:rStyle w:val="12"/>
          <w:rFonts w:hint="eastAsia" w:ascii="黑体" w:hAnsi="黑体" w:eastAsia="黑体" w:cs="黑体"/>
        </w:rPr>
        <w:t xml:space="preserve"> 管理，是指不具有出资持股关系的其他单位之间存在的管理与被管理关系。（招标文件中所列“管理”均作本条解释）。</w:t>
      </w:r>
    </w:p>
  </w:footnote>
  <w:footnote w:id="4">
    <w:p>
      <w:pPr>
        <w:pStyle w:val="26"/>
        <w:spacing w:line="320" w:lineRule="atLeast"/>
        <w:ind w:left="180" w:hanging="180" w:hangingChars="100"/>
        <w:jc w:val="both"/>
        <w:rPr>
          <w:rStyle w:val="12"/>
          <w:rFonts w:hint="eastAsia"/>
          <w:kern w:val="2"/>
          <w:szCs w:val="18"/>
        </w:rPr>
      </w:pPr>
      <w:r>
        <w:rPr>
          <w:rStyle w:val="27"/>
        </w:rPr>
        <w:footnoteRef/>
      </w:r>
      <w:r>
        <w:rPr>
          <w:rStyle w:val="12"/>
          <w:rFonts w:hint="eastAsia" w:ascii="黑体" w:hAnsi="黑体" w:eastAsia="黑体"/>
        </w:rPr>
        <w:t>本款适用于在有关公共资源交易网下载/获取招标文件的项目。</w:t>
      </w:r>
    </w:p>
  </w:footnote>
  <w:footnote w:id="5">
    <w:p>
      <w:pPr>
        <w:pStyle w:val="5"/>
        <w:ind w:firstLine="0"/>
        <w:rPr>
          <w:rFonts w:hint="eastAsia"/>
          <w:lang w:eastAsia="zh-CN"/>
        </w:rPr>
      </w:pPr>
      <w:r>
        <w:rPr>
          <w:rStyle w:val="13"/>
        </w:rPr>
        <w:footnoteRef/>
      </w:r>
      <w:r>
        <w:rPr>
          <w:highlight w:val="white"/>
        </w:rPr>
        <w:t xml:space="preserve"> </w:t>
      </w:r>
      <w:r>
        <w:rPr>
          <w:rFonts w:hint="eastAsia"/>
          <w:highlight w:val="white"/>
        </w:rPr>
        <w:t>所有否决投标的条款标明*号。未标明*号的条款不得作为否决投标的条款。</w:t>
      </w:r>
    </w:p>
  </w:footnote>
  <w:footnote w:id="6">
    <w:p>
      <w:pPr>
        <w:pStyle w:val="5"/>
        <w:spacing w:line="300" w:lineRule="atLeast"/>
        <w:ind w:left="180" w:hanging="180" w:hangingChars="100"/>
        <w:rPr>
          <w:szCs w:val="18"/>
        </w:rPr>
      </w:pPr>
      <w:r>
        <w:rPr>
          <w:rStyle w:val="13"/>
          <w:szCs w:val="18"/>
        </w:rPr>
        <w:footnoteRef/>
      </w:r>
      <w:r>
        <w:rPr>
          <w:szCs w:val="18"/>
          <w:highlight w:val="white"/>
        </w:rPr>
        <w:t xml:space="preserve"> “</w:t>
      </w:r>
      <w:r>
        <w:rPr>
          <w:rFonts w:hint="eastAsia"/>
          <w:szCs w:val="18"/>
          <w:highlight w:val="white"/>
        </w:rPr>
        <w:t>评标办法前附表</w:t>
      </w:r>
      <w:r>
        <w:rPr>
          <w:szCs w:val="18"/>
          <w:highlight w:val="white"/>
        </w:rPr>
        <w:t>”</w:t>
      </w:r>
      <w:r>
        <w:rPr>
          <w:rFonts w:hint="eastAsia"/>
          <w:szCs w:val="18"/>
          <w:highlight w:val="white"/>
        </w:rPr>
        <w:t>用于明确评标的方法、因素、标准和程序。招标人应根据招标项目具体特点和实际需要，详细列明全部评审因素、标准，没有列明的因素和标准不得作为评标的依据。</w:t>
      </w:r>
    </w:p>
  </w:footnote>
  <w:footnote w:id="7">
    <w:p>
      <w:pPr>
        <w:pStyle w:val="5"/>
        <w:spacing w:line="280" w:lineRule="atLeast"/>
        <w:ind w:left="180" w:hanging="180" w:hangingChars="100"/>
        <w:rPr>
          <w:rFonts w:hint="eastAsia" w:ascii="黑体" w:hAnsi="黑体" w:eastAsia="黑体"/>
          <w:szCs w:val="18"/>
        </w:rPr>
      </w:pPr>
      <w:r>
        <w:rPr>
          <w:rStyle w:val="13"/>
          <w:rFonts w:ascii="黑体" w:hAnsi="黑体" w:eastAsia="黑体"/>
          <w:szCs w:val="18"/>
        </w:rPr>
        <w:footnoteRef/>
      </w:r>
      <w:r>
        <w:rPr>
          <w:rFonts w:hint="eastAsia" w:ascii="黑体" w:hAnsi="黑体" w:eastAsia="黑体"/>
          <w:szCs w:val="18"/>
          <w:highlight w:val="white"/>
        </w:rPr>
        <w:t xml:space="preserve"> </w:t>
      </w:r>
      <w:r>
        <w:rPr>
          <w:rFonts w:hint="eastAsia" w:ascii="黑体" w:hAnsi="黑体" w:eastAsia="黑体"/>
          <w:highlight w:val="white"/>
        </w:rPr>
        <w:t>具体数值由招标人依据项目特点和实际需要予以明确。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OThkZGZkMTg2OTA4Y2VhOTMzNjJlNjIzZmM5NTYifQ=="/>
  </w:docVars>
  <w:rsids>
    <w:rsidRoot w:val="2DD70989"/>
    <w:rsid w:val="2DD70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unhideWhenUsed/>
    <w:qFormat/>
    <w:uiPriority w:val="0"/>
    <w:pPr>
      <w:spacing w:before="120" w:after="120" w:line="360" w:lineRule="auto"/>
      <w:outlineLvl w:val="2"/>
    </w:pPr>
    <w:rPr>
      <w:b/>
      <w:kern w:val="0"/>
      <w:sz w:val="32"/>
      <w:szCs w:val="20"/>
    </w:rPr>
  </w:style>
  <w:style w:type="paragraph" w:styleId="4">
    <w:name w:val="heading 4"/>
    <w:basedOn w:val="1"/>
    <w:next w:val="3"/>
    <w:unhideWhenUsed/>
    <w:qFormat/>
    <w:uiPriority w:val="0"/>
    <w:pPr>
      <w:keepNext/>
      <w:adjustRightInd w:val="0"/>
      <w:spacing w:line="420" w:lineRule="atLeast"/>
      <w:ind w:firstLine="454"/>
      <w:jc w:val="center"/>
      <w:outlineLvl w:val="3"/>
    </w:pPr>
    <w:rPr>
      <w:i/>
      <w:kern w:val="0"/>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semiHidden/>
    <w:unhideWhenUsed/>
    <w:uiPriority w:val="99"/>
    <w:pPr>
      <w:ind w:firstLine="420" w:firstLineChars="200"/>
    </w:pPr>
  </w:style>
  <w:style w:type="paragraph" w:styleId="5">
    <w:name w:val="footnote text"/>
    <w:basedOn w:val="1"/>
    <w:semiHidden/>
    <w:unhideWhenUsed/>
    <w:qFormat/>
    <w:uiPriority w:val="99"/>
    <w:pPr>
      <w:adjustRightInd w:val="0"/>
      <w:snapToGrid w:val="0"/>
      <w:spacing w:line="420" w:lineRule="atLeast"/>
      <w:ind w:firstLine="454"/>
      <w:jc w:val="left"/>
    </w:pPr>
    <w:rPr>
      <w:kern w:val="0"/>
      <w:sz w:val="18"/>
      <w:szCs w:val="20"/>
    </w:rPr>
  </w:style>
  <w:style w:type="paragraph" w:styleId="6">
    <w:name w:val="Title"/>
    <w:basedOn w:val="1"/>
    <w:link w:val="28"/>
    <w:qFormat/>
    <w:uiPriority w:val="99"/>
    <w:pPr>
      <w:adjustRightInd w:val="0"/>
      <w:spacing w:before="240" w:after="60" w:line="420" w:lineRule="atLeast"/>
      <w:jc w:val="center"/>
      <w:outlineLvl w:val="0"/>
    </w:pPr>
    <w:rPr>
      <w:rFonts w:ascii="Arial" w:hAnsi="Arial" w:eastAsia="黑体"/>
      <w:b/>
      <w:kern w:val="0"/>
      <w:sz w:val="42"/>
      <w:szCs w:val="20"/>
    </w:rPr>
  </w:style>
  <w:style w:type="paragraph" w:styleId="7">
    <w:name w:val="Body Text First Indent 2"/>
    <w:basedOn w:val="8"/>
    <w:uiPriority w:val="0"/>
    <w:pPr>
      <w:tabs>
        <w:tab w:val="right" w:leader="dot" w:pos="480"/>
        <w:tab w:val="right" w:pos="3150"/>
        <w:tab w:val="right" w:leader="middleDot" w:pos="8505"/>
      </w:tabs>
      <w:ind w:firstLine="420" w:firstLineChars="200"/>
    </w:pPr>
  </w:style>
  <w:style w:type="paragraph" w:customStyle="1" w:styleId="8">
    <w:name w:val="正文文本缩进_0"/>
    <w:basedOn w:val="9"/>
    <w:next w:val="10"/>
    <w:unhideWhenUsed/>
    <w:qFormat/>
    <w:uiPriority w:val="0"/>
    <w:pPr>
      <w:spacing w:after="120"/>
      <w:ind w:left="420" w:leftChars="200"/>
    </w:pPr>
    <w:rPr>
      <w:szCs w:val="24"/>
    </w:rPr>
  </w:style>
  <w:style w:type="paragraph" w:customStyle="1" w:styleId="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文本缩进 2_0"/>
    <w:basedOn w:val="9"/>
    <w:next w:val="9"/>
    <w:unhideWhenUsed/>
    <w:qFormat/>
    <w:uiPriority w:val="0"/>
    <w:pPr>
      <w:spacing w:line="500" w:lineRule="exact"/>
      <w:ind w:firstLine="540" w:firstLineChars="200"/>
    </w:pPr>
    <w:rPr>
      <w:rFonts w:ascii="宋体" w:hAnsi="宋体" w:eastAsia="宋体"/>
      <w:sz w:val="27"/>
      <w:szCs w:val="27"/>
    </w:rPr>
  </w:style>
  <w:style w:type="character" w:styleId="13">
    <w:name w:val="footnote reference"/>
    <w:semiHidden/>
    <w:unhideWhenUsed/>
    <w:qFormat/>
    <w:uiPriority w:val="0"/>
    <w:rPr>
      <w:vertAlign w:val="superscript"/>
    </w:rPr>
  </w:style>
  <w:style w:type="paragraph" w:customStyle="1" w:styleId="1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6">
    <w:name w:val="脚注引用_0"/>
    <w:uiPriority w:val="0"/>
    <w:rPr>
      <w:rFonts w:ascii="Times New Roman" w:hAnsi="Times New Roman"/>
      <w:vertAlign w:val="superscript"/>
    </w:rPr>
  </w:style>
  <w:style w:type="paragraph" w:customStyle="1" w:styleId="17">
    <w:name w:val="正文_0_0_1"/>
    <w:next w:val="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缩进_0"/>
    <w:basedOn w:val="19"/>
    <w:unhideWhenUsed/>
    <w:qFormat/>
    <w:uiPriority w:val="99"/>
    <w:pPr>
      <w:ind w:firstLine="420" w:firstLineChars="200"/>
    </w:pPr>
    <w:rPr>
      <w:rFonts w:ascii="Times New Roman" w:hAnsi="Times New Roman" w:eastAsia="宋体" w:cs="Times New Roman"/>
      <w:szCs w:val="24"/>
    </w:rPr>
  </w:style>
  <w:style w:type="paragraph" w:customStyle="1" w:styleId="19">
    <w:name w:val="正文_7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正文_5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正文_0_0_0"/>
    <w:basedOn w:val="22"/>
    <w:next w:val="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正文_1"/>
    <w:next w:val="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正文文本_0"/>
    <w:basedOn w:val="24"/>
    <w:unhideWhenUsed/>
    <w:qFormat/>
    <w:uiPriority w:val="99"/>
    <w:pPr>
      <w:spacing w:after="120"/>
    </w:pPr>
    <w:rPr>
      <w:rFonts w:ascii="Times New Roman" w:hAnsi="Times New Roman" w:eastAsia="宋体" w:cs="Times New Roman"/>
      <w:szCs w:val="24"/>
    </w:rPr>
  </w:style>
  <w:style w:type="paragraph" w:customStyle="1" w:styleId="24">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脚注文本_0"/>
    <w:basedOn w:val="14"/>
    <w:uiPriority w:val="0"/>
    <w:pPr>
      <w:adjustRightInd w:val="0"/>
      <w:snapToGrid w:val="0"/>
      <w:spacing w:line="420" w:lineRule="atLeast"/>
      <w:ind w:firstLine="454"/>
      <w:jc w:val="left"/>
    </w:pPr>
    <w:rPr>
      <w:rFonts w:ascii="Times New Roman" w:hAnsi="Times New Roman" w:eastAsia="宋体" w:cs="Times New Roman"/>
      <w:kern w:val="0"/>
      <w:sz w:val="18"/>
      <w:szCs w:val="20"/>
    </w:rPr>
  </w:style>
  <w:style w:type="paragraph" w:customStyle="1" w:styleId="26">
    <w:name w:val="脚注文本_0_0"/>
    <w:basedOn w:val="21"/>
    <w:unhideWhenUsed/>
    <w:qFormat/>
    <w:uiPriority w:val="99"/>
    <w:pPr>
      <w:adjustRightInd w:val="0"/>
      <w:snapToGrid w:val="0"/>
      <w:spacing w:line="420" w:lineRule="atLeast"/>
      <w:ind w:firstLine="454"/>
      <w:jc w:val="left"/>
    </w:pPr>
    <w:rPr>
      <w:rFonts w:ascii="Times New Roman" w:hAnsi="Times New Roman" w:eastAsia="宋体" w:cs="Times New Roman"/>
      <w:kern w:val="0"/>
      <w:sz w:val="18"/>
      <w:szCs w:val="20"/>
    </w:rPr>
  </w:style>
  <w:style w:type="character" w:customStyle="1" w:styleId="27">
    <w:name w:val="脚注引用_0_0"/>
    <w:unhideWhenUsed/>
    <w:qFormat/>
    <w:uiPriority w:val="0"/>
    <w:rPr>
      <w:rFonts w:ascii="Times New Roman" w:hAnsi="Times New Roman"/>
      <w:vertAlign w:val="superscript"/>
    </w:rPr>
  </w:style>
  <w:style w:type="character" w:customStyle="1" w:styleId="28">
    <w:name w:val="标题 Char"/>
    <w:link w:val="6"/>
    <w:qFormat/>
    <w:uiPriority w:val="99"/>
    <w:rPr>
      <w:rFonts w:ascii="Arial" w:hAnsi="Arial" w:eastAsia="黑体"/>
      <w:b/>
      <w:kern w:val="0"/>
      <w:sz w:val="42"/>
      <w:szCs w:val="20"/>
    </w:rPr>
  </w:style>
  <w:style w:type="paragraph" w:customStyle="1" w:styleId="29">
    <w:name w:val="表格－中"/>
    <w:basedOn w:val="14"/>
    <w:qFormat/>
    <w:uiPriority w:val="0"/>
    <w:pPr>
      <w:widowControl/>
      <w:adjustRightInd w:val="0"/>
      <w:snapToGrid w:val="0"/>
      <w:spacing w:before="96" w:after="100" w:afterAutospacing="1" w:line="360" w:lineRule="auto"/>
      <w:ind w:firstLine="410" w:firstLineChars="171"/>
      <w:jc w:val="center"/>
    </w:pPr>
    <w:rPr>
      <w:rFonts w:ascii="宋体" w:hAnsi="宋体" w:eastAsia="宋体" w:cs="宋体"/>
      <w:sz w:val="24"/>
      <w:szCs w:val="24"/>
    </w:rPr>
  </w:style>
  <w:style w:type="table" w:customStyle="1" w:styleId="30">
    <w:name w:val="网格型_0"/>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2023-12-07T03:46:00Z</dcterms:created>
  <dc:creator>dell</dc:creator>
  <cp:lastModifiedBy>dell</cp:lastModifiedBy>
  <dcterms:modified xsi:type="dcterms:W3CDTF">2023-12-07T03:50:34Z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8717AB92DB57484AAEA86DC7D2A834CC_11</vt:lpwstr>
  </property>
</Properties>
</file>