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南岳高速萱洲互通项目</w:t>
      </w:r>
      <w:r>
        <w:rPr>
          <w:rStyle w:val="3"/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招标文件补遗书第02号</w:t>
      </w:r>
    </w:p>
    <w:p>
      <w:pPr>
        <w:rPr>
          <w:rStyle w:val="3"/>
          <w:rFonts w:hint="eastAsia" w:ascii="宋体" w:hAnsi="宋体" w:eastAsia="宋体" w:cs="宋体"/>
          <w:b/>
          <w:bCs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3"/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各潜在投标人：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3"/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根据本项目招标文件第二章投标人须知第2.3.1条的规定,招标人发出该补遗书。该补遗书是对招标文件的部分内容的修改或补充，是招标文件的组成部分，具有与招标文件同等的效力。投标人应与招标文件共同阅读，如有不一致之处，以本补遗书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1、招标公告第5.2款原文：“投标文件递交截止时间（投标截止时间，下同）为2023年8月31日9时00分</w:t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footnoteReference w:id="0"/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,投标人应当在投标截止时间前通过互联网使用CA数字证书登录“电子交易平台”，将加密的电子投标文件（投标文件第一信封和第二信封）上传，并保存上传成功后系统自动生成的电子签收凭证，递交时间即为电子签收凭证时间。逾期未完成上传或未按规定加密的电子投标文件，招标人将拒收。”现修改为：“投标文件递交截止时间（投标截止时间，下同）为2023年9月12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日9时00分</w:t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footnoteReference w:id="1"/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,投标人应当在投标截止时间前通过互联网使用CA数字证书登录“电子交易平台”，将加密的电子投标文件（投标文件第一信封和第二信封）上传，并保存上传成功后系统自动生成的电子签收凭证，递交时间即为电子签收凭证时间。逾期未完成上传或未按规定加密的电子投标文件，招标人将拒收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8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招标代理机构：衡阳市明达工程管理服务有限公司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Style w:val="3"/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2023年8月18日</w:t>
      </w:r>
    </w:p>
    <w:sectPr>
      <w:pgSz w:w="11906" w:h="16838"/>
      <w:pgMar w:top="1327" w:right="1463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spacing w:line="320" w:lineRule="atLeast"/>
        <w:ind w:left="180" w:hanging="180" w:hangingChars="100"/>
        <w:rPr>
          <w:rStyle w:val="3"/>
          <w:szCs w:val="18"/>
        </w:rPr>
      </w:pPr>
      <w:r>
        <w:rPr>
          <w:rStyle w:val="6"/>
          <w:szCs w:val="18"/>
        </w:rPr>
        <w:footnoteRef/>
      </w:r>
      <w:r>
        <w:rPr>
          <w:rStyle w:val="3"/>
          <w:rFonts w:hint="eastAsia"/>
        </w:rPr>
        <w:t xml:space="preserve"> 依法必须进行招标的公路工程，</w:t>
      </w:r>
      <w:r>
        <w:rPr>
          <w:rStyle w:val="3"/>
          <w:rFonts w:hint="eastAsia"/>
          <w:szCs w:val="18"/>
        </w:rPr>
        <w:t>自招标文件开始发售之日起至投标人递交投标文件截止之日止，不得少于20日。</w:t>
      </w:r>
    </w:p>
  </w:footnote>
  <w:footnote w:id="1">
    <w:p>
      <w:pPr>
        <w:pStyle w:val="4"/>
        <w:spacing w:line="320" w:lineRule="atLeast"/>
        <w:ind w:left="180" w:hanging="180" w:hangingChars="100"/>
        <w:rPr>
          <w:rStyle w:val="3"/>
          <w:szCs w:val="18"/>
        </w:rPr>
      </w:pPr>
      <w:r>
        <w:rPr>
          <w:rStyle w:val="6"/>
          <w:szCs w:val="18"/>
        </w:rPr>
        <w:footnoteRef/>
      </w:r>
      <w:r>
        <w:rPr>
          <w:rStyle w:val="3"/>
          <w:rFonts w:hint="eastAsia"/>
        </w:rPr>
        <w:t xml:space="preserve"> 依法必须进行招标的公路工程，</w:t>
      </w:r>
      <w:r>
        <w:rPr>
          <w:rStyle w:val="3"/>
          <w:rFonts w:hint="eastAsia"/>
          <w:szCs w:val="18"/>
        </w:rPr>
        <w:t>自招标文件开始发售之日起至投标人递交投标文件截止之日止，不得少于20日。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Tk0YmM3M2M0ZGZiZWFhMWQyYWQ1NTE3ZDdlOGEifQ=="/>
  </w:docVars>
  <w:rsids>
    <w:rsidRoot w:val="00000000"/>
    <w:rsid w:val="171C091C"/>
    <w:rsid w:val="2D321B33"/>
    <w:rsid w:val="59E72AA5"/>
    <w:rsid w:val="7BF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脚注文本_0"/>
    <w:basedOn w:val="5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脚注引用_0"/>
    <w:qFormat/>
    <w:uiPriority w:val="0"/>
    <w:rPr>
      <w:rFonts w:ascii="Times New Roman" w:hAnsi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534</Characters>
  <Lines>0</Lines>
  <Paragraphs>0</Paragraphs>
  <TotalTime>56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2023-08-18T01:37:00Z</dcterms:created>
  <dc:creator>123</dc:creator>
  <cp:lastModifiedBy>123</cp:lastModifiedBy>
  <cp:lastPrinted>2023-08-18T03:20:00Z</cp:lastPrinted>
  <dcterms:modified xsi:type="dcterms:W3CDTF">2023-08-18T03:37:08Z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019AA78E58BC4463BD728E36902B1DC4_12</vt:lpwstr>
  </property>
</Properties>
</file>