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b/>
          <w:bCs/>
          <w:sz w:val="28"/>
          <w:szCs w:val="36"/>
          <w:lang w:val="en-US" w:eastAsia="zh-CN"/>
        </w:rPr>
        <w:t>岳望高速公路金龙互通工程施工监理</w:t>
      </w:r>
      <w:r>
        <w:rPr>
          <w:rFonts w:hint="default"/>
          <w:b/>
          <w:bCs/>
          <w:sz w:val="28"/>
          <w:szCs w:val="36"/>
          <w:lang w:val="en-US" w:eastAsia="zh-CN"/>
        </w:rPr>
        <w:t>SGJL01</w:t>
      </w:r>
      <w:r>
        <w:rPr>
          <w:rFonts w:hint="eastAsia"/>
          <w:b/>
          <w:bCs/>
          <w:sz w:val="28"/>
          <w:szCs w:val="36"/>
          <w:lang w:val="en-US" w:eastAsia="zh-CN"/>
        </w:rPr>
        <w:t>标段</w:t>
      </w:r>
    </w:p>
    <w:p>
      <w:pPr>
        <w:jc w:val="center"/>
        <w:rPr>
          <w:rFonts w:hint="eastAsia"/>
          <w:lang w:val="en-US" w:eastAsia="zh-CN"/>
        </w:rPr>
      </w:pPr>
      <w:r>
        <w:rPr>
          <w:rFonts w:hint="eastAsia"/>
          <w:b/>
          <w:bCs/>
          <w:sz w:val="28"/>
          <w:szCs w:val="36"/>
          <w:lang w:val="en-US" w:eastAsia="zh-CN"/>
        </w:rPr>
        <w:t>招标文件补遗书（第1号）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sz w:val="24"/>
          <w:szCs w:val="32"/>
          <w:lang w:val="en-US" w:eastAsia="zh-CN"/>
        </w:rPr>
      </w:pPr>
      <w:r>
        <w:rPr>
          <w:rFonts w:hint="default"/>
          <w:sz w:val="24"/>
          <w:szCs w:val="32"/>
          <w:lang w:val="en-US" w:eastAsia="zh-CN"/>
        </w:rPr>
        <w:t>各潜在投标人：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szCs w:val="32"/>
        </w:rPr>
      </w:pPr>
      <w:r>
        <w:rPr>
          <w:sz w:val="24"/>
          <w:szCs w:val="32"/>
        </w:rPr>
        <w:t>根据本项目招标文件第二章投标人须知第2.3.1款的规定</w:t>
      </w:r>
      <w:r>
        <w:rPr>
          <w:rFonts w:hint="eastAsia"/>
          <w:sz w:val="24"/>
          <w:szCs w:val="32"/>
        </w:rPr>
        <w:t>，</w:t>
      </w:r>
      <w:r>
        <w:rPr>
          <w:sz w:val="24"/>
          <w:szCs w:val="32"/>
        </w:rPr>
        <w:t>招标人发出该补遗书。该补遗书是对招标文件的部分内容的修改或补充</w:t>
      </w:r>
      <w:r>
        <w:rPr>
          <w:rFonts w:hint="eastAsia"/>
          <w:sz w:val="24"/>
          <w:szCs w:val="32"/>
        </w:rPr>
        <w:t>，</w:t>
      </w:r>
      <w:r>
        <w:rPr>
          <w:sz w:val="24"/>
          <w:szCs w:val="32"/>
        </w:rPr>
        <w:t>是招标文件的组成部分，具有与招标文件同等的效力</w:t>
      </w:r>
      <w:r>
        <w:rPr>
          <w:rFonts w:hint="eastAsia"/>
          <w:sz w:val="24"/>
          <w:szCs w:val="32"/>
        </w:rPr>
        <w:t>。</w:t>
      </w:r>
      <w:r>
        <w:rPr>
          <w:sz w:val="24"/>
          <w:szCs w:val="32"/>
        </w:rPr>
        <w:t>投标人应与招标文件共同阅读，如有不一致之处</w:t>
      </w:r>
      <w:r>
        <w:rPr>
          <w:rFonts w:hint="eastAsia"/>
          <w:sz w:val="24"/>
          <w:szCs w:val="32"/>
        </w:rPr>
        <w:t>，</w:t>
      </w:r>
      <w:r>
        <w:rPr>
          <w:sz w:val="24"/>
          <w:szCs w:val="32"/>
        </w:rPr>
        <w:t>以本补遗书为准。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32"/>
          <w:lang w:val="en-US" w:eastAsia="zh-CN"/>
        </w:rPr>
      </w:pPr>
      <w:r>
        <w:rPr>
          <w:rFonts w:hint="eastAsia"/>
          <w:sz w:val="24"/>
          <w:szCs w:val="32"/>
          <w:lang w:val="en-US" w:eastAsia="zh-CN"/>
        </w:rPr>
        <w:t>1、招标公告第3项投标人资格要求3.1修改为：本次招标要求投标人须①具备独立法人资质、持有工商行政管理部门核发的有效企业法人营业执照、②具有交通运输主管部门颁发的公路工程甲级监理资质、③具有建设行政主管部门颁发的工程监理企业综合资质或建设行政主管部门颁发的房屋建筑工程监理乙级及以上资质、④具有交通运输部颁发的公路机电工程专项监理资质，资质具体要求见：附录1资格审查条件（资质最低要求）（以本补遗书附件要求为准）、投标人须知附录2资格审查条件（业绩最低要求）业绩，并在人员等方面具有相应的施工监理能力。</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32"/>
          <w:lang w:val="en-US" w:eastAsia="zh-CN"/>
        </w:rPr>
      </w:pPr>
      <w:r>
        <w:rPr>
          <w:rFonts w:hint="eastAsia"/>
          <w:sz w:val="24"/>
          <w:szCs w:val="32"/>
          <w:lang w:val="en-US" w:eastAsia="zh-CN"/>
        </w:rPr>
        <w:t>2、招标公告第3项投标人资格要求3.2修改为：本次招标接受联合体投标。联合体投标的，联合体所有成员数量不得超过3家，且应满足下列要求：联合体牵头单位应具有交通运输主管部门颁发的公路工程甲级监理资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32"/>
          <w:lang w:val="en-US" w:eastAsia="zh-CN"/>
        </w:rPr>
      </w:pPr>
      <w:r>
        <w:rPr>
          <w:rFonts w:hint="eastAsia"/>
          <w:sz w:val="24"/>
          <w:szCs w:val="32"/>
          <w:lang w:val="en-US" w:eastAsia="zh-CN"/>
        </w:rPr>
        <w:t xml:space="preserve">3、招标公告第7项发布公告的媒介修改为：本次招标公告同时在湖南省招标投标监管网：http://bidding.fgw.hunan.gov.cn/，湖南省交通运输厅网（http://jtt.hunan.gov.cn/），湖南省公共资源交易中心（https://hnsbenji.hnsggzy.com）上发布。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sz w:val="24"/>
          <w:szCs w:val="32"/>
          <w:lang w:val="en-US" w:eastAsia="zh-CN"/>
        </w:rPr>
      </w:pPr>
      <w:r>
        <w:rPr>
          <w:rFonts w:hint="eastAsia"/>
          <w:sz w:val="24"/>
          <w:szCs w:val="32"/>
          <w:lang w:val="en-US" w:eastAsia="zh-CN"/>
        </w:rPr>
        <w:t>4、招标公告第9项联系方式监督部门电话修改为：0731-88770095。</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32"/>
          <w:lang w:val="en-US" w:eastAsia="zh-CN"/>
        </w:rPr>
      </w:pPr>
      <w:r>
        <w:rPr>
          <w:rFonts w:hint="eastAsia"/>
          <w:sz w:val="24"/>
          <w:szCs w:val="32"/>
          <w:lang w:val="en-US" w:eastAsia="zh-CN"/>
        </w:rPr>
        <w:t>5、招标文件第二章投标人须知1.4.2项是否接受联合体投标第（2）项内容修改为：（2）联合体牵头人应具有交通运输主管部门颁发的公路工程甲级监理资质，其他内容不变。</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sz w:val="24"/>
          <w:szCs w:val="32"/>
          <w:lang w:val="en-US" w:eastAsia="zh-CN"/>
        </w:rPr>
      </w:pPr>
      <w:r>
        <w:rPr>
          <w:rFonts w:hint="eastAsia"/>
          <w:sz w:val="24"/>
          <w:szCs w:val="32"/>
          <w:lang w:val="en-US" w:eastAsia="zh-CN"/>
        </w:rPr>
        <w:t>6、招标文件第二章投标人须知附录4资格审查条件（总监理工程师或驻地监理工程师最低要求）总监理工程师资格要求第1条调整为：具有公路工程相关专业高级及以上职称。</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sz w:val="24"/>
          <w:szCs w:val="32"/>
          <w:lang w:val="en-US" w:eastAsia="zh-CN"/>
        </w:rPr>
      </w:pPr>
      <w:r>
        <w:rPr>
          <w:rFonts w:hint="eastAsia"/>
          <w:sz w:val="24"/>
          <w:szCs w:val="32"/>
          <w:lang w:val="en-US" w:eastAsia="zh-CN"/>
        </w:rPr>
        <w:t>7、现将岳望高速公路金龙互通工程施工监理SGJL01标段招标文件的问题回答如下：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32"/>
          <w:lang w:val="en-US" w:eastAsia="zh-CN"/>
        </w:rPr>
      </w:pPr>
      <w:r>
        <w:rPr>
          <w:rFonts w:hint="eastAsia"/>
          <w:sz w:val="24"/>
          <w:szCs w:val="32"/>
          <w:lang w:val="en-US" w:eastAsia="zh-CN"/>
        </w:rPr>
        <w:t>（1）本项目接受联合体投标，针对房建工程资质要求为：建设行政主管部门颁发的房屋建筑工程监理乙级及以上资质，招标文件3.5.2近年完成的类似项目要求“近年完成的类似项目情况表”应附在交通运输部“全国公路建设市场信用信息管理系统”或“湖南省公路水运建设与运输市场信用信息服务网”中查询到的网页截图复印件并注明查询路径。除网页截图复印件外，投标人无须再提供任何业绩证明材料。建设行政主管部门颁发的房建资质，所获得的房建业绩无法在全国公路网和湖南公路网体现，因为全国公路网和湖南公路网均属于交通部系统，建设部系统规定的资质无法在交通部系统平台录入房建业绩，此处房建资质要求建设部资质，业绩要求为交通部系统可以查询，两者矛盾。结合以往高速公路房建项目招标情况，此处房建部分业绩应修改为：“近年完成的类似项目情况表”中提供的业绩为非高速公路配套房建工程施工监理业绩，应附在与项目业主签订的施工监理合同协议书和由监督机构备案的建设工程竣工验收备案表，如业绩证明材料不能体现要求的业绩时，除附以上证明材料外，还必须另附项目业主出具的证明材料来补充说明。请问针对非高速公路房建业绩提供上述证明材料是否可行，请予以明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32"/>
          <w:lang w:val="en-US" w:eastAsia="zh-CN"/>
        </w:rPr>
      </w:pPr>
      <w:r>
        <w:rPr>
          <w:rFonts w:hint="eastAsia"/>
          <w:sz w:val="24"/>
          <w:szCs w:val="32"/>
          <w:lang w:val="en-US" w:eastAsia="zh-CN"/>
        </w:rPr>
        <w:t xml:space="preserve">答：“近年完成的类似项目情况表”中提供的业绩为非高速公路配套房建工程施工监理业绩，应附在与项目业主签订的施工监理合同协议书和由监督机构备案的建设工程竣工验收备案表，如业绩证明材料不能体现要求的业绩时，除附以上证明材料外，还必须另附项目业主出具的证明材料来补充说明。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32"/>
          <w:lang w:val="en-US" w:eastAsia="zh-CN"/>
        </w:rPr>
      </w:pPr>
      <w:r>
        <w:rPr>
          <w:rFonts w:hint="eastAsia"/>
          <w:sz w:val="24"/>
          <w:szCs w:val="32"/>
          <w:lang w:val="en-US" w:eastAsia="zh-CN"/>
        </w:rPr>
        <w:t>（2）本项目有关房建工程设置的资质为: 建设行政主管部门颁发的房屋建筑工程监理乙级及以上资质,且接受联合体投标,资格审查业绩最低要求4、投标人为联合体投标的，应当由联合体成员按照联合体协议中约定承担的监理专业类别分别提供对应的土建、房建、机电监理业绩，但最多不超过 3 个合同段，房建业绩要求在全国公路建设市场信用信息管理系统中查询,从上述内容得知：同一个单位必须同时具有公路工程甲级资质和建设主管部门颁发的房建乙级资质，房建业绩才能在全国公路网中体现。既然本项目接受联合体投标，且不超过3家单位，房建资质是建设部颁发的资质，房建业绩要求是交通系统的网址提供，两个不同的系统，单独的建设部房建资质无法录入交通部平台的房建业绩，此处设置严重不合理，有非常明显的控标嫌疑。为确保项目建设高品质，应鼓励优秀的服务单位充分竞争，让招标人有机会选择更加优质的投标单位。针对房建业绩和资质，设置前后矛盾，结合以往高速公路房建项目招标情况，此处要求的房建业绩建议修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sz w:val="24"/>
          <w:szCs w:val="32"/>
          <w:lang w:val="en-US" w:eastAsia="zh-CN"/>
        </w:rPr>
      </w:pPr>
      <w:r>
        <w:rPr>
          <w:rFonts w:hint="eastAsia"/>
          <w:sz w:val="24"/>
          <w:szCs w:val="32"/>
          <w:lang w:val="en-US" w:eastAsia="zh-CN"/>
        </w:rPr>
        <w:t>答：同上。</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32"/>
          <w:lang w:val="en-US" w:eastAsia="zh-CN"/>
        </w:rPr>
      </w:pPr>
      <w:r>
        <w:rPr>
          <w:rFonts w:hint="eastAsia"/>
          <w:sz w:val="24"/>
          <w:szCs w:val="32"/>
          <w:lang w:val="en-US" w:eastAsia="zh-CN"/>
        </w:rPr>
        <w:t>8、招标文件其他内容不变。</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sz w:val="24"/>
          <w:szCs w:val="32"/>
          <w:lang w:val="en-US" w:eastAsia="zh-CN"/>
        </w:rPr>
      </w:pPr>
      <w:r>
        <w:rPr>
          <w:rFonts w:hint="default"/>
          <w:sz w:val="24"/>
          <w:szCs w:val="32"/>
          <w:lang w:val="en-US" w:eastAsia="zh-CN"/>
        </w:rPr>
        <w:t>招标人：湘阴县交通建设投资有限公司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sz w:val="24"/>
          <w:szCs w:val="32"/>
          <w:lang w:val="en-US" w:eastAsia="zh-CN"/>
        </w:rPr>
      </w:pPr>
      <w:r>
        <w:rPr>
          <w:rFonts w:hint="default"/>
          <w:sz w:val="24"/>
          <w:szCs w:val="32"/>
          <w:lang w:val="en-US" w:eastAsia="zh-CN"/>
        </w:rPr>
        <w:t>招标代理机构：湖南省湘咨工程咨询管理有限责任公司</w:t>
      </w:r>
    </w:p>
    <w:p>
      <w:pPr>
        <w:rPr>
          <w:rFonts w:hint="eastAsia" w:ascii="宋体" w:hAnsi="宋体" w:eastAsia="宋体" w:cs="宋体"/>
          <w:spacing w:val="10"/>
          <w:sz w:val="27"/>
          <w:szCs w:val="27"/>
          <w:lang w:val="en-US" w:eastAsia="zh-CN"/>
          <w14:textOutline w14:w="5050" w14:cap="flat" w14:cmpd="sng">
            <w14:solidFill>
              <w14:srgbClr w14:val="000000"/>
            </w14:solidFill>
            <w14:prstDash w14:val="solid"/>
            <w14:miter w14:val="0"/>
          </w14:textOutline>
        </w:rPr>
      </w:pPr>
      <w:bookmarkStart w:id="0" w:name="_GoBack"/>
      <w:bookmarkEnd w:id="0"/>
      <w:r>
        <w:rPr>
          <w:rFonts w:hint="eastAsia" w:ascii="宋体" w:hAnsi="宋体" w:eastAsia="宋体" w:cs="宋体"/>
          <w:spacing w:val="10"/>
          <w:sz w:val="27"/>
          <w:szCs w:val="27"/>
          <w:lang w:val="en-US" w:eastAsia="zh-CN"/>
          <w14:textOutline w14:w="5050" w14:cap="flat" w14:cmpd="sng">
            <w14:solidFill>
              <w14:srgbClr w14:val="000000"/>
            </w14:solidFill>
            <w14:prstDash w14:val="solid"/>
            <w14:miter w14:val="0"/>
          </w14:textOutline>
        </w:rPr>
        <w:br w:type="page"/>
      </w:r>
    </w:p>
    <w:p>
      <w:pPr>
        <w:spacing w:before="87" w:line="216" w:lineRule="auto"/>
        <w:ind w:left="86"/>
        <w:outlineLvl w:val="2"/>
        <w:rPr>
          <w:rFonts w:hint="eastAsia" w:ascii="宋体" w:hAnsi="宋体" w:eastAsia="宋体" w:cs="宋体"/>
          <w:spacing w:val="10"/>
          <w:sz w:val="27"/>
          <w:szCs w:val="27"/>
          <w:lang w:val="en-US" w:eastAsia="zh-CN"/>
          <w14:textOutline w14:w="5050" w14:cap="flat" w14:cmpd="sng">
            <w14:solidFill>
              <w14:srgbClr w14:val="000000"/>
            </w14:solidFill>
            <w14:prstDash w14:val="solid"/>
            <w14:miter w14:val="0"/>
          </w14:textOutline>
        </w:rPr>
      </w:pPr>
      <w:r>
        <w:rPr>
          <w:rFonts w:hint="eastAsia" w:ascii="宋体" w:hAnsi="宋体" w:eastAsia="宋体" w:cs="宋体"/>
          <w:spacing w:val="10"/>
          <w:sz w:val="27"/>
          <w:szCs w:val="27"/>
          <w:lang w:val="en-US" w:eastAsia="zh-CN"/>
          <w14:textOutline w14:w="5050" w14:cap="flat" w14:cmpd="sng">
            <w14:solidFill>
              <w14:srgbClr w14:val="000000"/>
            </w14:solidFill>
            <w14:prstDash w14:val="solid"/>
            <w14:miter w14:val="0"/>
          </w14:textOutline>
        </w:rPr>
        <w:t>附件：</w:t>
      </w:r>
    </w:p>
    <w:p>
      <w:pPr>
        <w:spacing w:before="87" w:line="216" w:lineRule="auto"/>
        <w:ind w:left="86"/>
        <w:outlineLvl w:val="2"/>
        <w:rPr>
          <w:rFonts w:ascii="Calibri" w:hAnsi="Calibri" w:eastAsia="Calibri" w:cs="Calibri"/>
          <w:sz w:val="18"/>
          <w:szCs w:val="18"/>
        </w:rPr>
      </w:pPr>
      <w:r>
        <w:rPr>
          <w:rFonts w:ascii="宋体" w:hAnsi="宋体" w:eastAsia="宋体" w:cs="宋体"/>
          <w:spacing w:val="10"/>
          <w:sz w:val="27"/>
          <w:szCs w:val="27"/>
          <w14:textOutline w14:w="5050" w14:cap="flat" w14:cmpd="sng">
            <w14:solidFill>
              <w14:srgbClr w14:val="000000"/>
            </w14:solidFill>
            <w14:prstDash w14:val="solid"/>
            <w14:miter w14:val="0"/>
          </w14:textOutline>
        </w:rPr>
        <w:t>附录</w:t>
      </w:r>
      <w:r>
        <w:rPr>
          <w:rFonts w:ascii="Calibri" w:hAnsi="Calibri" w:eastAsia="Calibri" w:cs="Calibri"/>
          <w:b/>
          <w:bCs/>
          <w:spacing w:val="5"/>
          <w:sz w:val="27"/>
          <w:szCs w:val="27"/>
        </w:rPr>
        <w:t>1</w:t>
      </w:r>
      <w:r>
        <w:rPr>
          <w:rFonts w:ascii="Calibri" w:hAnsi="Calibri" w:eastAsia="Calibri" w:cs="Calibri"/>
          <w:spacing w:val="5"/>
          <w:sz w:val="27"/>
          <w:szCs w:val="27"/>
        </w:rPr>
        <w:t xml:space="preserve"> </w:t>
      </w:r>
      <w:r>
        <w:rPr>
          <w:rFonts w:hint="eastAsia" w:ascii="Calibri" w:hAnsi="Calibri" w:eastAsia="宋体" w:cs="Calibri"/>
          <w:spacing w:val="5"/>
          <w:sz w:val="27"/>
          <w:szCs w:val="27"/>
          <w:lang w:val="en-US" w:eastAsia="zh-CN"/>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资格审查条件</w:t>
      </w:r>
      <w:r>
        <w:rPr>
          <w:rFonts w:ascii="宋体" w:hAnsi="宋体" w:eastAsia="宋体" w:cs="宋体"/>
          <w:spacing w:val="5"/>
          <w:sz w:val="27"/>
          <w:szCs w:val="27"/>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(资质最低要求)</w:t>
      </w:r>
    </w:p>
    <w:p/>
    <w:p>
      <w:pPr>
        <w:spacing w:line="58" w:lineRule="exact"/>
      </w:pPr>
    </w:p>
    <w:tbl>
      <w:tblPr>
        <w:tblStyle w:val="17"/>
        <w:tblW w:w="8720"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720" w:type="dxa"/>
            <w:vAlign w:val="top"/>
          </w:tcPr>
          <w:p>
            <w:pPr>
              <w:spacing w:before="148" w:line="172" w:lineRule="auto"/>
              <w:ind w:left="3319"/>
              <w:rPr>
                <w:rFonts w:ascii="微软雅黑" w:hAnsi="微软雅黑" w:eastAsia="微软雅黑" w:cs="微软雅黑"/>
                <w:sz w:val="21"/>
                <w:szCs w:val="21"/>
              </w:rPr>
            </w:pPr>
            <w:r>
              <w:rPr>
                <w:rFonts w:ascii="微软雅黑" w:hAnsi="微软雅黑" w:eastAsia="微软雅黑" w:cs="微软雅黑"/>
                <w:spacing w:val="-1"/>
                <w:sz w:val="21"/>
                <w:szCs w:val="21"/>
              </w:rPr>
              <w:t>监理企业资质</w:t>
            </w:r>
            <w:r>
              <w:rPr>
                <w:rFonts w:ascii="微软雅黑" w:hAnsi="微软雅黑" w:eastAsia="微软雅黑" w:cs="微软雅黑"/>
                <w:sz w:val="21"/>
                <w:szCs w:val="21"/>
              </w:rPr>
              <w:t>等级要求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872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136"/>
              <w:textAlignment w:val="baseline"/>
              <w:rPr>
                <w:rFonts w:hint="eastAsia" w:ascii="微软雅黑" w:hAnsi="微软雅黑" w:eastAsia="微软雅黑" w:cs="微软雅黑"/>
                <w:color w:val="0000FF"/>
                <w:spacing w:val="-1"/>
                <w:sz w:val="21"/>
                <w:szCs w:val="21"/>
              </w:rPr>
            </w:pPr>
            <w:r>
              <w:rPr>
                <w:rFonts w:hint="eastAsia" w:ascii="微软雅黑" w:hAnsi="微软雅黑" w:eastAsia="微软雅黑" w:cs="微软雅黑"/>
                <w:color w:val="0000FF"/>
                <w:spacing w:val="-1"/>
                <w:sz w:val="21"/>
                <w:szCs w:val="21"/>
              </w:rPr>
              <w:t>1、具有独立法人资格，持有工商行政管理部门核发的有效的营业执照；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6"/>
              <w:textAlignment w:val="baseline"/>
              <w:rPr>
                <w:rFonts w:hint="eastAsia" w:ascii="微软雅黑" w:hAnsi="微软雅黑" w:eastAsia="微软雅黑" w:cs="微软雅黑"/>
                <w:color w:val="0000FF"/>
                <w:spacing w:val="-1"/>
                <w:sz w:val="21"/>
                <w:szCs w:val="21"/>
              </w:rPr>
            </w:pPr>
            <w:r>
              <w:rPr>
                <w:rFonts w:hint="eastAsia" w:ascii="微软雅黑" w:hAnsi="微软雅黑" w:eastAsia="微软雅黑" w:cs="微软雅黑"/>
                <w:color w:val="0000FF"/>
                <w:spacing w:val="-1"/>
                <w:sz w:val="21"/>
                <w:szCs w:val="21"/>
              </w:rPr>
              <w:t>2、具有交通运输主管部门颁发的公路工程甲级监理资质，且资质证书处于有效期。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6"/>
              <w:textAlignment w:val="baseline"/>
              <w:rPr>
                <w:rFonts w:hint="eastAsia" w:ascii="微软雅黑" w:hAnsi="微软雅黑" w:eastAsia="微软雅黑" w:cs="微软雅黑"/>
                <w:color w:val="0000FF"/>
                <w:spacing w:val="-1"/>
                <w:sz w:val="21"/>
                <w:szCs w:val="21"/>
              </w:rPr>
            </w:pPr>
            <w:r>
              <w:rPr>
                <w:rFonts w:hint="eastAsia" w:ascii="微软雅黑" w:hAnsi="微软雅黑" w:eastAsia="微软雅黑" w:cs="微软雅黑"/>
                <w:color w:val="0000FF"/>
                <w:spacing w:val="-1"/>
                <w:sz w:val="21"/>
                <w:szCs w:val="21"/>
                <w:lang w:val="en-US" w:eastAsia="zh-CN"/>
              </w:rPr>
              <w:t>3、具有</w:t>
            </w:r>
            <w:r>
              <w:rPr>
                <w:rFonts w:hint="eastAsia" w:ascii="微软雅黑" w:hAnsi="微软雅黑" w:eastAsia="微软雅黑" w:cs="微软雅黑"/>
                <w:color w:val="0000FF"/>
                <w:spacing w:val="-1"/>
                <w:sz w:val="21"/>
                <w:szCs w:val="21"/>
              </w:rPr>
              <w:t>建设行政主管部门颁发的工程监理企业综合资质或</w:t>
            </w:r>
            <w:r>
              <w:rPr>
                <w:rFonts w:hint="eastAsia" w:ascii="微软雅黑" w:hAnsi="微软雅黑" w:eastAsia="微软雅黑" w:cs="微软雅黑"/>
                <w:color w:val="0000FF"/>
                <w:spacing w:val="-1"/>
                <w:sz w:val="21"/>
                <w:szCs w:val="21"/>
                <w:lang w:val="en-US" w:eastAsia="zh-CN"/>
              </w:rPr>
              <w:t>具有</w:t>
            </w:r>
            <w:r>
              <w:rPr>
                <w:rFonts w:hint="eastAsia" w:ascii="微软雅黑" w:hAnsi="微软雅黑" w:eastAsia="微软雅黑" w:cs="微软雅黑"/>
                <w:color w:val="0000FF"/>
                <w:spacing w:val="-1"/>
                <w:sz w:val="21"/>
                <w:szCs w:val="21"/>
              </w:rPr>
              <w:t>建设行政主管部门颁发的房屋建筑工程监理乙级及以上资质，且资质证书处于有效期。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6"/>
              <w:textAlignment w:val="baseline"/>
              <w:rPr>
                <w:rFonts w:hint="eastAsia" w:ascii="微软雅黑" w:hAnsi="微软雅黑" w:eastAsia="微软雅黑" w:cs="微软雅黑"/>
                <w:color w:val="0000FF"/>
                <w:spacing w:val="-1"/>
                <w:sz w:val="21"/>
                <w:szCs w:val="21"/>
              </w:rPr>
            </w:pPr>
            <w:r>
              <w:rPr>
                <w:rFonts w:hint="eastAsia" w:ascii="微软雅黑" w:hAnsi="微软雅黑" w:eastAsia="微软雅黑" w:cs="微软雅黑"/>
                <w:color w:val="0000FF"/>
                <w:spacing w:val="-1"/>
                <w:sz w:val="21"/>
                <w:szCs w:val="21"/>
                <w:lang w:val="en-US" w:eastAsia="zh-CN"/>
              </w:rPr>
              <w:t>4</w:t>
            </w:r>
            <w:r>
              <w:rPr>
                <w:rFonts w:hint="eastAsia" w:ascii="微软雅黑" w:hAnsi="微软雅黑" w:eastAsia="微软雅黑" w:cs="微软雅黑"/>
                <w:color w:val="0000FF"/>
                <w:spacing w:val="-1"/>
                <w:sz w:val="21"/>
                <w:szCs w:val="21"/>
              </w:rPr>
              <w:t>、具有交通运输部</w:t>
            </w:r>
            <w:r>
              <w:rPr>
                <w:rFonts w:hint="eastAsia" w:ascii="微软雅黑" w:hAnsi="微软雅黑" w:eastAsia="微软雅黑" w:cs="微软雅黑"/>
                <w:color w:val="0000FF"/>
                <w:spacing w:val="-1"/>
                <w:sz w:val="21"/>
                <w:szCs w:val="21"/>
                <w:lang w:val="en-US" w:eastAsia="zh-CN"/>
              </w:rPr>
              <w:t>门</w:t>
            </w:r>
            <w:r>
              <w:rPr>
                <w:rFonts w:hint="eastAsia" w:ascii="微软雅黑" w:hAnsi="微软雅黑" w:eastAsia="微软雅黑" w:cs="微软雅黑"/>
                <w:color w:val="0000FF"/>
                <w:spacing w:val="-1"/>
                <w:sz w:val="21"/>
                <w:szCs w:val="21"/>
              </w:rPr>
              <w:t>颁发的公路机电工程专项监理资质，且资质证书处于有效期。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6"/>
              <w:textAlignment w:val="baseline"/>
              <w:rPr>
                <w:rFonts w:hint="eastAsia" w:ascii="微软雅黑" w:hAnsi="微软雅黑" w:eastAsia="微软雅黑" w:cs="微软雅黑"/>
                <w:color w:val="0000FF"/>
                <w:spacing w:val="-1"/>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36"/>
              <w:textAlignment w:val="baseline"/>
              <w:rPr>
                <w:rFonts w:hint="eastAsia" w:ascii="微软雅黑" w:hAnsi="微软雅黑" w:eastAsia="微软雅黑" w:cs="微软雅黑"/>
                <w:color w:val="0000FF"/>
                <w:spacing w:val="-1"/>
                <w:sz w:val="21"/>
                <w:szCs w:val="21"/>
              </w:rPr>
            </w:pPr>
            <w:r>
              <w:rPr>
                <w:rFonts w:hint="eastAsia" w:ascii="微软雅黑" w:hAnsi="微软雅黑" w:eastAsia="微软雅黑" w:cs="微软雅黑"/>
                <w:color w:val="0000FF"/>
                <w:spacing w:val="-1"/>
                <w:sz w:val="21"/>
                <w:szCs w:val="21"/>
              </w:rPr>
              <w:t xml:space="preserve">备注：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6"/>
              <w:textAlignment w:val="baseline"/>
              <w:rPr>
                <w:rFonts w:hint="eastAsia" w:ascii="微软雅黑" w:hAnsi="微软雅黑" w:eastAsia="微软雅黑" w:cs="微软雅黑"/>
                <w:color w:val="0000FF"/>
                <w:spacing w:val="-1"/>
                <w:sz w:val="21"/>
                <w:szCs w:val="21"/>
              </w:rPr>
            </w:pPr>
            <w:r>
              <w:rPr>
                <w:rFonts w:hint="eastAsia" w:ascii="微软雅黑" w:hAnsi="微软雅黑" w:eastAsia="微软雅黑" w:cs="微软雅黑"/>
                <w:color w:val="0000FF"/>
                <w:spacing w:val="-1"/>
                <w:sz w:val="21"/>
                <w:szCs w:val="21"/>
              </w:rPr>
              <w:t xml:space="preserve">1.投标人应根据招标文件第二章“投标人须知”第 3.5.1 项的要求在“投标人基本情况表”后附相关证明材料。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6"/>
              <w:textAlignment w:val="baseline"/>
              <w:rPr>
                <w:rFonts w:hint="eastAsia" w:ascii="微软雅黑" w:hAnsi="微软雅黑" w:eastAsia="微软雅黑" w:cs="微软雅黑"/>
                <w:color w:val="0000FF"/>
                <w:spacing w:val="-1"/>
                <w:sz w:val="21"/>
                <w:szCs w:val="21"/>
              </w:rPr>
            </w:pPr>
            <w:r>
              <w:rPr>
                <w:rFonts w:hint="eastAsia" w:ascii="微软雅黑" w:hAnsi="微软雅黑" w:eastAsia="微软雅黑" w:cs="微软雅黑"/>
                <w:color w:val="0000FF"/>
                <w:spacing w:val="-1"/>
                <w:sz w:val="21"/>
                <w:szCs w:val="21"/>
              </w:rPr>
              <w:t>2.评标时将通过交通运输部“全国公路建设市场信用信息管理系统（http：//glxy.mot.gov.cn）”中的公路工程施工监理资质企业名录，对投标人的资质进行核实确认。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6"/>
              <w:textAlignment w:val="baseline"/>
              <w:rPr>
                <w:rFonts w:hint="default" w:ascii="微软雅黑" w:hAnsi="微软雅黑" w:eastAsia="微软雅黑" w:cs="微软雅黑"/>
                <w:color w:val="0000FF"/>
                <w:spacing w:val="-1"/>
                <w:sz w:val="21"/>
                <w:szCs w:val="21"/>
                <w:lang w:val="en-US" w:eastAsia="zh-CN"/>
              </w:rPr>
            </w:pPr>
            <w:r>
              <w:rPr>
                <w:rFonts w:hint="eastAsia" w:ascii="微软雅黑" w:hAnsi="微软雅黑" w:eastAsia="微软雅黑" w:cs="微软雅黑"/>
                <w:color w:val="0000FF"/>
                <w:spacing w:val="-1"/>
                <w:sz w:val="21"/>
                <w:szCs w:val="21"/>
                <w:lang w:val="en-US" w:eastAsia="zh-CN"/>
              </w:rPr>
              <w:t>3.投标人如不满足上述强制性资格条件中的任何一条，将被认为资格审查不合格。</w:t>
            </w:r>
          </w:p>
        </w:tc>
      </w:tr>
    </w:tbl>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eastAsia"/>
          <w:lang w:val="en-US" w:eastAsia="zh-CN"/>
        </w:rPr>
      </w:pPr>
    </w:p>
    <w:p>
      <w:pPr>
        <w:ind w:firstLine="420" w:firstLineChars="200"/>
        <w:rPr>
          <w:rFonts w:hint="default"/>
          <w:lang w:val="en-US" w:eastAsia="zh-CN"/>
        </w:rPr>
      </w:pPr>
    </w:p>
    <w:p>
      <w:pPr>
        <w:ind w:firstLine="42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ODNhMTBkYWQ5YTFmZjk2OWFjZWNiM2Q4NWMzMzQifQ=="/>
  </w:docVars>
  <w:rsids>
    <w:rsidRoot w:val="00000000"/>
    <w:rsid w:val="18B15904"/>
    <w:rsid w:val="2B8F149B"/>
    <w:rsid w:val="32EE368C"/>
    <w:rsid w:val="3AE11D72"/>
    <w:rsid w:val="3F062B4E"/>
    <w:rsid w:val="45E87A97"/>
    <w:rsid w:val="4DF5709E"/>
    <w:rsid w:val="6A4B0DB5"/>
    <w:rsid w:val="6D366789"/>
    <w:rsid w:val="6F55769C"/>
    <w:rsid w:val="7B23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800080"/>
      <w:u w:val="none"/>
    </w:rPr>
  </w:style>
  <w:style w:type="character" w:styleId="7">
    <w:name w:val="Emphasis"/>
    <w:basedOn w:val="4"/>
    <w:qFormat/>
    <w:uiPriority w:val="0"/>
    <w:rPr>
      <w:b/>
      <w:bCs/>
    </w:rPr>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ascii="monospace" w:hAnsi="monospace" w:eastAsia="monospace" w:cs="monospace"/>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mini-outputtext1"/>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2258</Words>
  <Characters>2403</Characters>
  <Lines>0</Lines>
  <Paragraphs>0</Paragraphs>
  <TotalTime>31</TotalTime>
  <ScaleCrop>false</ScaleCrop>
  <LinksUpToDate>false</LinksUpToDate>
  <CharactersWithSpaces>2415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2023-04-10T07:55:00Z</dcterms:created>
  <dc:creator>DELL</dc:creator>
  <cp:lastModifiedBy>WPS_1618366937</cp:lastModifiedBy>
  <dcterms:modified xsi:type="dcterms:W3CDTF">2023-04-17T07:02:39Z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C7BFA8C2C6114D118077DA51094A62DF_13</vt:lpwstr>
  </property>
</Properties>
</file>