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黑体" w:hAnsi="黑体" w:eastAsia="黑体" w:cs="黑体"/>
          <w:spacing w:val="14"/>
          <w:sz w:val="27"/>
          <w:szCs w:val="27"/>
          <w:u w:val="single" w:color="auto"/>
        </w:rPr>
        <w:t>岳</w:t>
      </w:r>
      <w:r>
        <w:rPr>
          <w:rFonts w:ascii="黑体" w:hAnsi="黑体" w:eastAsia="黑体" w:cs="黑体"/>
          <w:spacing w:val="9"/>
          <w:sz w:val="27"/>
          <w:szCs w:val="27"/>
          <w:u w:val="single" w:color="auto"/>
        </w:rPr>
        <w:t>望</w:t>
      </w:r>
      <w:r>
        <w:rPr>
          <w:rFonts w:ascii="黑体" w:hAnsi="黑体" w:eastAsia="黑体" w:cs="黑体"/>
          <w:spacing w:val="7"/>
          <w:sz w:val="27"/>
          <w:szCs w:val="27"/>
          <w:u w:val="single" w:color="auto"/>
        </w:rPr>
        <w:t>高速公路金龙互通工程施工监理</w:t>
      </w:r>
      <w:r>
        <w:rPr>
          <w:rFonts w:ascii="Times New Roman" w:hAnsi="Times New Roman" w:eastAsia="黑体"/>
          <w:sz w:val="28"/>
          <w:szCs w:val="28"/>
          <w:u w:val="single"/>
        </w:rPr>
        <w:t xml:space="preserve"> </w:t>
      </w:r>
      <w:r>
        <w:rPr>
          <w:rFonts w:hint="eastAsia" w:ascii="Times New Roman" w:hAnsi="Times New Roman" w:eastAsia="黑体"/>
          <w:sz w:val="28"/>
          <w:szCs w:val="28"/>
        </w:rPr>
        <w:t>（项目名称）</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SGJL01</w:t>
      </w:r>
      <w:r>
        <w:rPr>
          <w:rFonts w:ascii="Times New Roman" w:hAnsi="Times New Roman" w:eastAsia="黑体"/>
          <w:sz w:val="28"/>
          <w:szCs w:val="28"/>
          <w:u w:val="single"/>
        </w:rPr>
        <w:t xml:space="preserve"> </w:t>
      </w:r>
      <w:r>
        <w:rPr>
          <w:rFonts w:hint="eastAsia" w:ascii="Times New Roman" w:hAnsi="Times New Roman" w:eastAsia="黑体"/>
          <w:sz w:val="28"/>
          <w:szCs w:val="28"/>
        </w:rPr>
        <w:t>标段施工监理招标公告</w:t>
      </w:r>
      <w:r>
        <w:rPr>
          <w:rFonts w:ascii="Times New Roman" w:hAnsi="Times New Roman" w:eastAsia="黑体"/>
          <w:sz w:val="28"/>
          <w:szCs w:val="28"/>
          <w:vertAlign w:val="superscript"/>
        </w:rPr>
        <w:footnoteReference w:id="0"/>
      </w:r>
    </w:p>
    <w:p>
      <w:pPr>
        <w:spacing w:line="440" w:lineRule="exact"/>
        <w:jc w:val="center"/>
        <w:rPr>
          <w:rFonts w:ascii="Times New Roman" w:hAnsi="Times New Roman" w:eastAsia="黑体"/>
          <w:sz w:val="20"/>
          <w:szCs w:val="20"/>
        </w:rPr>
      </w:pPr>
      <w:r>
        <w:rPr>
          <w:rFonts w:ascii="Times New Roman" w:hAnsi="Times New Roman" w:eastAsia="黑体"/>
          <w:sz w:val="20"/>
          <w:szCs w:val="20"/>
        </w:rPr>
        <w:t xml:space="preserve">               </w:t>
      </w:r>
    </w:p>
    <w:p>
      <w:pPr>
        <w:keepNext/>
        <w:keepLines/>
        <w:spacing w:before="240" w:after="240" w:line="240" w:lineRule="atLeast"/>
        <w:outlineLvl w:val="0"/>
        <w:rPr>
          <w:rFonts w:ascii="Times New Roman" w:hAnsi="Times New Roman"/>
          <w:b/>
          <w:bCs/>
          <w:kern w:val="44"/>
          <w:sz w:val="28"/>
          <w:szCs w:val="28"/>
        </w:rPr>
      </w:pPr>
      <w:bookmarkStart w:id="0" w:name="_Toc503235714"/>
      <w:bookmarkStart w:id="1" w:name="_Toc510015649"/>
      <w:r>
        <w:rPr>
          <w:rFonts w:ascii="Times New Roman" w:hAnsi="Times New Roman"/>
          <w:b/>
          <w:bCs/>
          <w:kern w:val="44"/>
          <w:sz w:val="28"/>
          <w:szCs w:val="28"/>
        </w:rPr>
        <w:t xml:space="preserve">1. </w:t>
      </w:r>
      <w:r>
        <w:rPr>
          <w:rFonts w:hint="eastAsia" w:ascii="Times New Roman" w:hAnsi="Times New Roman" w:eastAsia="黑体"/>
          <w:b/>
          <w:bCs/>
          <w:kern w:val="44"/>
          <w:sz w:val="28"/>
          <w:szCs w:val="28"/>
        </w:rPr>
        <w:t>招标条件</w:t>
      </w:r>
      <w:bookmarkEnd w:id="0"/>
      <w:bookmarkEnd w:id="1"/>
    </w:p>
    <w:p>
      <w:pPr>
        <w:spacing w:line="400" w:lineRule="atLeast"/>
        <w:ind w:firstLine="480" w:firstLineChars="200"/>
        <w:rPr>
          <w:rFonts w:ascii="Times New Roman" w:hAnsi="Times New Roman"/>
          <w:sz w:val="24"/>
          <w:szCs w:val="24"/>
        </w:rPr>
      </w:pPr>
      <w:r>
        <w:rPr>
          <w:rFonts w:hint="eastAsia" w:ascii="Times New Roman" w:hAnsi="Times New Roman"/>
          <w:sz w:val="24"/>
          <w:szCs w:val="24"/>
        </w:rPr>
        <w:t>本招标项目</w:t>
      </w:r>
      <w:r>
        <w:rPr>
          <w:rFonts w:ascii="Times New Roman" w:hAnsi="Times New Roman"/>
          <w:sz w:val="24"/>
          <w:szCs w:val="24"/>
          <w:u w:val="single"/>
        </w:rPr>
        <w:t xml:space="preserve"> </w:t>
      </w:r>
      <w:r>
        <w:rPr>
          <w:rFonts w:ascii="黑体" w:hAnsi="黑体" w:eastAsia="黑体" w:cs="黑体"/>
          <w:spacing w:val="14"/>
          <w:sz w:val="27"/>
          <w:szCs w:val="27"/>
          <w:u w:val="single" w:color="auto"/>
        </w:rPr>
        <w:t>岳</w:t>
      </w:r>
      <w:r>
        <w:rPr>
          <w:rFonts w:ascii="黑体" w:hAnsi="黑体" w:eastAsia="黑体" w:cs="黑体"/>
          <w:spacing w:val="9"/>
          <w:sz w:val="27"/>
          <w:szCs w:val="27"/>
          <w:u w:val="single" w:color="auto"/>
        </w:rPr>
        <w:t>望</w:t>
      </w:r>
      <w:r>
        <w:rPr>
          <w:rFonts w:ascii="黑体" w:hAnsi="黑体" w:eastAsia="黑体" w:cs="黑体"/>
          <w:spacing w:val="7"/>
          <w:sz w:val="27"/>
          <w:szCs w:val="27"/>
          <w:u w:val="single" w:color="auto"/>
        </w:rPr>
        <w:t>高速公路金龙互通工程施工监理</w:t>
      </w:r>
      <w:r>
        <w:rPr>
          <w:rFonts w:ascii="Times New Roman" w:hAnsi="Times New Roman"/>
          <w:sz w:val="24"/>
          <w:szCs w:val="24"/>
          <w:u w:val="single"/>
        </w:rPr>
        <w:t xml:space="preserve"> </w:t>
      </w:r>
      <w:r>
        <w:rPr>
          <w:rFonts w:hint="eastAsia" w:ascii="Times New Roman" w:hAnsi="Times New Roman"/>
          <w:sz w:val="24"/>
          <w:szCs w:val="24"/>
        </w:rPr>
        <w:t>（项目名称）已由</w:t>
      </w:r>
      <w:r>
        <w:rPr>
          <w:rFonts w:ascii="Times New Roman" w:hAnsi="Times New Roman"/>
          <w:sz w:val="24"/>
          <w:szCs w:val="24"/>
          <w:u w:val="single"/>
        </w:rPr>
        <w:t xml:space="preserve"> 湖南省发展和改革委员会 </w:t>
      </w:r>
      <w:r>
        <w:rPr>
          <w:rFonts w:hint="eastAsia" w:ascii="Times New Roman" w:hAnsi="Times New Roman"/>
          <w:sz w:val="24"/>
          <w:szCs w:val="24"/>
        </w:rPr>
        <w:t>（项目审批、核准或备案机关名称）以</w:t>
      </w:r>
      <w:r>
        <w:rPr>
          <w:rFonts w:ascii="Times New Roman" w:hAnsi="Times New Roman"/>
          <w:sz w:val="24"/>
          <w:szCs w:val="24"/>
          <w:u w:val="single"/>
        </w:rPr>
        <w:t xml:space="preserve"> 湘发改基础[2022]927号</w:t>
      </w:r>
      <w:r>
        <w:rPr>
          <w:rFonts w:hint="eastAsia" w:ascii="Times New Roman" w:hAnsi="Times New Roman"/>
          <w:sz w:val="24"/>
          <w:szCs w:val="24"/>
        </w:rPr>
        <w:t>（批文名称及编号）批准建设，初步设计已由</w:t>
      </w:r>
      <w:r>
        <w:rPr>
          <w:rFonts w:ascii="Times New Roman" w:hAnsi="Times New Roman"/>
          <w:sz w:val="24"/>
          <w:szCs w:val="24"/>
          <w:u w:val="single"/>
        </w:rPr>
        <w:t xml:space="preserve"> 湖南省交通运输厅</w:t>
      </w:r>
      <w:r>
        <w:rPr>
          <w:rFonts w:hint="eastAsia" w:ascii="Times New Roman" w:hAnsi="Times New Roman"/>
          <w:sz w:val="24"/>
          <w:szCs w:val="24"/>
        </w:rPr>
        <w:t>（批准机关名称）以</w:t>
      </w:r>
      <w:r>
        <w:rPr>
          <w:rFonts w:ascii="Times New Roman" w:hAnsi="Times New Roman"/>
          <w:sz w:val="24"/>
          <w:szCs w:val="24"/>
          <w:u w:val="single"/>
        </w:rPr>
        <w:t xml:space="preserve"> 湘交批[2022]174号 </w:t>
      </w:r>
      <w:r>
        <w:rPr>
          <w:rFonts w:hint="eastAsia" w:ascii="Times New Roman" w:hAnsi="Times New Roman"/>
          <w:sz w:val="24"/>
          <w:szCs w:val="24"/>
        </w:rPr>
        <w:t>（批文名称及编号）批准，项目业主为</w:t>
      </w:r>
      <w:r>
        <w:rPr>
          <w:rFonts w:ascii="Times New Roman" w:hAnsi="Times New Roman"/>
          <w:sz w:val="24"/>
          <w:szCs w:val="24"/>
          <w:u w:val="single"/>
        </w:rPr>
        <w:t xml:space="preserve"> 湘阴县交通建设投资有限公司 </w:t>
      </w:r>
      <w:r>
        <w:rPr>
          <w:rFonts w:hint="eastAsia" w:ascii="Times New Roman" w:hAnsi="Times New Roman"/>
          <w:sz w:val="24"/>
          <w:szCs w:val="24"/>
        </w:rPr>
        <w:t>，建设资金来自</w:t>
      </w:r>
      <w:r>
        <w:rPr>
          <w:rFonts w:ascii="Times New Roman" w:hAnsi="Times New Roman"/>
          <w:sz w:val="24"/>
          <w:szCs w:val="24"/>
          <w:u w:val="single"/>
        </w:rPr>
        <w:t xml:space="preserve"> 地方自筹 </w:t>
      </w:r>
      <w:r>
        <w:rPr>
          <w:rFonts w:hint="eastAsia" w:ascii="Times New Roman" w:hAnsi="Times New Roman"/>
          <w:sz w:val="24"/>
          <w:szCs w:val="24"/>
        </w:rPr>
        <w:t>（资金来源），出资比例为</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100%</w:t>
      </w:r>
      <w:r>
        <w:rPr>
          <w:rFonts w:ascii="Times New Roman" w:hAnsi="Times New Roman"/>
          <w:sz w:val="24"/>
          <w:szCs w:val="24"/>
          <w:u w:val="single"/>
        </w:rPr>
        <w:t xml:space="preserve"> </w:t>
      </w:r>
      <w:r>
        <w:rPr>
          <w:rFonts w:hint="eastAsia" w:ascii="Times New Roman" w:hAnsi="Times New Roman"/>
          <w:sz w:val="24"/>
          <w:szCs w:val="24"/>
        </w:rPr>
        <w:t>，招标人为</w:t>
      </w:r>
      <w:r>
        <w:rPr>
          <w:rFonts w:ascii="Times New Roman" w:hAnsi="Times New Roman"/>
          <w:sz w:val="24"/>
          <w:szCs w:val="24"/>
          <w:u w:val="single"/>
        </w:rPr>
        <w:t xml:space="preserve"> 湘阴县交通建设投资有限公司 </w:t>
      </w:r>
      <w:r>
        <w:rPr>
          <w:rFonts w:hint="eastAsia" w:ascii="Times New Roman" w:hAnsi="Times New Roman"/>
          <w:sz w:val="24"/>
          <w:szCs w:val="24"/>
        </w:rPr>
        <w:t>。项目已具备招标条件，现对该项目的施工监理进行公开招标。</w:t>
      </w:r>
      <w:r>
        <w:rPr>
          <w:rFonts w:ascii="Times New Roman" w:hAnsi="Times New Roman"/>
          <w:sz w:val="24"/>
          <w:szCs w:val="24"/>
        </w:rPr>
        <w:t xml:space="preserve"> </w:t>
      </w:r>
    </w:p>
    <w:p>
      <w:pPr>
        <w:keepNext/>
        <w:keepLines/>
        <w:spacing w:before="240" w:after="240" w:line="240" w:lineRule="atLeast"/>
        <w:outlineLvl w:val="0"/>
        <w:rPr>
          <w:rFonts w:ascii="Times New Roman" w:hAnsi="Times New Roman" w:eastAsia="黑体"/>
          <w:b/>
          <w:bCs/>
          <w:kern w:val="44"/>
          <w:sz w:val="28"/>
          <w:szCs w:val="28"/>
        </w:rPr>
      </w:pPr>
      <w:bookmarkStart w:id="2" w:name="_Toc510015650"/>
      <w:bookmarkStart w:id="3" w:name="_Toc503235715"/>
      <w:r>
        <w:rPr>
          <w:rFonts w:ascii="Times New Roman" w:hAnsi="Times New Roman" w:eastAsia="黑体"/>
          <w:b/>
          <w:bCs/>
          <w:kern w:val="44"/>
          <w:sz w:val="28"/>
          <w:szCs w:val="28"/>
        </w:rPr>
        <w:t xml:space="preserve">2. </w:t>
      </w:r>
      <w:r>
        <w:rPr>
          <w:rFonts w:hint="eastAsia" w:ascii="Times New Roman" w:hAnsi="Times New Roman" w:eastAsia="黑体"/>
          <w:b/>
          <w:bCs/>
          <w:kern w:val="44"/>
          <w:sz w:val="28"/>
          <w:szCs w:val="28"/>
        </w:rPr>
        <w:t>项目概况与招标范围</w:t>
      </w:r>
      <w:bookmarkEnd w:id="2"/>
      <w:bookmarkEnd w:id="3"/>
    </w:p>
    <w:p>
      <w:pPr>
        <w:spacing w:line="400" w:lineRule="atLeast"/>
        <w:ind w:firstLine="540" w:firstLineChars="225"/>
        <w:rPr>
          <w:rFonts w:ascii="Times New Roman" w:hAnsi="Times New Roman" w:eastAsia="黑体"/>
          <w:sz w:val="24"/>
          <w:szCs w:val="24"/>
        </w:rPr>
      </w:pPr>
      <w:r>
        <w:rPr>
          <w:rFonts w:ascii="Times New Roman" w:hAnsi="Times New Roman" w:eastAsia="黑体"/>
          <w:sz w:val="24"/>
          <w:szCs w:val="24"/>
        </w:rPr>
        <w:t xml:space="preserve">2.1 </w:t>
      </w:r>
      <w:r>
        <w:rPr>
          <w:rFonts w:hint="eastAsia" w:ascii="Times New Roman" w:hAnsi="Times New Roman" w:eastAsia="黑体"/>
          <w:sz w:val="24"/>
          <w:szCs w:val="24"/>
        </w:rPr>
        <w:t>建设地点：湖南省</w:t>
      </w:r>
      <w:r>
        <w:rPr>
          <w:rFonts w:ascii="Times New Roman" w:hAnsi="Times New Roman" w:eastAsia="黑体"/>
          <w:sz w:val="24"/>
          <w:szCs w:val="24"/>
          <w:u w:val="single"/>
        </w:rPr>
        <w:t xml:space="preserve"> 岳阳 </w:t>
      </w:r>
      <w:r>
        <w:rPr>
          <w:rFonts w:hint="eastAsia" w:ascii="Times New Roman" w:hAnsi="Times New Roman" w:eastAsia="黑体"/>
          <w:sz w:val="24"/>
          <w:szCs w:val="24"/>
        </w:rPr>
        <w:t>市</w:t>
      </w:r>
      <w:r>
        <w:rPr>
          <w:rFonts w:ascii="Times New Roman" w:hAnsi="Times New Roman" w:eastAsia="黑体"/>
          <w:sz w:val="24"/>
          <w:szCs w:val="24"/>
        </w:rPr>
        <w:t>/</w:t>
      </w:r>
      <w:r>
        <w:rPr>
          <w:rFonts w:hint="eastAsia" w:ascii="Times New Roman" w:hAnsi="Times New Roman" w:eastAsia="黑体"/>
          <w:sz w:val="24"/>
          <w:szCs w:val="24"/>
        </w:rPr>
        <w:t>州</w:t>
      </w:r>
      <w:r>
        <w:rPr>
          <w:rFonts w:ascii="Times New Roman" w:hAnsi="Times New Roman" w:eastAsia="黑体"/>
          <w:sz w:val="24"/>
          <w:szCs w:val="24"/>
          <w:u w:val="single"/>
        </w:rPr>
        <w:t xml:space="preserve"> 湘阴 </w:t>
      </w:r>
      <w:r>
        <w:rPr>
          <w:rFonts w:hint="eastAsia" w:ascii="Times New Roman" w:hAnsi="Times New Roman" w:eastAsia="黑体"/>
          <w:sz w:val="24"/>
          <w:szCs w:val="24"/>
        </w:rPr>
        <w:t>县</w:t>
      </w:r>
      <w:r>
        <w:rPr>
          <w:rFonts w:ascii="Times New Roman" w:hAnsi="Times New Roman" w:eastAsia="黑体"/>
          <w:sz w:val="24"/>
          <w:szCs w:val="24"/>
        </w:rPr>
        <w:t>/</w:t>
      </w:r>
      <w:r>
        <w:rPr>
          <w:rFonts w:hint="eastAsia" w:ascii="Times New Roman" w:hAnsi="Times New Roman" w:eastAsia="黑体"/>
          <w:sz w:val="24"/>
          <w:szCs w:val="24"/>
        </w:rPr>
        <w:t>区境内。</w:t>
      </w:r>
    </w:p>
    <w:p>
      <w:pPr>
        <w:spacing w:line="400" w:lineRule="atLeast"/>
        <w:ind w:firstLine="540" w:firstLineChars="225"/>
        <w:rPr>
          <w:rFonts w:hint="eastAsia" w:ascii="Times New Roman" w:hAnsi="Times New Roman" w:eastAsia="黑体"/>
          <w:sz w:val="24"/>
          <w:szCs w:val="24"/>
        </w:rPr>
      </w:pPr>
      <w:r>
        <w:rPr>
          <w:rFonts w:ascii="Times New Roman" w:hAnsi="Times New Roman" w:eastAsia="黑体"/>
          <w:sz w:val="24"/>
          <w:szCs w:val="24"/>
        </w:rPr>
        <w:t xml:space="preserve">2.2 </w:t>
      </w:r>
      <w:r>
        <w:rPr>
          <w:rFonts w:hint="eastAsia" w:ascii="Times New Roman" w:hAnsi="Times New Roman" w:eastAsia="黑体"/>
          <w:sz w:val="24"/>
          <w:szCs w:val="24"/>
        </w:rPr>
        <w:t>项目建设规模及招标范围：项目路线包括金龙互通和连接线工程，其中金龙互通位于湘阴县金龙镇，与岳望高速相交，采用 A 型单喇叭形式，匝道上跨；连接线整体位于湘阴县金龙镇，路线总体为南北走向。互通主线岳望高速，采用双向六车道高速公路标准，设计速度 120 公里/小时，路基宽度 34.5 米；改造范围 K94+660~ K95+865，改造里程长度 1205 米。互通匝道采用设计速度 40 公里/小时，匝道总长 1984.3 米；其中 C 匝道为对向双车道，路基宽度为 16.5 米，匝道长 737.1 米；A、B、 D、E为单向单车道匝道， 路基宽度为 9.0 米，匝道长度分别为 362.3 米、 369.6 米、203.9 米、311.4 米。连接线采用二级公路标准，设计速度 60 公里/小时，路基宽度12 米，路线长度为 0.809 公里。互通及连接线采用沥青混凝土路面。互通设匝道收费站 1 处，收费车道数为 4 进 4 出，互通设置无人通信站 1 处，本项目房屋建筑工程(收费站)总用地面积 0.2502 公顷(3.753 亩)，总建筑面积 1024 平方米(不含收费天棚面积)。桥涵设计汽车荷载等级采用公路 I 级，其他技术指标按《公路工程技术标准》(JTGB01-2014)执行。</w:t>
      </w:r>
    </w:p>
    <w:p>
      <w:pPr>
        <w:spacing w:line="400" w:lineRule="atLeast"/>
        <w:ind w:firstLine="540" w:firstLineChars="225"/>
        <w:rPr>
          <w:rFonts w:hint="eastAsia" w:ascii="Times New Roman" w:hAnsi="Times New Roman" w:eastAsia="黑体"/>
          <w:sz w:val="24"/>
          <w:szCs w:val="24"/>
        </w:rPr>
      </w:pPr>
      <w:r>
        <w:rPr>
          <w:rFonts w:hint="eastAsia" w:ascii="Times New Roman" w:hAnsi="Times New Roman" w:eastAsia="黑体"/>
          <w:sz w:val="24"/>
          <w:szCs w:val="24"/>
          <w:lang w:val="en-US" w:eastAsia="zh-CN"/>
        </w:rPr>
        <w:t xml:space="preserve">现对本项目的互通及连接线工程的临时工程、路基工程、路面工程、桥梁涵洞工程、安全设施工程、绿化及环境保护工程、收费站房屋及机电工程施工监理进行公开招标。 </w:t>
      </w:r>
    </w:p>
    <w:p>
      <w:pPr>
        <w:spacing w:line="400" w:lineRule="atLeast"/>
        <w:rPr>
          <w:rFonts w:ascii="Times New Roman" w:hAnsi="Times New Roman" w:eastAsia="黑体"/>
          <w:sz w:val="24"/>
          <w:szCs w:val="24"/>
        </w:rPr>
      </w:pPr>
      <w:r>
        <w:rPr>
          <w:rFonts w:hint="eastAsia" w:ascii="Times New Roman" w:hAnsi="Times New Roman" w:eastAsia="黑体"/>
          <w:sz w:val="24"/>
          <w:szCs w:val="24"/>
        </w:rPr>
        <w:t>本次施工监理招标工程共分为</w:t>
      </w:r>
      <w:r>
        <w:rPr>
          <w:rFonts w:ascii="Times New Roman" w:hAnsi="Times New Roman" w:eastAsia="黑体"/>
          <w:sz w:val="24"/>
          <w:szCs w:val="24"/>
          <w:u w:val="single"/>
        </w:rPr>
        <w:t xml:space="preserve"> </w:t>
      </w:r>
      <w:r>
        <w:rPr>
          <w:rFonts w:hint="eastAsia" w:ascii="Times New Roman" w:hAnsi="Times New Roman" w:eastAsia="黑体"/>
          <w:sz w:val="24"/>
          <w:szCs w:val="24"/>
          <w:u w:val="single"/>
          <w:lang w:val="en-US" w:eastAsia="zh-CN"/>
        </w:rPr>
        <w:t>1</w:t>
      </w:r>
      <w:r>
        <w:rPr>
          <w:rFonts w:ascii="Times New Roman" w:hAnsi="Times New Roman" w:eastAsia="黑体"/>
          <w:sz w:val="24"/>
          <w:szCs w:val="24"/>
          <w:u w:val="single"/>
        </w:rPr>
        <w:t xml:space="preserve"> </w:t>
      </w:r>
      <w:r>
        <w:rPr>
          <w:rFonts w:hint="eastAsia" w:ascii="Times New Roman" w:hAnsi="Times New Roman" w:eastAsia="黑体"/>
          <w:sz w:val="24"/>
          <w:szCs w:val="24"/>
        </w:rPr>
        <w:t>个标段。其标段划分及工程内容等见下表。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55"/>
        <w:gridCol w:w="1056"/>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9"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黑体"/>
                <w:sz w:val="24"/>
                <w:szCs w:val="24"/>
              </w:rPr>
            </w:pPr>
            <w:r>
              <w:rPr>
                <w:rFonts w:hint="eastAsia" w:ascii="Times New Roman" w:hAnsi="Times New Roman" w:eastAsia="黑体"/>
                <w:sz w:val="24"/>
                <w:szCs w:val="24"/>
              </w:rPr>
              <w:t>标段号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黑体"/>
                <w:sz w:val="24"/>
                <w:szCs w:val="24"/>
              </w:rPr>
            </w:pPr>
            <w:r>
              <w:rPr>
                <w:rFonts w:hint="eastAsia" w:ascii="Times New Roman" w:hAnsi="Times New Roman" w:eastAsia="黑体"/>
                <w:sz w:val="24"/>
                <w:szCs w:val="24"/>
              </w:rPr>
              <w:t>桩号</w:t>
            </w:r>
          </w:p>
        </w:tc>
        <w:tc>
          <w:tcPr>
            <w:tcW w:w="618"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黑体"/>
                <w:sz w:val="24"/>
                <w:szCs w:val="24"/>
              </w:rPr>
            </w:pPr>
            <w:r>
              <w:rPr>
                <w:rFonts w:hint="eastAsia" w:ascii="Times New Roman" w:hAnsi="Times New Roman" w:eastAsia="黑体"/>
                <w:sz w:val="24"/>
                <w:szCs w:val="24"/>
              </w:rPr>
              <w:t>长度</w:t>
            </w:r>
          </w:p>
          <w:p>
            <w:pPr>
              <w:spacing w:line="240" w:lineRule="exact"/>
              <w:jc w:val="center"/>
              <w:rPr>
                <w:rFonts w:ascii="Times New Roman" w:hAnsi="Times New Roman" w:eastAsia="黑体"/>
                <w:sz w:val="24"/>
                <w:szCs w:val="24"/>
              </w:rPr>
            </w:pPr>
            <w:r>
              <w:rPr>
                <w:rFonts w:hint="eastAsia" w:ascii="Times New Roman" w:hAnsi="Times New Roman" w:eastAsia="黑体"/>
                <w:sz w:val="24"/>
                <w:szCs w:val="24"/>
              </w:rPr>
              <w:t>（</w:t>
            </w:r>
            <w:r>
              <w:rPr>
                <w:rFonts w:ascii="Times New Roman" w:hAnsi="Times New Roman" w:eastAsia="黑体"/>
                <w:sz w:val="24"/>
                <w:szCs w:val="24"/>
              </w:rPr>
              <w:t>Km</w:t>
            </w:r>
            <w:r>
              <w:rPr>
                <w:rFonts w:hint="eastAsia" w:ascii="Times New Roman" w:hAnsi="Times New Roman" w:eastAsia="黑体"/>
                <w:sz w:val="24"/>
                <w:szCs w:val="24"/>
              </w:rPr>
              <w:t>）</w:t>
            </w:r>
          </w:p>
        </w:tc>
        <w:tc>
          <w:tcPr>
            <w:tcW w:w="2835"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黑体"/>
                <w:sz w:val="24"/>
                <w:szCs w:val="24"/>
              </w:rPr>
            </w:pPr>
            <w:r>
              <w:rPr>
                <w:rFonts w:hint="eastAsia" w:ascii="Times New Roman" w:hAnsi="Times New Roman" w:eastAsia="黑体"/>
                <w:sz w:val="24"/>
                <w:szCs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49" w:type="pc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sz w:val="24"/>
                <w:szCs w:val="24"/>
              </w:rPr>
            </w:pPr>
            <w:r>
              <w:rPr>
                <w:rFonts w:hint="eastAsia" w:ascii="Times New Roman" w:hAnsi="Times New Roman" w:eastAsia="黑体"/>
                <w:sz w:val="24"/>
                <w:szCs w:val="24"/>
              </w:rPr>
              <w:t>SGJL01</w:t>
            </w:r>
          </w:p>
        </w:tc>
        <w:tc>
          <w:tcPr>
            <w:tcW w:w="696" w:type="pc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sz w:val="24"/>
                <w:szCs w:val="24"/>
              </w:rPr>
            </w:pPr>
            <w:r>
              <w:rPr>
                <w:rFonts w:ascii="Times New Roman" w:hAnsi="Times New Roman" w:eastAsia="黑体"/>
                <w:sz w:val="24"/>
                <w:szCs w:val="24"/>
                <w:lang w:val="en-US" w:eastAsia="zh-CN"/>
              </w:rPr>
              <w:t xml:space="preserve">K94+660~ </w:t>
            </w:r>
          </w:p>
          <w:p>
            <w:pPr>
              <w:adjustRightInd w:val="0"/>
              <w:snapToGrid w:val="0"/>
              <w:spacing w:line="240" w:lineRule="exact"/>
              <w:jc w:val="center"/>
              <w:rPr>
                <w:rFonts w:ascii="Times New Roman" w:hAnsi="Times New Roman" w:eastAsia="黑体"/>
                <w:sz w:val="24"/>
                <w:szCs w:val="24"/>
              </w:rPr>
            </w:pPr>
            <w:r>
              <w:rPr>
                <w:rFonts w:hint="default" w:ascii="Times New Roman" w:hAnsi="Times New Roman" w:eastAsia="黑体"/>
                <w:sz w:val="24"/>
                <w:szCs w:val="24"/>
                <w:lang w:val="en-US" w:eastAsia="zh-CN"/>
              </w:rPr>
              <w:t>K95+865</w:t>
            </w:r>
          </w:p>
          <w:p>
            <w:pPr>
              <w:adjustRightInd w:val="0"/>
              <w:snapToGrid w:val="0"/>
              <w:spacing w:line="240" w:lineRule="exact"/>
              <w:jc w:val="center"/>
              <w:rPr>
                <w:rFonts w:ascii="Times New Roman" w:hAnsi="Times New Roman" w:eastAsia="黑体"/>
                <w:sz w:val="24"/>
                <w:szCs w:val="24"/>
              </w:rPr>
            </w:pPr>
          </w:p>
        </w:tc>
        <w:tc>
          <w:tcPr>
            <w:tcW w:w="618" w:type="pc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sz w:val="24"/>
                <w:szCs w:val="24"/>
              </w:rPr>
            </w:pPr>
            <w:r>
              <w:rPr>
                <w:rFonts w:hint="eastAsia" w:ascii="Times New Roman" w:hAnsi="Times New Roman" w:eastAsia="黑体"/>
                <w:sz w:val="24"/>
                <w:szCs w:val="24"/>
                <w:lang w:val="en-US" w:eastAsia="zh-CN"/>
              </w:rPr>
              <w:t xml:space="preserve">互通主线改 </w:t>
            </w:r>
          </w:p>
          <w:p>
            <w:pPr>
              <w:adjustRightInd w:val="0"/>
              <w:snapToGrid w:val="0"/>
              <w:spacing w:line="240" w:lineRule="exact"/>
              <w:jc w:val="center"/>
              <w:rPr>
                <w:rFonts w:ascii="Times New Roman" w:hAnsi="Times New Roman" w:eastAsia="黑体"/>
                <w:sz w:val="24"/>
                <w:szCs w:val="24"/>
              </w:rPr>
            </w:pPr>
            <w:r>
              <w:rPr>
                <w:rFonts w:hint="eastAsia" w:ascii="Times New Roman" w:hAnsi="Times New Roman" w:eastAsia="黑体"/>
                <w:sz w:val="24"/>
                <w:szCs w:val="24"/>
                <w:lang w:val="en-US" w:eastAsia="zh-CN"/>
              </w:rPr>
              <w:t xml:space="preserve">造 </w:t>
            </w:r>
            <w:r>
              <w:rPr>
                <w:rFonts w:ascii="Times New Roman" w:hAnsi="Times New Roman" w:eastAsia="黑体"/>
                <w:sz w:val="24"/>
                <w:szCs w:val="24"/>
                <w:lang w:val="en-US" w:eastAsia="zh-CN"/>
              </w:rPr>
              <w:t xml:space="preserve">1205 </w:t>
            </w:r>
            <w:r>
              <w:rPr>
                <w:rFonts w:hint="eastAsia" w:ascii="Times New Roman" w:hAnsi="Times New Roman" w:eastAsia="黑体"/>
                <w:sz w:val="24"/>
                <w:szCs w:val="24"/>
                <w:lang w:val="en-US" w:eastAsia="zh-CN"/>
              </w:rPr>
              <w:t>米；互通：</w:t>
            </w:r>
            <w:r>
              <w:rPr>
                <w:rFonts w:hint="default" w:ascii="Times New Roman" w:hAnsi="Times New Roman" w:eastAsia="黑体"/>
                <w:sz w:val="24"/>
                <w:szCs w:val="24"/>
                <w:lang w:val="en-US" w:eastAsia="zh-CN"/>
              </w:rPr>
              <w:t xml:space="preserve">1984.3 </w:t>
            </w:r>
          </w:p>
          <w:p>
            <w:pPr>
              <w:adjustRightInd w:val="0"/>
              <w:snapToGrid w:val="0"/>
              <w:spacing w:line="240" w:lineRule="exact"/>
              <w:jc w:val="center"/>
              <w:rPr>
                <w:rFonts w:ascii="Times New Roman" w:hAnsi="Times New Roman" w:eastAsia="黑体"/>
                <w:sz w:val="24"/>
                <w:szCs w:val="24"/>
              </w:rPr>
            </w:pPr>
            <w:r>
              <w:rPr>
                <w:rFonts w:hint="eastAsia" w:ascii="Times New Roman" w:hAnsi="Times New Roman" w:eastAsia="黑体"/>
                <w:sz w:val="24"/>
                <w:szCs w:val="24"/>
                <w:lang w:val="en-US" w:eastAsia="zh-CN"/>
              </w:rPr>
              <w:t xml:space="preserve">米；连接线 </w:t>
            </w:r>
          </w:p>
          <w:p>
            <w:pPr>
              <w:adjustRightInd w:val="0"/>
              <w:snapToGrid w:val="0"/>
              <w:spacing w:line="240" w:lineRule="exact"/>
              <w:jc w:val="center"/>
              <w:rPr>
                <w:rFonts w:ascii="Times New Roman" w:hAnsi="Times New Roman" w:eastAsia="黑体"/>
                <w:sz w:val="24"/>
                <w:szCs w:val="24"/>
              </w:rPr>
            </w:pPr>
            <w:r>
              <w:rPr>
                <w:rFonts w:hint="default" w:ascii="Times New Roman" w:hAnsi="Times New Roman" w:eastAsia="黑体"/>
                <w:sz w:val="24"/>
                <w:szCs w:val="24"/>
                <w:lang w:val="en-US" w:eastAsia="zh-CN"/>
              </w:rPr>
              <w:t xml:space="preserve">0.809 </w:t>
            </w:r>
            <w:r>
              <w:rPr>
                <w:rFonts w:hint="eastAsia" w:ascii="Times New Roman" w:hAnsi="Times New Roman" w:eastAsia="黑体"/>
                <w:sz w:val="24"/>
                <w:szCs w:val="24"/>
                <w:lang w:val="en-US" w:eastAsia="zh-CN"/>
              </w:rPr>
              <w:t>公里</w:t>
            </w:r>
          </w:p>
        </w:tc>
        <w:tc>
          <w:tcPr>
            <w:tcW w:w="283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黑体"/>
                <w:sz w:val="24"/>
                <w:szCs w:val="24"/>
              </w:rPr>
            </w:pPr>
            <w:r>
              <w:rPr>
                <w:rFonts w:hint="eastAsia" w:ascii="Times New Roman" w:hAnsi="Times New Roman" w:eastAsia="黑体"/>
                <w:sz w:val="24"/>
                <w:szCs w:val="24"/>
                <w:lang w:val="en-US" w:eastAsia="zh-CN"/>
              </w:rPr>
              <w:t xml:space="preserve">1、该项目合同段范围内互通及连接线工程的临时工程、路基工程、路面工程、桥梁涵洞工程、安全设施工程、绿化及环境保护工程、收费站房屋及机电工程和相关变更工程及为本合同主体项目之外的附属工程（如进场道路，便桥便涵等）等工程的施工阶段（含施工准备阶段）、交工验收与缺陷责任期阶段的施工监理。 </w:t>
            </w:r>
          </w:p>
          <w:p>
            <w:pPr>
              <w:adjustRightInd w:val="0"/>
              <w:snapToGrid w:val="0"/>
              <w:jc w:val="left"/>
              <w:rPr>
                <w:rFonts w:ascii="Times New Roman" w:hAnsi="Times New Roman" w:eastAsia="黑体"/>
                <w:sz w:val="24"/>
                <w:szCs w:val="24"/>
              </w:rPr>
            </w:pPr>
            <w:r>
              <w:rPr>
                <w:rFonts w:hint="eastAsia" w:ascii="Times New Roman" w:hAnsi="Times New Roman" w:eastAsia="黑体"/>
                <w:sz w:val="24"/>
                <w:szCs w:val="24"/>
                <w:lang w:val="en-US" w:eastAsia="zh-CN"/>
              </w:rPr>
              <w:t>2、试验检测（包括但不限于）：①本合同内施工准备、施工阶段的试验检测技术服务（试验样品采集、送检、试验操作、资料编制等），并接受委托人的监督管理；②承担本合同内所有工程的特殊专项材料（包括土工材料、沥青材料、锚具、钢绞线、支座、伸缩缝、外加剂、防水材料、保温材料、高强螺栓等）第三方专项检测的取样、送检工作；③在授权范围内代表委托人对承包人的试验检测工作进行监督管理，参加本项目的交工验收工作等。</w:t>
            </w:r>
          </w:p>
        </w:tc>
      </w:tr>
    </w:tbl>
    <w:p>
      <w:pPr>
        <w:spacing w:line="400" w:lineRule="atLeast"/>
        <w:ind w:firstLine="540" w:firstLineChars="225"/>
        <w:rPr>
          <w:rFonts w:ascii="Times New Roman" w:hAnsi="Times New Roman" w:eastAsia="黑体"/>
          <w:b/>
          <w:bCs/>
          <w:kern w:val="44"/>
          <w:sz w:val="28"/>
          <w:szCs w:val="28"/>
        </w:rPr>
      </w:pPr>
      <w:r>
        <w:rPr>
          <w:rFonts w:hint="eastAsia" w:ascii="Times New Roman" w:hAnsi="Times New Roman" w:eastAsia="黑体"/>
          <w:sz w:val="24"/>
          <w:szCs w:val="24"/>
        </w:rPr>
        <w:t>本次招标施工监理服务期限为：</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u w:val="single"/>
          <w:lang w:val="en-US" w:eastAsia="zh-CN"/>
        </w:rPr>
        <w:t>1290</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rPr>
        <w:t>日历天，包括施工准备阶段监理</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u w:val="single"/>
          <w:lang w:val="en-US" w:eastAsia="zh-CN"/>
        </w:rPr>
        <w:t>30</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rPr>
        <w:t>日历天，施工阶段监理</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u w:val="single"/>
          <w:lang w:val="en-US" w:eastAsia="zh-CN"/>
        </w:rPr>
        <w:t>540</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rPr>
        <w:t>日历天，交工验收及缺陷责任期监理</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u w:val="single"/>
          <w:lang w:val="en-US" w:eastAsia="zh-CN"/>
        </w:rPr>
        <w:t>720</w:t>
      </w:r>
      <w:r>
        <w:rPr>
          <w:rFonts w:ascii="Times New Roman" w:hAnsi="Times New Roman" w:eastAsia="黑体"/>
          <w:bCs/>
          <w:kern w:val="44"/>
          <w:sz w:val="24"/>
          <w:szCs w:val="24"/>
          <w:u w:val="single"/>
        </w:rPr>
        <w:t xml:space="preserve"> </w:t>
      </w:r>
      <w:r>
        <w:rPr>
          <w:rFonts w:hint="eastAsia" w:ascii="Times New Roman" w:hAnsi="Times New Roman" w:eastAsia="黑体"/>
          <w:bCs/>
          <w:kern w:val="44"/>
          <w:sz w:val="24"/>
          <w:szCs w:val="24"/>
        </w:rPr>
        <w:t>日历天。</w:t>
      </w:r>
    </w:p>
    <w:p>
      <w:pPr>
        <w:keepNext/>
        <w:keepLines/>
        <w:spacing w:before="240" w:after="240" w:line="240" w:lineRule="atLeast"/>
        <w:outlineLvl w:val="0"/>
        <w:rPr>
          <w:rFonts w:ascii="Times New Roman" w:hAnsi="Times New Roman" w:eastAsia="黑体"/>
          <w:b/>
          <w:bCs/>
          <w:kern w:val="44"/>
          <w:sz w:val="28"/>
          <w:szCs w:val="28"/>
        </w:rPr>
      </w:pPr>
      <w:bookmarkStart w:id="4" w:name="_Toc503235716"/>
      <w:bookmarkStart w:id="5" w:name="_Toc510015651"/>
      <w:r>
        <w:rPr>
          <w:rFonts w:ascii="Times New Roman" w:hAnsi="Times New Roman" w:eastAsia="黑体"/>
          <w:b/>
          <w:bCs/>
          <w:kern w:val="44"/>
          <w:sz w:val="28"/>
          <w:szCs w:val="28"/>
        </w:rPr>
        <w:t xml:space="preserve">3. </w:t>
      </w:r>
      <w:r>
        <w:rPr>
          <w:rFonts w:hint="eastAsia" w:ascii="Times New Roman" w:hAnsi="Times New Roman" w:eastAsia="黑体"/>
          <w:b/>
          <w:bCs/>
          <w:kern w:val="44"/>
          <w:sz w:val="28"/>
          <w:szCs w:val="28"/>
        </w:rPr>
        <w:t>投标人资格要求</w:t>
      </w:r>
      <w:bookmarkEnd w:id="4"/>
      <w:bookmarkEnd w:id="5"/>
    </w:p>
    <w:p>
      <w:pPr>
        <w:spacing w:line="400" w:lineRule="atLeast"/>
        <w:ind w:firstLine="480" w:firstLineChars="200"/>
        <w:rPr>
          <w:rFonts w:hint="eastAsia" w:ascii="Times New Roman" w:hAnsi="Times New Roman"/>
          <w:sz w:val="24"/>
          <w:szCs w:val="24"/>
        </w:rPr>
      </w:pPr>
      <w:r>
        <w:rPr>
          <w:rFonts w:hint="eastAsia" w:ascii="Times New Roman" w:hAnsi="Times New Roman"/>
          <w:sz w:val="24"/>
          <w:szCs w:val="24"/>
          <w:lang w:val="en-US" w:eastAsia="zh-CN"/>
        </w:rPr>
        <w:t>3. 1 本次招标要求投标人须具备</w:t>
      </w:r>
      <w:r>
        <w:rPr>
          <w:rFonts w:hint="eastAsia" w:ascii="Times New Roman" w:hAnsi="Times New Roman"/>
          <w:sz w:val="24"/>
          <w:szCs w:val="24"/>
          <w:u w:val="single"/>
          <w:lang w:val="en-US" w:eastAsia="zh-CN"/>
        </w:rPr>
        <w:t xml:space="preserve"> 独立法人 </w:t>
      </w:r>
      <w:r>
        <w:rPr>
          <w:rFonts w:hint="eastAsia" w:ascii="Times New Roman" w:hAnsi="Times New Roman"/>
          <w:sz w:val="24"/>
          <w:szCs w:val="24"/>
          <w:lang w:val="en-US" w:eastAsia="zh-CN"/>
        </w:rPr>
        <w:t>资质、 持</w:t>
      </w:r>
      <w:r>
        <w:rPr>
          <w:rFonts w:hint="eastAsia" w:ascii="Times New Roman" w:hAnsi="Times New Roman"/>
          <w:sz w:val="24"/>
          <w:szCs w:val="24"/>
          <w:u w:val="single"/>
          <w:lang w:val="en-US" w:eastAsia="zh-CN"/>
        </w:rPr>
        <w:t>有工商行政管理部门核发的有效企业法人营业执照、具有建设行政主管部门颁发的工程监理企业综合资质或交通运输主管部门颁发的公路工程甲级监理资质和具有建设行政主管部门颁发的房屋建筑工程监</w:t>
      </w:r>
      <w:bookmarkStart w:id="28" w:name="_GoBack"/>
      <w:bookmarkEnd w:id="28"/>
      <w:r>
        <w:rPr>
          <w:rFonts w:hint="eastAsia" w:ascii="Times New Roman" w:hAnsi="Times New Roman"/>
          <w:sz w:val="24"/>
          <w:szCs w:val="24"/>
          <w:u w:val="single"/>
          <w:lang w:val="en-US" w:eastAsia="zh-CN"/>
        </w:rPr>
        <w:t xml:space="preserve">理乙级及以上资质，具有交通运输部颁发的公路机电工程专项监理资质 投标人须知附录2资格审查条件，投标人须知附录2资格审查条件（业绩最低要求） </w:t>
      </w:r>
      <w:r>
        <w:rPr>
          <w:rFonts w:hint="eastAsia" w:ascii="Times New Roman" w:hAnsi="Times New Roman"/>
          <w:sz w:val="24"/>
          <w:szCs w:val="24"/>
          <w:lang w:val="en-US" w:eastAsia="zh-CN"/>
        </w:rPr>
        <w:t>业绩，并在人员等方面具有相应的施工监理能力。</w:t>
      </w:r>
    </w:p>
    <w:p>
      <w:pPr>
        <w:spacing w:line="400" w:lineRule="atLeast"/>
        <w:ind w:firstLine="480" w:firstLineChars="200"/>
        <w:rPr>
          <w:rFonts w:ascii="Times New Roman" w:hAnsi="Times New Roman"/>
          <w:sz w:val="24"/>
          <w:szCs w:val="24"/>
        </w:rPr>
      </w:pPr>
      <w:r>
        <w:rPr>
          <w:rFonts w:hint="eastAsia" w:ascii="Times New Roman" w:hAnsi="Times New Roman"/>
          <w:sz w:val="24"/>
          <w:szCs w:val="24"/>
        </w:rPr>
        <w:t>投标人应进入交通运输部</w:t>
      </w:r>
      <w:r>
        <w:rPr>
          <w:rFonts w:ascii="Times New Roman" w:hAnsi="Times New Roman"/>
          <w:sz w:val="24"/>
          <w:szCs w:val="24"/>
        </w:rPr>
        <w:t>“</w:t>
      </w:r>
      <w:r>
        <w:rPr>
          <w:rFonts w:hint="eastAsia" w:ascii="Times New Roman" w:hAnsi="Times New Roman"/>
          <w:sz w:val="24"/>
          <w:szCs w:val="24"/>
        </w:rPr>
        <w:t>全国公路建设市场信用信息管理系统（</w:t>
      </w:r>
      <w:r>
        <w:rPr>
          <w:rFonts w:ascii="Times New Roman" w:hAnsi="Times New Roman"/>
          <w:sz w:val="24"/>
          <w:szCs w:val="24"/>
        </w:rPr>
        <w:t>http</w:t>
      </w:r>
      <w:r>
        <w:rPr>
          <w:rFonts w:hint="eastAsia" w:ascii="Times New Roman" w:hAnsi="Times New Roman"/>
          <w:sz w:val="24"/>
          <w:szCs w:val="24"/>
        </w:rPr>
        <w:t>：</w:t>
      </w:r>
      <w:r>
        <w:rPr>
          <w:rFonts w:ascii="Times New Roman" w:hAnsi="Times New Roman"/>
          <w:sz w:val="24"/>
          <w:szCs w:val="24"/>
        </w:rPr>
        <w:t>//glxy.mot.gov.cn</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中的公路工程施工监理资质企业名录，且投标人名称和资质与该名录中的相应企业名称和资质完全一致。</w:t>
      </w:r>
      <w:r>
        <w:rPr>
          <w:rFonts w:ascii="Times New Roman" w:hAnsi="Times New Roman"/>
          <w:szCs w:val="24"/>
          <w:vertAlign w:val="superscript"/>
        </w:rPr>
        <w:footnoteReference w:id="1"/>
      </w:r>
    </w:p>
    <w:p>
      <w:pPr>
        <w:spacing w:line="420" w:lineRule="exact"/>
        <w:ind w:firstLine="480" w:firstLineChars="200"/>
        <w:rPr>
          <w:rFonts w:ascii="Times New Roman" w:hAnsi="Times New Roman"/>
          <w:sz w:val="24"/>
          <w:szCs w:val="20"/>
        </w:rPr>
      </w:pPr>
      <w:r>
        <w:rPr>
          <w:rFonts w:ascii="Times New Roman" w:hAnsi="Times New Roman"/>
          <w:sz w:val="24"/>
          <w:szCs w:val="20"/>
        </w:rPr>
        <w:t xml:space="preserve">3.2 </w:t>
      </w:r>
      <w:r>
        <w:rPr>
          <w:rFonts w:hint="eastAsia" w:ascii="Times New Roman" w:hAnsi="Times New Roman"/>
          <w:sz w:val="24"/>
          <w:szCs w:val="24"/>
        </w:rPr>
        <w:t>本次招标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接受</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联合体投标。联合体投标的，联合体所有成员数量不得超过</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3</w:t>
      </w:r>
      <w:r>
        <w:rPr>
          <w:rFonts w:ascii="Times New Roman" w:hAnsi="Times New Roman"/>
          <w:sz w:val="24"/>
          <w:szCs w:val="24"/>
          <w:u w:val="single"/>
        </w:rPr>
        <w:t xml:space="preserve"> </w:t>
      </w:r>
      <w:r>
        <w:rPr>
          <w:rFonts w:hint="eastAsia" w:ascii="Times New Roman" w:hAnsi="Times New Roman"/>
          <w:sz w:val="24"/>
          <w:szCs w:val="24"/>
        </w:rPr>
        <w:t>家，且应满足下列要求：</w:t>
      </w:r>
      <w:r>
        <w:rPr>
          <w:rFonts w:ascii="Times New Roman" w:hAnsi="Times New Roman"/>
          <w:sz w:val="24"/>
          <w:szCs w:val="20"/>
          <w:u w:val="single"/>
        </w:rPr>
        <w:t xml:space="preserve"> </w:t>
      </w:r>
      <w:r>
        <w:rPr>
          <w:rFonts w:hint="eastAsia" w:ascii="Times New Roman" w:hAnsi="Times New Roman"/>
          <w:sz w:val="24"/>
          <w:szCs w:val="20"/>
          <w:u w:val="single"/>
          <w:lang w:val="en-US" w:eastAsia="zh-CN"/>
        </w:rPr>
        <w:t>联合体牵头单位应具有具有建设行政主管部门颁发的工程 监理企业综合资质或交通运输主管部门颁发的公路工程甲级监理资质</w:t>
      </w:r>
      <w:r>
        <w:rPr>
          <w:rFonts w:ascii="Times New Roman" w:hAnsi="Times New Roman"/>
          <w:sz w:val="24"/>
          <w:szCs w:val="20"/>
          <w:u w:val="single"/>
        </w:rPr>
        <w:t xml:space="preserve"> </w:t>
      </w:r>
      <w:r>
        <w:rPr>
          <w:rFonts w:hint="eastAsia" w:ascii="Times New Roman" w:hAnsi="Times New Roman"/>
          <w:sz w:val="24"/>
          <w:szCs w:val="20"/>
        </w:rPr>
        <w:t>。</w:t>
      </w:r>
    </w:p>
    <w:p>
      <w:pPr>
        <w:spacing w:line="420" w:lineRule="exact"/>
        <w:ind w:firstLine="480" w:firstLineChars="200"/>
        <w:rPr>
          <w:rFonts w:ascii="Times New Roman" w:hAnsi="Times New Roman" w:eastAsia="黑体"/>
          <w:sz w:val="24"/>
          <w:szCs w:val="24"/>
        </w:rPr>
      </w:pPr>
      <w:bookmarkStart w:id="6" w:name="_Hlk2752085"/>
      <w:r>
        <w:rPr>
          <w:rFonts w:ascii="Times New Roman" w:hAnsi="Times New Roman" w:eastAsia="黑体"/>
          <w:sz w:val="24"/>
          <w:szCs w:val="20"/>
        </w:rPr>
        <w:t>3.3</w:t>
      </w:r>
      <w:r>
        <w:rPr>
          <w:rFonts w:ascii="Times New Roman" w:hAnsi="Times New Roman" w:eastAsia="黑体"/>
          <w:sz w:val="24"/>
          <w:szCs w:val="24"/>
        </w:rPr>
        <w:t xml:space="preserve"> </w:t>
      </w:r>
      <w:r>
        <w:rPr>
          <w:rFonts w:hint="eastAsia" w:ascii="Times New Roman" w:hAnsi="Times New Roman" w:eastAsia="黑体"/>
          <w:sz w:val="24"/>
          <w:szCs w:val="24"/>
        </w:rPr>
        <w:t>每个投标人可在本次招标中对</w:t>
      </w:r>
      <w:r>
        <w:rPr>
          <w:rFonts w:ascii="Times New Roman" w:hAnsi="Times New Roman" w:eastAsia="黑体"/>
          <w:sz w:val="24"/>
          <w:szCs w:val="24"/>
          <w:u w:val="single"/>
        </w:rPr>
        <w:t xml:space="preserve"> </w:t>
      </w:r>
      <w:r>
        <w:rPr>
          <w:rFonts w:hint="eastAsia" w:ascii="Times New Roman" w:hAnsi="Times New Roman" w:eastAsia="黑体"/>
          <w:sz w:val="24"/>
          <w:szCs w:val="24"/>
          <w:u w:val="single"/>
          <w:lang w:val="en-US" w:eastAsia="zh-CN"/>
        </w:rPr>
        <w:t>1</w:t>
      </w:r>
      <w:r>
        <w:rPr>
          <w:rFonts w:ascii="Times New Roman" w:hAnsi="Times New Roman" w:eastAsia="黑体"/>
          <w:sz w:val="24"/>
          <w:szCs w:val="24"/>
          <w:u w:val="single"/>
        </w:rPr>
        <w:t xml:space="preserve"> </w:t>
      </w:r>
      <w:r>
        <w:rPr>
          <w:rFonts w:hint="eastAsia" w:ascii="Times New Roman" w:hAnsi="Times New Roman" w:eastAsia="黑体"/>
          <w:sz w:val="24"/>
          <w:szCs w:val="24"/>
        </w:rPr>
        <w:t>个标段投标，被湖南省交通运输厅评为</w:t>
      </w:r>
      <w:r>
        <w:rPr>
          <w:rFonts w:ascii="Times New Roman" w:hAnsi="Times New Roman" w:eastAsia="黑体"/>
          <w:sz w:val="24"/>
          <w:szCs w:val="24"/>
        </w:rPr>
        <w:t>AA</w:t>
      </w:r>
      <w:r>
        <w:rPr>
          <w:rFonts w:hint="eastAsia" w:ascii="Times New Roman" w:hAnsi="Times New Roman" w:eastAsia="黑体"/>
          <w:sz w:val="24"/>
          <w:szCs w:val="24"/>
        </w:rPr>
        <w:t>级的投标人，可在本次招标中给予增加</w:t>
      </w:r>
      <w:r>
        <w:rPr>
          <w:rFonts w:hint="eastAsia" w:ascii="Times New Roman" w:hAnsi="Times New Roman" w:eastAsia="黑体"/>
          <w:sz w:val="24"/>
          <w:szCs w:val="24"/>
          <w:u w:val="single"/>
          <w:lang w:val="en-US" w:eastAsia="zh-CN"/>
        </w:rPr>
        <w:t xml:space="preserve"> / </w:t>
      </w:r>
      <w:r>
        <w:rPr>
          <w:rFonts w:hint="eastAsia" w:ascii="Times New Roman" w:hAnsi="Times New Roman" w:eastAsia="黑体"/>
          <w:sz w:val="24"/>
          <w:szCs w:val="24"/>
        </w:rPr>
        <w:t>个标段投标的奖励，奖励后的可投标段数不得超过本次招标工程类别的标段总数。每个投标人允许中</w:t>
      </w:r>
      <w:r>
        <w:rPr>
          <w:rFonts w:ascii="Times New Roman" w:hAnsi="Times New Roman" w:eastAsia="黑体"/>
          <w:sz w:val="24"/>
          <w:szCs w:val="24"/>
          <w:u w:val="single"/>
        </w:rPr>
        <w:t xml:space="preserve"> </w:t>
      </w:r>
      <w:r>
        <w:rPr>
          <w:rFonts w:hint="eastAsia" w:ascii="Times New Roman" w:hAnsi="Times New Roman" w:eastAsia="黑体"/>
          <w:sz w:val="24"/>
          <w:szCs w:val="24"/>
          <w:u w:val="single"/>
          <w:lang w:val="en-US" w:eastAsia="zh-CN"/>
        </w:rPr>
        <w:t>1</w:t>
      </w:r>
      <w:r>
        <w:rPr>
          <w:rFonts w:ascii="Times New Roman" w:hAnsi="Times New Roman" w:eastAsia="黑体"/>
          <w:sz w:val="24"/>
          <w:szCs w:val="24"/>
          <w:u w:val="single"/>
        </w:rPr>
        <w:t xml:space="preserve"> </w:t>
      </w:r>
      <w:r>
        <w:rPr>
          <w:rFonts w:hint="eastAsia" w:ascii="Times New Roman" w:hAnsi="Times New Roman" w:eastAsia="黑体"/>
          <w:sz w:val="24"/>
          <w:szCs w:val="24"/>
        </w:rPr>
        <w:t>个标。</w:t>
      </w:r>
      <w:bookmarkStart w:id="7" w:name="_Hlk2710592"/>
      <w:r>
        <w:rPr>
          <w:rFonts w:ascii="Times New Roman" w:hAnsi="Times New Roman" w:eastAsia="黑体"/>
          <w:szCs w:val="24"/>
          <w:vertAlign w:val="superscript"/>
        </w:rPr>
        <w:footnoteReference w:id="2"/>
      </w:r>
      <w:bookmarkEnd w:id="7"/>
      <w:r>
        <w:rPr>
          <w:rFonts w:hint="eastAsia" w:ascii="Times New Roman" w:hAnsi="Times New Roman" w:eastAsia="黑体"/>
          <w:sz w:val="24"/>
          <w:szCs w:val="24"/>
        </w:rPr>
        <w:t>被湖南省交通运输厅评为</w:t>
      </w:r>
      <w:r>
        <w:rPr>
          <w:rFonts w:ascii="Times New Roman" w:hAnsi="Times New Roman" w:eastAsia="黑体"/>
          <w:sz w:val="24"/>
          <w:szCs w:val="24"/>
        </w:rPr>
        <w:t>C</w:t>
      </w:r>
      <w:r>
        <w:rPr>
          <w:rFonts w:hint="eastAsia" w:ascii="Times New Roman" w:hAnsi="Times New Roman" w:eastAsia="黑体"/>
          <w:sz w:val="24"/>
          <w:szCs w:val="24"/>
        </w:rPr>
        <w:t>级的投标人，减少</w:t>
      </w:r>
      <w:r>
        <w:rPr>
          <w:rFonts w:ascii="Times New Roman" w:hAnsi="Times New Roman" w:eastAsia="黑体"/>
          <w:sz w:val="24"/>
          <w:szCs w:val="24"/>
        </w:rPr>
        <w:t>1</w:t>
      </w:r>
      <w:r>
        <w:rPr>
          <w:rFonts w:hint="eastAsia" w:ascii="Times New Roman" w:hAnsi="Times New Roman" w:eastAsia="黑体"/>
          <w:sz w:val="24"/>
          <w:szCs w:val="24"/>
        </w:rPr>
        <w:t>个标段中标的机会（项目招标仅</w:t>
      </w:r>
      <w:r>
        <w:rPr>
          <w:rFonts w:ascii="Times New Roman" w:hAnsi="Times New Roman" w:eastAsia="黑体"/>
          <w:sz w:val="24"/>
          <w:szCs w:val="24"/>
        </w:rPr>
        <w:t>1</w:t>
      </w:r>
      <w:r>
        <w:rPr>
          <w:rFonts w:hint="eastAsia" w:ascii="Times New Roman" w:hAnsi="Times New Roman" w:eastAsia="黑体"/>
          <w:sz w:val="24"/>
          <w:szCs w:val="24"/>
        </w:rPr>
        <w:t>个标段的除外）。对投标人信用等级的认定条件为：</w:t>
      </w:r>
      <w:r>
        <w:rPr>
          <w:rFonts w:hint="eastAsia" w:ascii="Times New Roman" w:hAnsi="Times New Roman" w:eastAsia="黑体"/>
          <w:sz w:val="24"/>
          <w:szCs w:val="24"/>
          <w:u w:val="single"/>
        </w:rPr>
        <w:t>湖南省交通运输厅最新年度发布的信用等级。</w:t>
      </w:r>
    </w:p>
    <w:bookmarkEnd w:id="6"/>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sz w:val="24"/>
          <w:szCs w:val="20"/>
        </w:rPr>
        <w:t xml:space="preserve">3.4 </w:t>
      </w:r>
      <w:r>
        <w:rPr>
          <w:rFonts w:hint="eastAsia" w:ascii="Times New Roman" w:hAnsi="Times New Roman"/>
          <w:sz w:val="24"/>
          <w:szCs w:val="24"/>
        </w:rPr>
        <w:t>与招标人存在利害关系且可能影响招标公正性的单位，不得参加投标。</w:t>
      </w:r>
      <w:r>
        <w:rPr>
          <w:rFonts w:hint="eastAsia" w:ascii="Times New Roman" w:hAnsi="Times New Roman"/>
          <w:kern w:val="0"/>
          <w:sz w:val="24"/>
          <w:szCs w:val="24"/>
        </w:rPr>
        <w:t>单位负责人</w:t>
      </w:r>
      <w:r>
        <w:rPr>
          <w:rFonts w:ascii="Times New Roman" w:hAnsi="Times New Roman"/>
          <w:kern w:val="0"/>
          <w:sz w:val="24"/>
          <w:szCs w:val="24"/>
          <w:vertAlign w:val="superscript"/>
        </w:rPr>
        <w:footnoteReference w:id="3"/>
      </w:r>
      <w:r>
        <w:rPr>
          <w:rFonts w:hint="eastAsia" w:ascii="Times New Roman" w:hAnsi="Times New Roman"/>
          <w:kern w:val="0"/>
          <w:sz w:val="24"/>
          <w:szCs w:val="24"/>
        </w:rPr>
        <w:t>为同一人或者存在控股</w:t>
      </w:r>
      <w:r>
        <w:rPr>
          <w:rFonts w:ascii="Times New Roman" w:hAnsi="Times New Roman"/>
          <w:kern w:val="0"/>
          <w:sz w:val="24"/>
          <w:szCs w:val="24"/>
          <w:vertAlign w:val="superscript"/>
        </w:rPr>
        <w:footnoteReference w:id="4"/>
      </w:r>
      <w:r>
        <w:rPr>
          <w:rFonts w:hint="eastAsia" w:ascii="Times New Roman" w:hAnsi="Times New Roman"/>
          <w:kern w:val="0"/>
          <w:sz w:val="24"/>
          <w:szCs w:val="24"/>
        </w:rPr>
        <w:t>、管理</w:t>
      </w:r>
      <w:r>
        <w:rPr>
          <w:rFonts w:ascii="Times New Roman" w:hAnsi="Times New Roman"/>
          <w:kern w:val="0"/>
          <w:sz w:val="24"/>
          <w:szCs w:val="24"/>
          <w:vertAlign w:val="superscript"/>
        </w:rPr>
        <w:footnoteReference w:id="5"/>
      </w:r>
      <w:r>
        <w:rPr>
          <w:rFonts w:hint="eastAsia" w:ascii="Times New Roman" w:hAnsi="Times New Roman"/>
          <w:kern w:val="0"/>
          <w:sz w:val="24"/>
          <w:szCs w:val="24"/>
        </w:rPr>
        <w:t>关系的不同单位，不得参加同一标段投标，否则，相关投标均无效。</w:t>
      </w:r>
    </w:p>
    <w:p>
      <w:pPr>
        <w:spacing w:line="420" w:lineRule="exact"/>
        <w:ind w:firstLine="480" w:firstLineChars="200"/>
        <w:rPr>
          <w:rFonts w:ascii="Times New Roman" w:hAnsi="Times New Roman" w:eastAsia="黑体"/>
          <w:sz w:val="24"/>
          <w:szCs w:val="24"/>
        </w:rPr>
      </w:pPr>
      <w:r>
        <w:rPr>
          <w:rFonts w:ascii="Times New Roman" w:hAnsi="Times New Roman" w:eastAsia="黑体"/>
          <w:sz w:val="24"/>
          <w:szCs w:val="20"/>
        </w:rPr>
        <w:t>3.5</w:t>
      </w:r>
      <w:r>
        <w:rPr>
          <w:rFonts w:ascii="Times New Roman" w:hAnsi="Times New Roman" w:eastAsia="黑体"/>
          <w:sz w:val="24"/>
          <w:szCs w:val="24"/>
        </w:rPr>
        <w:t xml:space="preserve"> </w:t>
      </w:r>
      <w:r>
        <w:rPr>
          <w:rFonts w:hint="eastAsia" w:ascii="Times New Roman" w:hAnsi="Times New Roman" w:eastAsia="黑体"/>
          <w:sz w:val="24"/>
          <w:szCs w:val="24"/>
        </w:rPr>
        <w:t>招标人不接受被湖南省交通运输厅</w:t>
      </w:r>
      <w:r>
        <w:rPr>
          <w:rFonts w:ascii="Times New Roman" w:hAnsi="Times New Roman" w:eastAsia="黑体"/>
          <w:sz w:val="24"/>
          <w:szCs w:val="24"/>
          <w:vertAlign w:val="superscript"/>
        </w:rPr>
        <w:footnoteReference w:id="6"/>
      </w:r>
      <w:r>
        <w:rPr>
          <w:rFonts w:hint="eastAsia" w:ascii="Times New Roman" w:hAnsi="Times New Roman" w:eastAsia="黑体"/>
          <w:sz w:val="24"/>
          <w:szCs w:val="24"/>
        </w:rPr>
        <w:t>评为最近第一年度</w:t>
      </w:r>
      <w:r>
        <w:rPr>
          <w:rFonts w:ascii="Times New Roman" w:hAnsi="Times New Roman" w:eastAsia="黑体"/>
          <w:sz w:val="24"/>
          <w:szCs w:val="24"/>
        </w:rPr>
        <w:t>D</w:t>
      </w:r>
      <w:r>
        <w:rPr>
          <w:rFonts w:hint="eastAsia" w:ascii="Times New Roman" w:hAnsi="Times New Roman" w:eastAsia="黑体"/>
          <w:sz w:val="24"/>
          <w:szCs w:val="24"/>
        </w:rPr>
        <w:t>级、连续</w:t>
      </w:r>
      <w:r>
        <w:rPr>
          <w:rFonts w:hint="eastAsia" w:ascii="Times New Roman" w:hAnsi="Times New Roman" w:eastAsia="黑体"/>
          <w:sz w:val="24"/>
          <w:szCs w:val="24"/>
          <w:lang w:val="en-US" w:eastAsia="zh-CN"/>
        </w:rPr>
        <w:t>叁</w:t>
      </w:r>
      <w:r>
        <w:rPr>
          <w:rFonts w:hint="eastAsia" w:ascii="Times New Roman" w:hAnsi="Times New Roman" w:eastAsia="黑体"/>
          <w:sz w:val="24"/>
          <w:szCs w:val="24"/>
        </w:rPr>
        <w:t>年（最近</w:t>
      </w:r>
      <w:r>
        <w:rPr>
          <w:rFonts w:hint="eastAsia" w:ascii="Times New Roman" w:hAnsi="Times New Roman" w:eastAsia="黑体"/>
          <w:sz w:val="24"/>
          <w:szCs w:val="24"/>
          <w:lang w:val="en-US" w:eastAsia="zh-CN"/>
        </w:rPr>
        <w:t>第三年、</w:t>
      </w:r>
      <w:r>
        <w:rPr>
          <w:rFonts w:hint="eastAsia" w:ascii="Times New Roman" w:hAnsi="Times New Roman" w:eastAsia="黑体"/>
          <w:sz w:val="24"/>
          <w:szCs w:val="24"/>
        </w:rPr>
        <w:t>第二年和最近第一年）评为</w:t>
      </w:r>
      <w:r>
        <w:rPr>
          <w:rFonts w:ascii="Times New Roman" w:hAnsi="Times New Roman" w:eastAsia="黑体"/>
          <w:sz w:val="24"/>
          <w:szCs w:val="24"/>
        </w:rPr>
        <w:t>C</w:t>
      </w:r>
      <w:r>
        <w:rPr>
          <w:rFonts w:hint="eastAsia" w:ascii="Times New Roman" w:hAnsi="Times New Roman" w:eastAsia="黑体"/>
          <w:sz w:val="24"/>
          <w:szCs w:val="24"/>
        </w:rPr>
        <w:t>级信用等级的投标人投标。</w:t>
      </w:r>
    </w:p>
    <w:p>
      <w:pPr>
        <w:widowControl/>
        <w:spacing w:line="420" w:lineRule="atLeast"/>
        <w:ind w:firstLine="482" w:firstLineChars="200"/>
        <w:rPr>
          <w:rFonts w:ascii="Times New Roman" w:hAnsi="Times New Roman" w:eastAsia="华文新魏"/>
          <w:sz w:val="24"/>
        </w:rPr>
      </w:pPr>
      <w:r>
        <w:rPr>
          <w:rFonts w:ascii="Times New Roman" w:hAnsi="Times New Roman" w:eastAsia="黑体"/>
          <w:b/>
          <w:bCs/>
          <w:sz w:val="24"/>
          <w:szCs w:val="20"/>
        </w:rPr>
        <w:t xml:space="preserve">3.6 </w:t>
      </w:r>
      <w:r>
        <w:rPr>
          <w:rFonts w:hint="eastAsia" w:ascii="Times New Roman" w:hAnsi="Times New Roman" w:eastAsia="黑体"/>
          <w:sz w:val="24"/>
          <w:szCs w:val="20"/>
        </w:rPr>
        <w:t>招标人不接受</w:t>
      </w:r>
      <w:r>
        <w:rPr>
          <w:rFonts w:hint="eastAsia" w:ascii="Times New Roman" w:hAnsi="Times New Roman" w:eastAsia="黑体"/>
          <w:sz w:val="24"/>
        </w:rPr>
        <w:t>在全国企业信用信息公示系统（</w:t>
      </w:r>
      <w:r>
        <w:rPr>
          <w:rFonts w:ascii="Times New Roman" w:hAnsi="Times New Roman" w:eastAsia="黑体"/>
          <w:sz w:val="24"/>
        </w:rPr>
        <w:t>http://www.gsxt.gov.cn</w:t>
      </w:r>
      <w:r>
        <w:rPr>
          <w:rFonts w:hint="eastAsia" w:ascii="Times New Roman" w:hAnsi="Times New Roman" w:eastAsia="黑体"/>
          <w:sz w:val="24"/>
        </w:rPr>
        <w:t>）中被列入严重违法失信企业名单的或在</w:t>
      </w:r>
      <w:r>
        <w:rPr>
          <w:rFonts w:ascii="Times New Roman" w:hAnsi="Times New Roman" w:eastAsia="黑体"/>
          <w:sz w:val="24"/>
        </w:rPr>
        <w:t>“</w:t>
      </w:r>
      <w:r>
        <w:rPr>
          <w:rFonts w:hint="eastAsia" w:ascii="Times New Roman" w:hAnsi="Times New Roman" w:eastAsia="黑体"/>
          <w:sz w:val="24"/>
        </w:rPr>
        <w:t>信用中国</w:t>
      </w:r>
      <w:r>
        <w:rPr>
          <w:rFonts w:ascii="Times New Roman" w:hAnsi="Times New Roman" w:eastAsia="黑体"/>
          <w:sz w:val="24"/>
        </w:rPr>
        <w:t>”</w:t>
      </w:r>
      <w:r>
        <w:rPr>
          <w:rFonts w:hint="eastAsia" w:ascii="Times New Roman" w:hAnsi="Times New Roman" w:eastAsia="黑体"/>
          <w:sz w:val="24"/>
        </w:rPr>
        <w:t>网站（</w:t>
      </w:r>
      <w:r>
        <w:rPr>
          <w:rFonts w:ascii="Times New Roman" w:hAnsi="Times New Roman" w:eastAsia="黑体"/>
          <w:sz w:val="24"/>
        </w:rPr>
        <w:t>www.creditchina.gov.cn</w:t>
      </w:r>
      <w:r>
        <w:rPr>
          <w:rFonts w:hint="eastAsia" w:ascii="Times New Roman" w:hAnsi="Times New Roman" w:eastAsia="黑体"/>
          <w:sz w:val="24"/>
        </w:rPr>
        <w:t>）中被列入失信被执行人名单的投标人投标。</w:t>
      </w:r>
    </w:p>
    <w:p>
      <w:pPr>
        <w:keepNext/>
        <w:keepLines/>
        <w:spacing w:before="240" w:after="240" w:line="240" w:lineRule="atLeast"/>
        <w:outlineLvl w:val="0"/>
        <w:rPr>
          <w:rFonts w:ascii="Times New Roman" w:hAnsi="Times New Roman" w:eastAsia="黑体"/>
          <w:b/>
          <w:bCs/>
          <w:kern w:val="44"/>
          <w:sz w:val="28"/>
          <w:szCs w:val="28"/>
        </w:rPr>
      </w:pPr>
      <w:bookmarkStart w:id="8" w:name="_Toc503235718"/>
      <w:bookmarkStart w:id="9" w:name="_Toc510015652"/>
      <w:r>
        <w:rPr>
          <w:rFonts w:ascii="Times New Roman" w:hAnsi="Times New Roman" w:eastAsia="黑体"/>
          <w:b/>
          <w:bCs/>
          <w:kern w:val="44"/>
          <w:sz w:val="28"/>
          <w:szCs w:val="28"/>
        </w:rPr>
        <w:t xml:space="preserve">4. </w:t>
      </w:r>
      <w:r>
        <w:rPr>
          <w:rFonts w:hint="eastAsia" w:ascii="Times New Roman" w:hAnsi="Times New Roman" w:eastAsia="黑体"/>
          <w:b/>
          <w:bCs/>
          <w:kern w:val="44"/>
          <w:sz w:val="28"/>
          <w:szCs w:val="28"/>
        </w:rPr>
        <w:t>招标文件的获取</w:t>
      </w:r>
      <w:bookmarkEnd w:id="8"/>
      <w:bookmarkEnd w:id="9"/>
    </w:p>
    <w:p>
      <w:pPr>
        <w:tabs>
          <w:tab w:val="left" w:pos="360"/>
        </w:tabs>
        <w:spacing w:line="400" w:lineRule="atLeast"/>
        <w:ind w:firstLine="480" w:firstLineChars="200"/>
        <w:rPr>
          <w:rFonts w:ascii="Times New Roman" w:hAnsi="Times New Roman"/>
          <w:sz w:val="24"/>
          <w:szCs w:val="24"/>
        </w:rPr>
      </w:pPr>
      <w:r>
        <w:rPr>
          <w:rFonts w:ascii="Times New Roman" w:hAnsi="Times New Roman"/>
          <w:sz w:val="24"/>
          <w:szCs w:val="24"/>
        </w:rPr>
        <w:t xml:space="preserve">4.1 </w:t>
      </w:r>
      <w:r>
        <w:rPr>
          <w:rFonts w:hint="eastAsia" w:ascii="Times New Roman" w:hAnsi="Times New Roman"/>
          <w:sz w:val="24"/>
          <w:szCs w:val="24"/>
        </w:rPr>
        <w:t>凡有意参加投标者，请</w:t>
      </w:r>
      <w:bookmarkStart w:id="10" w:name="_Hlk13753773"/>
      <w:bookmarkStart w:id="11" w:name="_Hlk13753756"/>
      <w:r>
        <w:rPr>
          <w:rFonts w:hint="eastAsia" w:ascii="Times New Roman" w:hAnsi="Times New Roman"/>
          <w:sz w:val="24"/>
          <w:szCs w:val="24"/>
        </w:rPr>
        <w:t>登录湖南省公路建设市场信用信息管理系统（网址：</w:t>
      </w:r>
      <w:r>
        <w:rPr>
          <w:rFonts w:ascii="Times New Roman" w:hAnsi="Times New Roman"/>
          <w:sz w:val="24"/>
          <w:szCs w:val="24"/>
        </w:rPr>
        <w:t>http://218.76.40.80:8000/gljs</w:t>
      </w:r>
      <w:r>
        <w:rPr>
          <w:rFonts w:hint="eastAsia" w:ascii="Times New Roman" w:hAnsi="Times New Roman"/>
          <w:sz w:val="24"/>
          <w:szCs w:val="24"/>
        </w:rPr>
        <w:t>）中注册、完善、公开本单位信息（新用户注册请联系</w:t>
      </w:r>
      <w:r>
        <w:rPr>
          <w:rFonts w:hint="eastAsia" w:ascii="Times New Roman" w:hAnsi="Times New Roman"/>
          <w:sz w:val="24"/>
          <w:szCs w:val="24"/>
          <w:lang w:val="en-US" w:eastAsia="zh-CN"/>
        </w:rPr>
        <w:t>湖南省交通运输厅《关于湖南省公路建设市场信用信息管理系统（新开发）运行的通知》（厅办函〔2016〕204号）文件中的联系方式办理</w:t>
      </w:r>
      <w:r>
        <w:rPr>
          <w:rFonts w:hint="eastAsia" w:ascii="Times New Roman" w:hAnsi="Times New Roman"/>
          <w:sz w:val="24"/>
          <w:szCs w:val="24"/>
        </w:rPr>
        <w:t>），并在湖南省公共资源交易中心办理</w:t>
      </w:r>
      <w:r>
        <w:rPr>
          <w:rFonts w:ascii="Times New Roman" w:hAnsi="Times New Roman"/>
          <w:sz w:val="24"/>
          <w:szCs w:val="24"/>
        </w:rPr>
        <w:t>CA</w:t>
      </w:r>
      <w:r>
        <w:rPr>
          <w:rFonts w:hint="eastAsia" w:ascii="Times New Roman" w:hAnsi="Times New Roman"/>
          <w:sz w:val="24"/>
          <w:szCs w:val="24"/>
        </w:rPr>
        <w:t>数字证书（具体流程参见网址：</w:t>
      </w:r>
      <w:r>
        <w:rPr>
          <w:rFonts w:ascii="Times New Roman" w:hAnsi="Times New Roman"/>
          <w:sz w:val="24"/>
          <w:szCs w:val="24"/>
        </w:rPr>
        <w:t>http://www.hunca.com.cn/xmzq/ggzy/ggzyfscg/</w:t>
      </w:r>
      <w:r>
        <w:rPr>
          <w:rFonts w:hint="eastAsia" w:ascii="Times New Roman" w:hAnsi="Times New Roman"/>
          <w:sz w:val="24"/>
          <w:szCs w:val="24"/>
        </w:rPr>
        <w:t>）。</w:t>
      </w:r>
    </w:p>
    <w:p>
      <w:pPr>
        <w:widowControl/>
        <w:spacing w:line="400" w:lineRule="atLeast"/>
        <w:ind w:firstLine="480" w:firstLineChars="200"/>
        <w:rPr>
          <w:rFonts w:ascii="Times New Roman" w:hAnsi="Times New Roman" w:eastAsia="黑体"/>
          <w:sz w:val="24"/>
          <w:szCs w:val="24"/>
        </w:rPr>
      </w:pPr>
      <w:bookmarkStart w:id="12" w:name="_Hlk13753853"/>
      <w:bookmarkStart w:id="13" w:name="_Hlk2752451"/>
      <w:r>
        <w:rPr>
          <w:rFonts w:ascii="Times New Roman" w:hAnsi="Times New Roman" w:eastAsia="黑体"/>
          <w:sz w:val="24"/>
          <w:szCs w:val="24"/>
        </w:rPr>
        <w:t xml:space="preserve">4.2 </w:t>
      </w:r>
      <w:r>
        <w:rPr>
          <w:rFonts w:hint="eastAsia" w:ascii="Times New Roman" w:hAnsi="Times New Roman" w:eastAsia="黑体"/>
          <w:sz w:val="24"/>
          <w:szCs w:val="24"/>
        </w:rPr>
        <w:t>办理完成</w:t>
      </w:r>
      <w:r>
        <w:rPr>
          <w:rFonts w:ascii="Times New Roman" w:hAnsi="Times New Roman" w:eastAsia="黑体"/>
          <w:sz w:val="24"/>
          <w:szCs w:val="24"/>
        </w:rPr>
        <w:t>CA</w:t>
      </w:r>
      <w:r>
        <w:rPr>
          <w:rFonts w:hint="eastAsia" w:ascii="Times New Roman" w:hAnsi="Times New Roman" w:eastAsia="黑体"/>
          <w:sz w:val="24"/>
          <w:szCs w:val="24"/>
        </w:rPr>
        <w:t>数字认证后，请于</w:t>
      </w:r>
      <w:r>
        <w:rPr>
          <w:rFonts w:hint="eastAsia" w:ascii="Times New Roman" w:hAnsi="Times New Roman" w:eastAsia="黑体"/>
          <w:sz w:val="24"/>
          <w:szCs w:val="24"/>
          <w:lang w:val="en-US" w:eastAsia="zh-CN"/>
        </w:rPr>
        <w:t>2023年4月10日至投标文件递交截止之日前一日</w:t>
      </w:r>
      <w:r>
        <w:rPr>
          <w:rFonts w:hint="eastAsia" w:ascii="Times New Roman" w:hAnsi="Times New Roman" w:eastAsia="黑体"/>
          <w:sz w:val="24"/>
          <w:szCs w:val="24"/>
        </w:rPr>
        <w:t>（</w:t>
      </w:r>
      <w:r>
        <w:rPr>
          <w:rFonts w:hint="eastAsia" w:ascii="Times New Roman" w:hAnsi="Times New Roman" w:eastAsia="黑体"/>
          <w:sz w:val="24"/>
          <w:szCs w:val="24"/>
          <w:lang w:val="en-US" w:eastAsia="zh-CN"/>
        </w:rPr>
        <w:t>2023年5月5日下午23:59；</w:t>
      </w:r>
      <w:r>
        <w:rPr>
          <w:rFonts w:hint="eastAsia" w:ascii="Times New Roman" w:hAnsi="Times New Roman" w:eastAsia="黑体"/>
          <w:sz w:val="24"/>
          <w:szCs w:val="24"/>
        </w:rPr>
        <w:t>北京时间，下同），通过互联网使用</w:t>
      </w:r>
      <w:r>
        <w:rPr>
          <w:rFonts w:ascii="Times New Roman" w:hAnsi="Times New Roman" w:eastAsia="黑体"/>
          <w:sz w:val="24"/>
          <w:szCs w:val="24"/>
        </w:rPr>
        <w:t>CA</w:t>
      </w:r>
      <w:r>
        <w:rPr>
          <w:rFonts w:hint="eastAsia" w:ascii="Times New Roman" w:hAnsi="Times New Roman" w:eastAsia="黑体"/>
          <w:sz w:val="24"/>
          <w:szCs w:val="24"/>
        </w:rPr>
        <w:t>数字证书登录湖南省公共资源交易中心进场交易系统（以下简称：“电子交易平台”，网址：</w:t>
      </w:r>
      <w:r>
        <w:rPr>
          <w:rFonts w:ascii="Times New Roman" w:hAnsi="Times New Roman" w:eastAsia="黑体"/>
          <w:sz w:val="24"/>
          <w:szCs w:val="24"/>
        </w:rPr>
        <w:t>http://222.240.80.75/tpbidder</w:t>
      </w:r>
      <w:r>
        <w:rPr>
          <w:rFonts w:hint="eastAsia" w:ascii="Times New Roman" w:hAnsi="Times New Roman" w:eastAsia="黑体"/>
          <w:sz w:val="24"/>
          <w:szCs w:val="24"/>
        </w:rPr>
        <w:t>），进行报名后下载招标文件、图纸等相关资料，完成报名。联合体投标的，由联合体牵头人完成报名、招标文件等资料下载。</w:t>
      </w:r>
      <w:r>
        <w:rPr>
          <w:rFonts w:ascii="Times New Roman" w:hAnsi="Times New Roman" w:eastAsia="黑体"/>
          <w:sz w:val="24"/>
          <w:szCs w:val="24"/>
          <w:vertAlign w:val="superscript"/>
        </w:rPr>
        <w:footnoteReference w:id="7"/>
      </w:r>
    </w:p>
    <w:p>
      <w:pPr>
        <w:widowControl/>
        <w:spacing w:line="400" w:lineRule="atLeast"/>
        <w:ind w:firstLine="480" w:firstLineChars="200"/>
        <w:rPr>
          <w:rFonts w:ascii="Times New Roman" w:hAnsi="Times New Roman"/>
          <w:kern w:val="0"/>
          <w:sz w:val="24"/>
          <w:szCs w:val="24"/>
        </w:rPr>
      </w:pPr>
      <w:r>
        <w:rPr>
          <w:rFonts w:ascii="Times New Roman" w:hAnsi="Times New Roman" w:eastAsia="黑体"/>
          <w:sz w:val="24"/>
          <w:szCs w:val="24"/>
        </w:rPr>
        <w:t xml:space="preserve">4.3 </w:t>
      </w:r>
      <w:r>
        <w:rPr>
          <w:rFonts w:hint="eastAsia" w:ascii="Times New Roman" w:hAnsi="Times New Roman" w:eastAsia="黑体"/>
          <w:sz w:val="24"/>
          <w:szCs w:val="24"/>
        </w:rPr>
        <w:t>投标人应及时关注网上相关招标信息，如有遗漏招标人概不负责，所造成的投标失败或损失由投标人自行负责。</w:t>
      </w:r>
      <w:r>
        <w:rPr>
          <w:rFonts w:hint="eastAsia" w:ascii="Times New Roman" w:hAnsi="Times New Roman" w:eastAsia="黑体"/>
          <w:sz w:val="24"/>
          <w:szCs w:val="24"/>
          <w:lang w:val="en-US" w:eastAsia="zh-CN"/>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Fonts w:hint="eastAsia" w:ascii="Times New Roman" w:hAnsi="Times New Roman" w:eastAsia="黑体"/>
          <w:sz w:val="24"/>
          <w:szCs w:val="24"/>
        </w:rPr>
        <w:t>未按规定从湖南省公共资源交易中心进场交易系统下载招标文件的，招标人将拒收其投标。</w:t>
      </w:r>
    </w:p>
    <w:bookmarkEnd w:id="10"/>
    <w:bookmarkEnd w:id="11"/>
    <w:bookmarkEnd w:id="12"/>
    <w:bookmarkEnd w:id="13"/>
    <w:p>
      <w:pPr>
        <w:keepNext/>
        <w:keepLines/>
        <w:spacing w:before="240" w:after="240" w:line="240" w:lineRule="atLeast"/>
        <w:outlineLvl w:val="0"/>
        <w:rPr>
          <w:rFonts w:ascii="Times New Roman" w:hAnsi="Times New Roman" w:eastAsia="黑体"/>
          <w:b/>
          <w:bCs/>
          <w:kern w:val="44"/>
          <w:sz w:val="28"/>
          <w:szCs w:val="28"/>
        </w:rPr>
      </w:pPr>
      <w:bookmarkStart w:id="14" w:name="_Toc510015653"/>
      <w:bookmarkStart w:id="15" w:name="_Toc503235719"/>
      <w:r>
        <w:rPr>
          <w:rFonts w:ascii="Times New Roman" w:hAnsi="Times New Roman" w:eastAsia="黑体"/>
          <w:b/>
          <w:bCs/>
          <w:kern w:val="44"/>
          <w:sz w:val="28"/>
          <w:szCs w:val="28"/>
        </w:rPr>
        <w:t xml:space="preserve">5. </w:t>
      </w:r>
      <w:r>
        <w:rPr>
          <w:rFonts w:hint="eastAsia" w:ascii="Times New Roman" w:hAnsi="Times New Roman" w:eastAsia="黑体"/>
          <w:b/>
          <w:bCs/>
          <w:kern w:val="44"/>
          <w:sz w:val="28"/>
          <w:szCs w:val="28"/>
        </w:rPr>
        <w:t>投标文件的递交及相关事宜</w:t>
      </w:r>
      <w:bookmarkEnd w:id="14"/>
      <w:bookmarkEnd w:id="15"/>
    </w:p>
    <w:p>
      <w:pPr>
        <w:spacing w:line="400" w:lineRule="atLeast"/>
        <w:ind w:firstLine="480" w:firstLineChars="200"/>
        <w:rPr>
          <w:rFonts w:hint="eastAsia" w:ascii="Times New Roman" w:hAnsi="Times New Roman"/>
          <w:sz w:val="24"/>
          <w:szCs w:val="24"/>
        </w:rPr>
      </w:pPr>
      <w:r>
        <w:rPr>
          <w:rFonts w:hint="eastAsia" w:ascii="Times New Roman" w:hAnsi="Times New Roman"/>
          <w:sz w:val="24"/>
          <w:szCs w:val="24"/>
          <w:lang w:val="en-US" w:eastAsia="zh-CN"/>
        </w:rPr>
        <w:t xml:space="preserve">5.1 招标人不组织工程现场踏勘及投标预备会。 </w:t>
      </w:r>
    </w:p>
    <w:p>
      <w:pPr>
        <w:spacing w:line="400" w:lineRule="atLeast"/>
        <w:ind w:firstLine="480" w:firstLineChars="200"/>
        <w:rPr>
          <w:rFonts w:hint="eastAsia" w:ascii="Times New Roman" w:hAnsi="Times New Roman"/>
          <w:sz w:val="24"/>
          <w:szCs w:val="24"/>
          <w:lang w:val="en-US" w:eastAsia="zh-CN"/>
        </w:rPr>
      </w:pPr>
      <w:bookmarkStart w:id="16" w:name="_Hlk13754202"/>
      <w:r>
        <w:rPr>
          <w:rFonts w:hint="eastAsia" w:ascii="Times New Roman" w:hAnsi="Times New Roman"/>
          <w:sz w:val="24"/>
          <w:szCs w:val="24"/>
          <w:lang w:val="en-US" w:eastAsia="zh-CN"/>
        </w:rPr>
        <w:t>5.2 投标文件递交的截止时间（投标截止时间，下同）为2023年5月6日上午9：00分。</w:t>
      </w:r>
    </w:p>
    <w:p>
      <w:pPr>
        <w:spacing w:line="400" w:lineRule="atLeast"/>
        <w:ind w:firstLine="480" w:firstLineChars="200"/>
        <w:rPr>
          <w:rFonts w:hint="eastAsia" w:ascii="Times New Roman" w:hAnsi="Times New Roman"/>
          <w:sz w:val="24"/>
          <w:szCs w:val="24"/>
        </w:rPr>
      </w:pPr>
      <w:r>
        <w:rPr>
          <w:rFonts w:hint="eastAsia" w:ascii="Times New Roman" w:hAnsi="Times New Roman"/>
          <w:sz w:val="24"/>
          <w:szCs w:val="24"/>
          <w:lang w:val="en-US" w:eastAsia="zh-CN"/>
        </w:rPr>
        <w:t xml:space="preserve">投标人应当在投标截止时间前，按下列两种方式递交投标文件： </w:t>
      </w:r>
    </w:p>
    <w:bookmarkEnd w:id="16"/>
    <w:p>
      <w:pPr>
        <w:spacing w:line="400" w:lineRule="atLeast"/>
        <w:ind w:firstLine="480" w:firstLineChars="200"/>
        <w:rPr>
          <w:rFonts w:hint="eastAsia" w:ascii="Times New Roman" w:hAnsi="Times New Roman"/>
          <w:sz w:val="24"/>
          <w:szCs w:val="24"/>
          <w:lang w:val="en-US" w:eastAsia="zh-CN"/>
        </w:rPr>
      </w:pPr>
      <w:bookmarkStart w:id="17" w:name="_Hlk13754210"/>
      <w:r>
        <w:rPr>
          <w:rFonts w:hint="eastAsia" w:ascii="Times New Roman" w:hAnsi="Times New Roman"/>
          <w:sz w:val="24"/>
          <w:szCs w:val="24"/>
          <w:lang w:val="en-US" w:eastAsia="zh-CN"/>
        </w:rPr>
        <w:t xml:space="preserve">投标文件包括加密的投标文件和不加密的投标文件（U 盘或设置密码的压缩文件形式）。投标文件递交的截止时间(投标截止时间，下同)为2023年5月6日上午9：00分，投标人应当在投标截止时间前，按下列两种方式同时递交投标文件： </w:t>
      </w:r>
    </w:p>
    <w:p>
      <w:pPr>
        <w:spacing w:line="400" w:lineRule="atLeas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（一）网上递交：投标人应当在投标截止时间前，通过互联网使用 CA 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bookmarkEnd w:id="17"/>
    <w:p>
      <w:pPr>
        <w:spacing w:line="400" w:lineRule="atLeas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hint="default" w:ascii="Times New Roman" w:hAnsi="Times New Roman" w:eastAsia="宋体" w:cs="Times New Roman"/>
          <w:sz w:val="24"/>
          <w:szCs w:val="24"/>
          <w:lang w:val="en-US" w:eastAsia="zh-CN"/>
        </w:rPr>
        <w:t xml:space="preserve">U </w:t>
      </w:r>
      <w:r>
        <w:rPr>
          <w:rFonts w:hint="eastAsia" w:ascii="Times New Roman" w:hAnsi="Times New Roman" w:eastAsia="宋体" w:cs="Times New Roman"/>
          <w:sz w:val="24"/>
          <w:szCs w:val="24"/>
          <w:lang w:val="en-US" w:eastAsia="zh-CN"/>
        </w:rPr>
        <w:t xml:space="preserve">盘或设置密码的压缩文件形式）进行开标。招标人允许投标人将投标保函原件和银行查询授权书原件（如有）按照招标文件要求密封后（封套注明项目名称、招标编号、投标人名称），采用邮寄方式最晚于开标之日前一日下午 </w:t>
      </w:r>
      <w:r>
        <w:rPr>
          <w:rFonts w:hint="default" w:ascii="Times New Roman" w:hAnsi="Times New Roman" w:eastAsia="宋体" w:cs="Times New Roman"/>
          <w:sz w:val="24"/>
          <w:szCs w:val="24"/>
          <w:lang w:val="en-US" w:eastAsia="zh-CN"/>
        </w:rPr>
        <w:t xml:space="preserve">17:00 </w:t>
      </w:r>
      <w:r>
        <w:rPr>
          <w:rFonts w:hint="eastAsia" w:ascii="Times New Roman" w:hAnsi="Times New Roman" w:eastAsia="宋体" w:cs="Times New Roman"/>
          <w:sz w:val="24"/>
          <w:szCs w:val="24"/>
          <w:lang w:val="en-US" w:eastAsia="zh-CN"/>
        </w:rPr>
        <w:t>前交招标人签收（以签收时间为准），邮寄地址：湖南省岳阳市岳阳楼区建湘路古井社区综合楼三楼。（联系人：刘先生，联系电话：0730-8213568）若投标人自愿到达开标现场参加开标活动的，应当在开标当日投标截止时间之前，将不加密的投标文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投标文件第一信封（商务和技术文件）和投标文件第二信封（报价文件）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U </w:t>
      </w:r>
      <w:r>
        <w:rPr>
          <w:rFonts w:hint="eastAsia" w:ascii="Times New Roman" w:hAnsi="Times New Roman" w:eastAsia="宋体" w:cs="Times New Roman"/>
          <w:sz w:val="24"/>
          <w:szCs w:val="24"/>
          <w:lang w:val="en-US" w:eastAsia="zh-CN"/>
        </w:rPr>
        <w:t xml:space="preserve">盘备份）及投标保函原件和银行查询授权书原件（如有）按照招标文件要求密封后，递交至湖南省长沙市雨花区万家丽南路二段 </w:t>
      </w:r>
      <w:r>
        <w:rPr>
          <w:rFonts w:hint="default" w:ascii="Times New Roman" w:hAnsi="Times New Roman" w:eastAsia="宋体" w:cs="Times New Roman"/>
          <w:sz w:val="24"/>
          <w:szCs w:val="24"/>
          <w:lang w:val="en-US" w:eastAsia="zh-CN"/>
        </w:rPr>
        <w:t xml:space="preserve">29 </w:t>
      </w:r>
      <w:r>
        <w:rPr>
          <w:rFonts w:hint="eastAsia" w:ascii="Times New Roman" w:hAnsi="Times New Roman" w:eastAsia="宋体" w:cs="Times New Roman"/>
          <w:sz w:val="24"/>
          <w:szCs w:val="24"/>
          <w:lang w:val="en-US" w:eastAsia="zh-CN"/>
        </w:rPr>
        <w:t xml:space="preserve">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w:t>
      </w:r>
      <w:r>
        <w:rPr>
          <w:rFonts w:hint="default" w:ascii="Times New Roman" w:hAnsi="Times New Roman" w:eastAsia="宋体" w:cs="Times New Roman"/>
          <w:sz w:val="24"/>
          <w:szCs w:val="24"/>
          <w:lang w:val="en-US" w:eastAsia="zh-CN"/>
        </w:rPr>
        <w:t xml:space="preserve">CA </w:t>
      </w:r>
      <w:r>
        <w:rPr>
          <w:rFonts w:hint="eastAsia" w:ascii="Times New Roman" w:hAnsi="Times New Roman" w:eastAsia="宋体" w:cs="Times New Roman"/>
          <w:sz w:val="24"/>
          <w:szCs w:val="24"/>
          <w:lang w:val="en-US" w:eastAsia="zh-CN"/>
        </w:rPr>
        <w:t xml:space="preserve">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 </w:t>
      </w:r>
    </w:p>
    <w:p>
      <w:pPr>
        <w:spacing w:line="400" w:lineRule="atLeast"/>
        <w:ind w:firstLine="480" w:firstLineChars="200"/>
        <w:rPr>
          <w:rFonts w:ascii="Times New Roman" w:hAnsi="Times New Roman" w:eastAsia="黑体"/>
          <w:sz w:val="24"/>
          <w:szCs w:val="20"/>
        </w:rPr>
      </w:pPr>
      <w:r>
        <w:rPr>
          <w:rFonts w:ascii="Times New Roman" w:hAnsi="Times New Roman" w:eastAsia="黑体"/>
          <w:sz w:val="24"/>
          <w:szCs w:val="24"/>
        </w:rPr>
        <w:t xml:space="preserve">5.3 </w:t>
      </w:r>
      <w:r>
        <w:rPr>
          <w:rFonts w:hint="eastAsia" w:ascii="Times New Roman" w:hAnsi="Times New Roman" w:eastAsia="黑体"/>
          <w:sz w:val="24"/>
          <w:szCs w:val="20"/>
        </w:rPr>
        <w:t>投标保证金的递交：</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投标保证金的金额：</w:t>
      </w:r>
      <w:r>
        <w:rPr>
          <w:rFonts w:hint="eastAsia" w:ascii="Times New Roman" w:hAnsi="Times New Roman" w:eastAsia="黑体"/>
          <w:sz w:val="24"/>
          <w:szCs w:val="20"/>
          <w:u w:val="single"/>
          <w:lang w:val="en-US" w:eastAsia="zh-CN"/>
        </w:rPr>
        <w:t xml:space="preserve"> </w:t>
      </w:r>
      <w:r>
        <w:rPr>
          <w:rFonts w:hint="eastAsia" w:ascii="Times New Roman" w:hAnsi="Times New Roman" w:eastAsia="黑体"/>
          <w:sz w:val="24"/>
          <w:szCs w:val="20"/>
          <w:u w:val="single"/>
        </w:rPr>
        <w:t>SGJL01</w:t>
      </w:r>
      <w:r>
        <w:rPr>
          <w:rFonts w:ascii="Times New Roman" w:hAnsi="Times New Roman" w:eastAsia="黑体"/>
          <w:sz w:val="24"/>
          <w:szCs w:val="20"/>
          <w:u w:val="single"/>
        </w:rPr>
        <w:t xml:space="preserve"> </w:t>
      </w:r>
      <w:r>
        <w:rPr>
          <w:rFonts w:hint="eastAsia" w:ascii="Times New Roman" w:hAnsi="Times New Roman" w:eastAsia="黑体"/>
          <w:sz w:val="24"/>
          <w:szCs w:val="20"/>
        </w:rPr>
        <w:t>标段</w:t>
      </w:r>
      <w:r>
        <w:rPr>
          <w:rFonts w:ascii="Times New Roman" w:hAnsi="Times New Roman" w:eastAsia="黑体"/>
          <w:sz w:val="24"/>
          <w:szCs w:val="20"/>
          <w:u w:val="single"/>
        </w:rPr>
        <w:t xml:space="preserve"> </w:t>
      </w:r>
      <w:r>
        <w:rPr>
          <w:rFonts w:hint="eastAsia" w:ascii="Times New Roman" w:hAnsi="Times New Roman" w:eastAsia="黑体"/>
          <w:sz w:val="24"/>
          <w:szCs w:val="20"/>
          <w:u w:val="single"/>
          <w:lang w:val="en-US" w:eastAsia="zh-CN"/>
        </w:rPr>
        <w:t>3.5</w:t>
      </w:r>
      <w:r>
        <w:rPr>
          <w:rFonts w:ascii="Times New Roman" w:hAnsi="Times New Roman" w:eastAsia="黑体"/>
          <w:sz w:val="24"/>
          <w:szCs w:val="20"/>
          <w:u w:val="single"/>
        </w:rPr>
        <w:t xml:space="preserve"> </w:t>
      </w:r>
      <w:r>
        <w:rPr>
          <w:rFonts w:hint="eastAsia" w:ascii="Times New Roman" w:hAnsi="Times New Roman" w:eastAsia="黑体"/>
          <w:sz w:val="24"/>
          <w:szCs w:val="20"/>
        </w:rPr>
        <w:t>万元</w:t>
      </w:r>
    </w:p>
    <w:p>
      <w:pPr>
        <w:autoSpaceDE w:val="0"/>
        <w:autoSpaceDN w:val="0"/>
        <w:adjustRightInd w:val="0"/>
        <w:spacing w:line="400" w:lineRule="exact"/>
        <w:ind w:firstLine="480"/>
        <w:rPr>
          <w:rFonts w:ascii="Times New Roman" w:hAnsi="Times New Roman" w:eastAsia="黑体"/>
          <w:sz w:val="24"/>
          <w:szCs w:val="20"/>
        </w:rPr>
      </w:pPr>
      <w:r>
        <w:rPr>
          <w:rFonts w:ascii="Times New Roman" w:hAnsi="Times New Roman" w:eastAsia="黑体"/>
          <w:sz w:val="24"/>
          <w:szCs w:val="20"/>
          <w:lang w:val="en-US" w:eastAsia="zh-CN"/>
        </w:rPr>
        <w:t>（</w:t>
      </w:r>
      <w:r>
        <w:rPr>
          <w:rFonts w:hint="default" w:ascii="Times New Roman" w:hAnsi="Times New Roman" w:eastAsia="黑体"/>
          <w:sz w:val="24"/>
          <w:szCs w:val="20"/>
          <w:lang w:val="en-US" w:eastAsia="zh-CN"/>
        </w:rPr>
        <w:t>1</w:t>
      </w:r>
      <w:r>
        <w:rPr>
          <w:rFonts w:hint="eastAsia" w:ascii="Times New Roman" w:hAnsi="Times New Roman" w:eastAsia="黑体"/>
          <w:sz w:val="24"/>
          <w:szCs w:val="20"/>
          <w:lang w:val="en-US" w:eastAsia="zh-CN"/>
        </w:rPr>
        <w:t>）投标人采用现金或者支票形式提交的投标保证金应当从其基本账户转出，投标人应在投标截止时间前以转账、电汇、网银方式从投标人基本账户一次性划款到以下指定投标保证金专用账号上（以到账时间为准）。</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招标标段：</w:t>
      </w:r>
      <w:r>
        <w:rPr>
          <w:rFonts w:hint="eastAsia" w:ascii="Times New Roman" w:hAnsi="Times New Roman" w:eastAsia="黑体"/>
          <w:sz w:val="24"/>
          <w:szCs w:val="20"/>
          <w:lang w:val="en-US" w:eastAsia="zh-CN"/>
        </w:rPr>
        <w:t xml:space="preserve">SGJL01 </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户</w:t>
      </w:r>
      <w:r>
        <w:rPr>
          <w:rFonts w:ascii="Times New Roman" w:hAnsi="Times New Roman" w:eastAsia="黑体"/>
          <w:sz w:val="24"/>
          <w:szCs w:val="20"/>
        </w:rPr>
        <w:t xml:space="preserve">    </w:t>
      </w:r>
      <w:r>
        <w:rPr>
          <w:rFonts w:hint="eastAsia" w:ascii="Times New Roman" w:hAnsi="Times New Roman" w:eastAsia="黑体"/>
          <w:sz w:val="24"/>
          <w:szCs w:val="20"/>
        </w:rPr>
        <w:t>名：</w:t>
      </w:r>
      <w:r>
        <w:rPr>
          <w:rFonts w:ascii="Times New Roman" w:hAnsi="Times New Roman" w:eastAsia="黑体"/>
          <w:sz w:val="24"/>
          <w:szCs w:val="20"/>
          <w:lang w:val="en-US" w:eastAsia="zh-CN"/>
        </w:rPr>
        <w:t xml:space="preserve">湖南省公共资源交易中心 </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开户银行：</w:t>
      </w:r>
      <w:r>
        <w:rPr>
          <w:rFonts w:hint="eastAsia" w:ascii="Times New Roman" w:hAnsi="Times New Roman" w:eastAsia="黑体"/>
          <w:sz w:val="24"/>
          <w:szCs w:val="20"/>
          <w:lang w:val="en-US" w:eastAsia="zh-CN"/>
        </w:rPr>
        <w:t>长沙银行湘府路支行</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账</w:t>
      </w:r>
      <w:r>
        <w:rPr>
          <w:rFonts w:ascii="Times New Roman" w:hAnsi="Times New Roman" w:eastAsia="黑体"/>
          <w:sz w:val="24"/>
          <w:szCs w:val="20"/>
        </w:rPr>
        <w:t xml:space="preserve">    </w:t>
      </w:r>
      <w:r>
        <w:rPr>
          <w:rFonts w:hint="eastAsia" w:ascii="Times New Roman" w:hAnsi="Times New Roman" w:eastAsia="黑体"/>
          <w:sz w:val="24"/>
          <w:szCs w:val="20"/>
        </w:rPr>
        <w:t>号：</w:t>
      </w:r>
      <w:r>
        <w:rPr>
          <w:rFonts w:hint="eastAsia" w:ascii="Times New Roman" w:hAnsi="Times New Roman" w:eastAsia="黑体"/>
          <w:sz w:val="24"/>
          <w:szCs w:val="20"/>
          <w:lang w:val="en-US" w:eastAsia="zh-CN"/>
        </w:rPr>
        <w:t>607062276</w:t>
      </w:r>
    </w:p>
    <w:p>
      <w:pPr>
        <w:autoSpaceDE w:val="0"/>
        <w:autoSpaceDN w:val="0"/>
        <w:adjustRightInd w:val="0"/>
        <w:spacing w:line="400" w:lineRule="exact"/>
        <w:ind w:firstLine="480"/>
        <w:rPr>
          <w:rFonts w:ascii="Times New Roman" w:hAnsi="Times New Roman" w:eastAsia="黑体"/>
          <w:sz w:val="24"/>
          <w:szCs w:val="20"/>
        </w:rPr>
      </w:pPr>
      <w:r>
        <w:rPr>
          <w:rFonts w:hint="eastAsia" w:ascii="Times New Roman" w:hAnsi="Times New Roman" w:eastAsia="黑体"/>
          <w:sz w:val="24"/>
          <w:szCs w:val="20"/>
        </w:rPr>
        <w:t>（</w:t>
      </w:r>
      <w:r>
        <w:rPr>
          <w:rFonts w:ascii="Times New Roman" w:hAnsi="Times New Roman" w:eastAsia="黑体"/>
          <w:sz w:val="24"/>
          <w:szCs w:val="20"/>
        </w:rPr>
        <w:t>2</w:t>
      </w:r>
      <w:r>
        <w:rPr>
          <w:rFonts w:hint="eastAsia" w:ascii="Times New Roman" w:hAnsi="Times New Roman" w:eastAsia="黑体"/>
          <w:sz w:val="24"/>
          <w:szCs w:val="20"/>
        </w:rPr>
        <w:t>）采用银行保函时，应由投标人开立基本账户的银行出具（联合体投标的，由牵头人开立基本账户的银行出具）保函，与银行查询授权书原件一并在投标截止时间前交招标人。</w:t>
      </w:r>
    </w:p>
    <w:p>
      <w:pPr>
        <w:keepNext/>
        <w:keepLines/>
        <w:spacing w:before="240" w:after="240" w:line="240" w:lineRule="atLeast"/>
        <w:outlineLvl w:val="0"/>
        <w:rPr>
          <w:rFonts w:ascii="Times New Roman" w:hAnsi="Times New Roman" w:eastAsia="黑体"/>
          <w:b/>
          <w:bCs/>
          <w:kern w:val="44"/>
          <w:sz w:val="28"/>
          <w:szCs w:val="28"/>
        </w:rPr>
      </w:pPr>
      <w:bookmarkStart w:id="18" w:name="_Toc517377022"/>
      <w:r>
        <w:rPr>
          <w:rFonts w:ascii="Times New Roman" w:hAnsi="Times New Roman" w:eastAsia="黑体"/>
          <w:b/>
          <w:bCs/>
          <w:kern w:val="44"/>
          <w:sz w:val="28"/>
          <w:szCs w:val="28"/>
        </w:rPr>
        <w:t>6</w:t>
      </w:r>
      <w:r>
        <w:rPr>
          <w:rFonts w:hint="eastAsia" w:ascii="Times New Roman" w:hAnsi="Times New Roman" w:eastAsia="黑体"/>
          <w:b/>
          <w:bCs/>
          <w:kern w:val="44"/>
          <w:sz w:val="28"/>
          <w:szCs w:val="28"/>
        </w:rPr>
        <w:t>．评标办法</w:t>
      </w:r>
      <w:bookmarkEnd w:id="18"/>
    </w:p>
    <w:p>
      <w:pPr>
        <w:topLinePunct/>
        <w:spacing w:line="400" w:lineRule="atLeast"/>
        <w:ind w:firstLine="360" w:firstLineChars="150"/>
        <w:rPr>
          <w:rFonts w:ascii="Times New Roman" w:hAnsi="Times New Roman" w:eastAsia="黑体"/>
          <w:sz w:val="24"/>
          <w:szCs w:val="20"/>
        </w:rPr>
      </w:pPr>
      <w:r>
        <w:rPr>
          <w:rFonts w:hint="eastAsia" w:ascii="Times New Roman" w:hAnsi="Times New Roman" w:eastAsia="黑体"/>
          <w:sz w:val="24"/>
          <w:szCs w:val="20"/>
        </w:rPr>
        <w:t>本项目评标办法采用综合评估法。</w:t>
      </w:r>
    </w:p>
    <w:p>
      <w:pPr>
        <w:keepNext/>
        <w:keepLines/>
        <w:spacing w:before="240" w:after="240" w:line="240" w:lineRule="atLeast"/>
        <w:outlineLvl w:val="0"/>
        <w:rPr>
          <w:rFonts w:ascii="Times New Roman" w:hAnsi="Times New Roman" w:eastAsia="黑体"/>
          <w:b/>
          <w:bCs/>
          <w:kern w:val="44"/>
          <w:sz w:val="28"/>
          <w:szCs w:val="28"/>
        </w:rPr>
      </w:pPr>
      <w:bookmarkStart w:id="19" w:name="_Toc510015654"/>
      <w:bookmarkStart w:id="20" w:name="_Toc503235720"/>
      <w:r>
        <w:rPr>
          <w:rFonts w:ascii="Times New Roman" w:hAnsi="Times New Roman" w:eastAsia="黑体"/>
          <w:b/>
          <w:bCs/>
          <w:kern w:val="44"/>
          <w:sz w:val="28"/>
          <w:szCs w:val="28"/>
        </w:rPr>
        <w:t xml:space="preserve">7. </w:t>
      </w:r>
      <w:r>
        <w:rPr>
          <w:rFonts w:hint="eastAsia" w:ascii="Times New Roman" w:hAnsi="Times New Roman" w:eastAsia="黑体"/>
          <w:b/>
          <w:bCs/>
          <w:kern w:val="44"/>
          <w:sz w:val="28"/>
          <w:szCs w:val="28"/>
        </w:rPr>
        <w:t>发布公告的媒介</w:t>
      </w:r>
      <w:bookmarkEnd w:id="19"/>
      <w:bookmarkEnd w:id="20"/>
    </w:p>
    <w:p>
      <w:pPr>
        <w:topLinePunct/>
        <w:spacing w:line="400" w:lineRule="atLeast"/>
        <w:ind w:firstLine="480" w:firstLineChars="200"/>
        <w:rPr>
          <w:rFonts w:hint="eastAsia" w:ascii="Times New Roman" w:hAnsi="Times New Roman" w:eastAsia="黑体"/>
          <w:sz w:val="24"/>
          <w:szCs w:val="24"/>
        </w:rPr>
      </w:pPr>
      <w:bookmarkStart w:id="21" w:name="_Hlk2752506"/>
      <w:r>
        <w:rPr>
          <w:rFonts w:hint="eastAsia" w:ascii="Times New Roman" w:hAnsi="Times New Roman" w:eastAsia="黑体"/>
          <w:sz w:val="24"/>
          <w:szCs w:val="24"/>
        </w:rPr>
        <w:t>本次招标公告同时在湖南省招标投标监管网：</w:t>
      </w:r>
      <w:r>
        <w:rPr>
          <w:rFonts w:ascii="宋体" w:hAnsi="Times New Roman"/>
          <w:sz w:val="24"/>
          <w:szCs w:val="20"/>
        </w:rPr>
        <w:fldChar w:fldCharType="begin"/>
      </w:r>
      <w:r>
        <w:rPr>
          <w:rFonts w:ascii="宋体" w:hAnsi="Times New Roman"/>
          <w:sz w:val="24"/>
          <w:szCs w:val="20"/>
        </w:rPr>
        <w:instrText xml:space="preserve"> HYPERLINK "http://www.bidding.hunan.gov.cn/" </w:instrText>
      </w:r>
      <w:r>
        <w:rPr>
          <w:rFonts w:ascii="宋体" w:hAnsi="Times New Roman"/>
          <w:sz w:val="24"/>
          <w:szCs w:val="20"/>
        </w:rPr>
        <w:fldChar w:fldCharType="separate"/>
      </w:r>
      <w:r>
        <w:rPr>
          <w:rFonts w:ascii="宋体" w:hAnsi="Times New Roman"/>
          <w:color w:val="0000FF"/>
          <w:sz w:val="24"/>
          <w:szCs w:val="20"/>
          <w:u w:val="single"/>
        </w:rPr>
        <w:t>http://www.bidding.hunan.gov.cn/</w:t>
      </w:r>
      <w:r>
        <w:rPr>
          <w:rFonts w:ascii="宋体" w:hAnsi="Times New Roman"/>
          <w:sz w:val="24"/>
          <w:szCs w:val="20"/>
        </w:rPr>
        <w:fldChar w:fldCharType="end"/>
      </w:r>
      <w:r>
        <w:rPr>
          <w:rFonts w:hint="eastAsia" w:ascii="Times New Roman" w:hAnsi="Times New Roman" w:eastAsia="黑体"/>
          <w:sz w:val="24"/>
          <w:szCs w:val="24"/>
        </w:rPr>
        <w:t>，</w:t>
      </w:r>
      <w:r>
        <w:rPr>
          <w:rFonts w:hint="eastAsia" w:ascii="Times New Roman" w:hAnsi="Times New Roman" w:eastAsia="黑体"/>
          <w:sz w:val="24"/>
          <w:szCs w:val="24"/>
          <w:lang w:val="en-US" w:eastAsia="zh-CN"/>
        </w:rPr>
        <w:t>湖南省交通运输厅网（http://jtt.hunan.gov.cn/），</w:t>
      </w:r>
    </w:p>
    <w:p>
      <w:pPr>
        <w:topLinePunct/>
        <w:spacing w:line="400" w:lineRule="atLeast"/>
        <w:ind w:firstLine="480" w:firstLineChars="200"/>
        <w:rPr>
          <w:rFonts w:ascii="Times New Roman" w:hAnsi="Times New Roman" w:eastAsia="黑体"/>
          <w:sz w:val="24"/>
          <w:szCs w:val="24"/>
        </w:rPr>
      </w:pPr>
      <w:r>
        <w:rPr>
          <w:rFonts w:hint="eastAsia" w:ascii="Times New Roman" w:hAnsi="Times New Roman" w:eastAsia="黑体" w:cs="Times New Roman"/>
          <w:sz w:val="24"/>
          <w:szCs w:val="24"/>
          <w:lang w:val="en-US" w:eastAsia="zh-CN"/>
        </w:rPr>
        <w:t>湖南省公共资源交易中心</w:t>
      </w:r>
      <w:r>
        <w:rPr>
          <w:rFonts w:ascii="Times New Roman" w:hAnsi="Times New Roman"/>
          <w:sz w:val="24"/>
          <w:szCs w:val="20"/>
          <w:vertAlign w:val="superscript"/>
        </w:rPr>
        <w:footnoteReference w:id="8"/>
      </w:r>
      <w:r>
        <w:rPr>
          <w:rFonts w:hint="eastAsia" w:ascii="Times New Roman" w:hAnsi="Times New Roman" w:eastAsia="黑体"/>
          <w:sz w:val="24"/>
          <w:szCs w:val="24"/>
        </w:rPr>
        <w:t>上发布。</w:t>
      </w:r>
      <w:bookmarkEnd w:id="21"/>
    </w:p>
    <w:p>
      <w:pPr>
        <w:keepNext/>
        <w:keepLines/>
        <w:spacing w:before="240" w:after="240" w:line="240" w:lineRule="atLeast"/>
        <w:outlineLvl w:val="0"/>
        <w:rPr>
          <w:rFonts w:ascii="Times New Roman" w:hAnsi="Times New Roman" w:eastAsia="黑体"/>
          <w:b/>
          <w:bCs/>
          <w:kern w:val="44"/>
          <w:sz w:val="28"/>
          <w:szCs w:val="28"/>
        </w:rPr>
      </w:pPr>
      <w:bookmarkStart w:id="22" w:name="_Toc516774588"/>
      <w:r>
        <w:rPr>
          <w:rFonts w:ascii="Times New Roman" w:hAnsi="Times New Roman" w:eastAsia="黑体"/>
          <w:b/>
          <w:bCs/>
          <w:kern w:val="44"/>
          <w:sz w:val="28"/>
          <w:szCs w:val="28"/>
        </w:rPr>
        <w:t xml:space="preserve">8. </w:t>
      </w:r>
      <w:r>
        <w:rPr>
          <w:rFonts w:hint="eastAsia" w:ascii="Times New Roman" w:hAnsi="Times New Roman" w:eastAsia="黑体"/>
          <w:b/>
          <w:bCs/>
          <w:kern w:val="44"/>
          <w:sz w:val="28"/>
          <w:szCs w:val="28"/>
        </w:rPr>
        <w:t>附件</w:t>
      </w:r>
      <w:bookmarkEnd w:id="22"/>
    </w:p>
    <w:p>
      <w:pPr>
        <w:topLinePunct/>
        <w:spacing w:line="400" w:lineRule="atLeast"/>
        <w:ind w:firstLine="480" w:firstLineChars="200"/>
        <w:rPr>
          <w:rFonts w:ascii="Times New Roman" w:hAnsi="Times New Roman" w:eastAsia="黑体"/>
          <w:sz w:val="24"/>
          <w:szCs w:val="24"/>
        </w:rPr>
      </w:pPr>
      <w:r>
        <w:rPr>
          <w:rFonts w:hint="eastAsia" w:ascii="Times New Roman" w:hAnsi="Times New Roman" w:eastAsia="黑体"/>
          <w:sz w:val="24"/>
          <w:szCs w:val="24"/>
        </w:rPr>
        <w:t>附件</w:t>
      </w:r>
      <w:r>
        <w:rPr>
          <w:rFonts w:ascii="Times New Roman" w:hAnsi="Times New Roman" w:eastAsia="黑体"/>
          <w:sz w:val="24"/>
          <w:szCs w:val="24"/>
        </w:rPr>
        <w:t>1</w:t>
      </w:r>
      <w:r>
        <w:rPr>
          <w:rFonts w:hint="eastAsia" w:ascii="Times New Roman" w:hAnsi="Times New Roman" w:eastAsia="黑体"/>
          <w:sz w:val="24"/>
          <w:szCs w:val="24"/>
        </w:rPr>
        <w:t>：资格审查条件要求（详见第二章</w:t>
      </w:r>
      <w:r>
        <w:rPr>
          <w:rFonts w:ascii="Times New Roman" w:hAnsi="Times New Roman" w:eastAsia="黑体"/>
          <w:sz w:val="24"/>
          <w:szCs w:val="24"/>
        </w:rPr>
        <w:t xml:space="preserve"> </w:t>
      </w:r>
      <w:r>
        <w:rPr>
          <w:rFonts w:hint="eastAsia" w:ascii="Times New Roman" w:hAnsi="Times New Roman" w:eastAsia="黑体"/>
          <w:sz w:val="24"/>
          <w:szCs w:val="24"/>
        </w:rPr>
        <w:t>投标人须知之附录）</w:t>
      </w:r>
    </w:p>
    <w:p>
      <w:pPr>
        <w:topLinePunct/>
        <w:spacing w:line="400" w:lineRule="atLeast"/>
        <w:ind w:firstLine="480" w:firstLineChars="200"/>
        <w:rPr>
          <w:rFonts w:ascii="Times New Roman" w:hAnsi="Times New Roman" w:eastAsia="黑体"/>
          <w:sz w:val="24"/>
          <w:szCs w:val="24"/>
        </w:rPr>
      </w:pPr>
      <w:r>
        <w:rPr>
          <w:rFonts w:hint="eastAsia" w:ascii="Times New Roman" w:hAnsi="Times New Roman" w:eastAsia="黑体"/>
          <w:sz w:val="24"/>
          <w:szCs w:val="24"/>
        </w:rPr>
        <w:t>附件</w:t>
      </w:r>
      <w:r>
        <w:rPr>
          <w:rFonts w:ascii="Times New Roman" w:hAnsi="Times New Roman" w:eastAsia="黑体"/>
          <w:sz w:val="24"/>
          <w:szCs w:val="24"/>
        </w:rPr>
        <w:t>2</w:t>
      </w:r>
      <w:r>
        <w:rPr>
          <w:rFonts w:hint="eastAsia" w:ascii="Times New Roman" w:hAnsi="Times New Roman" w:eastAsia="黑体"/>
          <w:sz w:val="24"/>
          <w:szCs w:val="24"/>
        </w:rPr>
        <w:t>：评标办法</w:t>
      </w:r>
      <w:r>
        <w:rPr>
          <w:rFonts w:ascii="Times New Roman" w:hAnsi="Times New Roman" w:eastAsia="黑体"/>
          <w:sz w:val="24"/>
          <w:szCs w:val="24"/>
        </w:rPr>
        <w:t>(</w:t>
      </w:r>
      <w:r>
        <w:rPr>
          <w:rFonts w:hint="eastAsia" w:ascii="Times New Roman" w:hAnsi="Times New Roman" w:eastAsia="黑体"/>
          <w:sz w:val="24"/>
          <w:szCs w:val="24"/>
        </w:rPr>
        <w:t>详见第三章</w:t>
      </w:r>
      <w:r>
        <w:rPr>
          <w:rFonts w:ascii="Times New Roman" w:hAnsi="Times New Roman" w:eastAsia="黑体"/>
          <w:sz w:val="24"/>
          <w:szCs w:val="24"/>
        </w:rPr>
        <w:t xml:space="preserve"> </w:t>
      </w:r>
      <w:r>
        <w:rPr>
          <w:rFonts w:hint="eastAsia" w:ascii="Times New Roman" w:hAnsi="Times New Roman" w:eastAsia="黑体"/>
          <w:sz w:val="24"/>
          <w:szCs w:val="24"/>
        </w:rPr>
        <w:t>评标办法</w:t>
      </w:r>
      <w:r>
        <w:rPr>
          <w:rFonts w:ascii="Times New Roman" w:hAnsi="Times New Roman" w:eastAsia="黑体"/>
          <w:sz w:val="24"/>
          <w:szCs w:val="24"/>
        </w:rPr>
        <w:t>)</w:t>
      </w:r>
    </w:p>
    <w:p>
      <w:pPr>
        <w:topLinePunct/>
        <w:spacing w:line="400" w:lineRule="atLeast"/>
        <w:ind w:firstLine="480" w:firstLineChars="200"/>
        <w:rPr>
          <w:rFonts w:ascii="Times New Roman" w:hAnsi="Times New Roman" w:eastAsia="黑体"/>
          <w:sz w:val="24"/>
          <w:szCs w:val="24"/>
        </w:rPr>
      </w:pPr>
      <w:r>
        <w:rPr>
          <w:rFonts w:hint="eastAsia" w:ascii="Times New Roman" w:hAnsi="Times New Roman" w:eastAsia="黑体"/>
          <w:sz w:val="24"/>
          <w:szCs w:val="24"/>
        </w:rPr>
        <w:t>附件</w:t>
      </w:r>
      <w:r>
        <w:rPr>
          <w:rFonts w:ascii="Times New Roman" w:hAnsi="Times New Roman" w:eastAsia="黑体"/>
          <w:sz w:val="24"/>
          <w:szCs w:val="24"/>
        </w:rPr>
        <w:t>3</w:t>
      </w:r>
      <w:r>
        <w:rPr>
          <w:rFonts w:hint="eastAsia" w:ascii="Times New Roman" w:hAnsi="Times New Roman" w:eastAsia="黑体"/>
          <w:sz w:val="24"/>
          <w:szCs w:val="24"/>
        </w:rPr>
        <w:t>：项目概况</w:t>
      </w:r>
    </w:p>
    <w:p>
      <w:pPr>
        <w:keepNext/>
        <w:keepLines/>
        <w:spacing w:before="240" w:after="240" w:line="240" w:lineRule="atLeast"/>
        <w:outlineLvl w:val="0"/>
        <w:rPr>
          <w:rFonts w:ascii="Times New Roman" w:hAnsi="Times New Roman" w:eastAsia="黑体"/>
          <w:b/>
          <w:bCs/>
          <w:kern w:val="44"/>
          <w:sz w:val="28"/>
          <w:szCs w:val="28"/>
        </w:rPr>
      </w:pPr>
      <w:bookmarkStart w:id="23" w:name="_Toc510015655"/>
      <w:bookmarkStart w:id="24" w:name="_Toc503235721"/>
      <w:r>
        <w:rPr>
          <w:rFonts w:ascii="Times New Roman" w:hAnsi="Times New Roman" w:eastAsia="黑体"/>
          <w:b/>
          <w:bCs/>
          <w:kern w:val="44"/>
          <w:sz w:val="28"/>
          <w:szCs w:val="28"/>
        </w:rPr>
        <w:t xml:space="preserve">9. </w:t>
      </w:r>
      <w:r>
        <w:rPr>
          <w:rFonts w:hint="eastAsia" w:ascii="Times New Roman" w:hAnsi="Times New Roman" w:eastAsia="黑体"/>
          <w:b/>
          <w:bCs/>
          <w:kern w:val="44"/>
          <w:sz w:val="28"/>
          <w:szCs w:val="28"/>
        </w:rPr>
        <w:t>联系方式</w:t>
      </w:r>
      <w:bookmarkEnd w:id="23"/>
      <w:bookmarkEnd w:id="24"/>
    </w:p>
    <w:p>
      <w:pPr>
        <w:topLinePunct/>
        <w:spacing w:line="400" w:lineRule="atLeast"/>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 xml:space="preserve">委 托 人：湘阴县交通建设投资有限公司 </w:t>
      </w:r>
    </w:p>
    <w:p>
      <w:pPr>
        <w:topLinePunct/>
        <w:spacing w:line="400" w:lineRule="atLeast"/>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 xml:space="preserve">地 址：湘阴县文星镇江东路县交通局办公楼 </w:t>
      </w:r>
    </w:p>
    <w:p>
      <w:pPr>
        <w:topLinePunct/>
        <w:spacing w:line="400" w:lineRule="atLeast"/>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 xml:space="preserve">联 系 人：杨先生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电 话：18692119818</w:t>
      </w:r>
    </w:p>
    <w:p>
      <w:pPr>
        <w:topLinePunct/>
        <w:spacing w:line="400" w:lineRule="atLeast"/>
        <w:ind w:firstLine="480" w:firstLineChars="200"/>
        <w:jc w:val="left"/>
        <w:rPr>
          <w:rFonts w:hint="eastAsia" w:ascii="Times New Roman" w:hAnsi="Times New Roman"/>
          <w:sz w:val="24"/>
          <w:szCs w:val="24"/>
          <w:lang w:val="en-US" w:eastAsia="zh-CN"/>
        </w:rPr>
      </w:pP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招标代理：湖南省湘咨工程咨询管理有限责任公司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地 址：长沙市芙蓉区东二环一段 1139 号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联 系 人：项目负责人：陈红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电 话：0730-8213568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邮箱：941568775@qq.com </w:t>
      </w:r>
    </w:p>
    <w:p>
      <w:pPr>
        <w:topLinePunct/>
        <w:spacing w:line="400" w:lineRule="atLeast"/>
        <w:jc w:val="left"/>
        <w:rPr>
          <w:rFonts w:hint="eastAsia" w:ascii="Times New Roman" w:hAnsi="Times New Roman"/>
          <w:sz w:val="24"/>
          <w:szCs w:val="24"/>
          <w:lang w:val="en-US" w:eastAsia="zh-CN"/>
        </w:rPr>
      </w:pP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监督部门：湖南省交通运输厅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地址：长沙市湘府西路 199 号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电话：0731-88770097（基本建设处）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传真：0731-88770094（基本建设处） </w:t>
      </w:r>
    </w:p>
    <w:p>
      <w:pPr>
        <w:topLinePunct/>
        <w:spacing w:line="400" w:lineRule="atLeast"/>
        <w:ind w:firstLine="480" w:firstLineChars="20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邮编：410004 </w:t>
      </w:r>
    </w:p>
    <w:p>
      <w:pPr>
        <w:topLinePunct/>
        <w:spacing w:line="400" w:lineRule="atLeast"/>
        <w:ind w:firstLine="480" w:firstLineChars="200"/>
        <w:jc w:val="right"/>
      </w:pPr>
      <w:r>
        <w:rPr>
          <w:rFonts w:hint="eastAsia" w:ascii="Times New Roman" w:hAnsi="Times New Roman"/>
          <w:sz w:val="24"/>
          <w:szCs w:val="24"/>
        </w:rPr>
        <w:t>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2023</w:t>
      </w:r>
      <w:r>
        <w:rPr>
          <w:rFonts w:ascii="Times New Roman" w:hAnsi="Times New Roman"/>
          <w:sz w:val="24"/>
          <w:szCs w:val="24"/>
          <w:u w:val="single"/>
        </w:rPr>
        <w:t xml:space="preserve"> </w:t>
      </w:r>
      <w:r>
        <w:rPr>
          <w:rFonts w:hint="eastAsia"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4</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6</w:t>
      </w:r>
      <w:r>
        <w:rPr>
          <w:rFonts w:ascii="Times New Roman" w:hAnsi="Times New Roman"/>
          <w:sz w:val="24"/>
          <w:szCs w:val="24"/>
          <w:u w:val="single"/>
        </w:rPr>
        <w:t xml:space="preserve"> </w:t>
      </w:r>
      <w:r>
        <w:rPr>
          <w:rFonts w:hint="eastAsia" w:ascii="Times New Roman" w:hAnsi="Times New Roman"/>
          <w:sz w:val="24"/>
          <w:szCs w:val="24"/>
        </w:rPr>
        <w:t>日</w:t>
      </w:r>
      <w:r>
        <w:rPr>
          <w:rFonts w:ascii="Times New Roman" w:hAnsi="Times New Roman"/>
          <w:sz w:val="24"/>
          <w:szCs w:val="24"/>
        </w:rPr>
        <w:t xml:space="preserve">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5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pPr>
      <w:r>
        <w:separator/>
      </w:r>
    </w:p>
  </w:footnote>
  <w:footnote w:type="continuationSeparator" w:id="19">
    <w:p>
      <w:pPr>
        <w:spacing w:line="240" w:lineRule="auto"/>
      </w:pPr>
      <w:r>
        <w:continuationSeparator/>
      </w:r>
    </w:p>
  </w:footnote>
  <w:footnote w:id="0">
    <w:p>
      <w:pPr>
        <w:pStyle w:val="2"/>
        <w:spacing w:line="320" w:lineRule="atLeast"/>
        <w:ind w:left="180" w:hanging="180" w:hangingChars="100"/>
        <w:jc w:val="both"/>
        <w:rPr>
          <w:szCs w:val="18"/>
        </w:rPr>
      </w:pPr>
      <w:r>
        <w:rPr>
          <w:rStyle w:val="5"/>
        </w:rPr>
        <w:footnoteRef/>
      </w:r>
      <w:r>
        <w:t xml:space="preserve"> </w:t>
      </w:r>
      <w:r>
        <w:rPr>
          <w:rFonts w:hint="eastAsia"/>
          <w:szCs w:val="18"/>
        </w:rPr>
        <w:t>招标人应自招标文件开始发售之日起，将招标文件的关键内容上传至</w:t>
      </w:r>
      <w:r>
        <w:rPr>
          <w:rFonts w:hint="eastAsia"/>
          <w:szCs w:val="18"/>
          <w:lang w:eastAsia="zh-CN"/>
        </w:rPr>
        <w:t>对该项目</w:t>
      </w:r>
      <w:r>
        <w:rPr>
          <w:rFonts w:hint="eastAsia"/>
          <w:szCs w:val="18"/>
        </w:rPr>
        <w:t>具有招标监督职责的交通运输主管部门政府网站</w:t>
      </w:r>
      <w:bookmarkStart w:id="25" w:name="_Hlk11941570"/>
      <w:r>
        <w:rPr>
          <w:rFonts w:hint="eastAsia" w:ascii="黑体" w:hAnsi="黑体" w:eastAsia="黑体" w:cs="黑体"/>
        </w:rPr>
        <w:t>、湖南省招标投标监管网、省或市州公共资源交易网</w:t>
      </w:r>
      <w:bookmarkEnd w:id="25"/>
      <w:r>
        <w:rPr>
          <w:rFonts w:hint="eastAsia"/>
          <w:szCs w:val="18"/>
        </w:rPr>
        <w:t>或其指定的其他网站上进行公开，公开内容包括项目概况、对投标人的全部资格条件要求、评标办法全文、招标人联系方式等。</w:t>
      </w:r>
    </w:p>
  </w:footnote>
  <w:footnote w:id="1">
    <w:p>
      <w:pPr>
        <w:rPr>
          <w:szCs w:val="18"/>
        </w:rPr>
      </w:pPr>
      <w:r>
        <w:rPr>
          <w:rStyle w:val="5"/>
          <w:bCs/>
          <w:kern w:val="0"/>
          <w:szCs w:val="20"/>
        </w:rPr>
        <w:footnoteRef/>
      </w:r>
      <w:r>
        <w:rPr>
          <w:szCs w:val="18"/>
        </w:rPr>
        <w:t xml:space="preserve"> </w:t>
      </w:r>
      <w:r>
        <w:rPr>
          <w:rFonts w:hint="eastAsia"/>
          <w:kern w:val="0"/>
          <w:sz w:val="18"/>
          <w:szCs w:val="18"/>
        </w:rPr>
        <w:t>本段规定仅适用于</w:t>
      </w:r>
      <w:bookmarkStart w:id="26" w:name="_Toc411777490"/>
      <w:bookmarkStart w:id="27" w:name="_Toc315861048"/>
      <w:r>
        <w:rPr>
          <w:rFonts w:hint="eastAsia"/>
          <w:kern w:val="0"/>
          <w:sz w:val="18"/>
          <w:szCs w:val="18"/>
        </w:rPr>
        <w:t>根据《关于发布公路工程从业企业资质名录的通知》</w:t>
      </w:r>
      <w:bookmarkEnd w:id="26"/>
      <w:bookmarkEnd w:id="27"/>
      <w:r>
        <w:rPr>
          <w:rFonts w:hint="eastAsia"/>
          <w:kern w:val="0"/>
          <w:sz w:val="18"/>
          <w:szCs w:val="18"/>
        </w:rPr>
        <w:t>（厅公路字〔</w:t>
      </w:r>
      <w:r>
        <w:rPr>
          <w:kern w:val="0"/>
          <w:sz w:val="18"/>
          <w:szCs w:val="18"/>
        </w:rPr>
        <w:t>2011</w:t>
      </w:r>
      <w:r>
        <w:rPr>
          <w:rFonts w:hint="eastAsia"/>
          <w:kern w:val="0"/>
          <w:sz w:val="18"/>
          <w:szCs w:val="18"/>
        </w:rPr>
        <w:t>〕</w:t>
      </w:r>
      <w:r>
        <w:rPr>
          <w:kern w:val="0"/>
          <w:sz w:val="18"/>
          <w:szCs w:val="18"/>
        </w:rPr>
        <w:t>114</w:t>
      </w:r>
      <w:r>
        <w:rPr>
          <w:rFonts w:hint="eastAsia"/>
          <w:kern w:val="0"/>
          <w:sz w:val="18"/>
          <w:szCs w:val="18"/>
        </w:rPr>
        <w:t>号）要求，招标人应通过名录对投标人资质条件进行审核的公路施工监理企业。</w:t>
      </w:r>
    </w:p>
  </w:footnote>
  <w:footnote w:id="2">
    <w:p>
      <w:pPr>
        <w:pStyle w:val="2"/>
        <w:spacing w:line="240" w:lineRule="auto"/>
        <w:ind w:firstLine="0"/>
      </w:pPr>
      <w:r>
        <w:rPr>
          <w:rStyle w:val="5"/>
        </w:rPr>
        <w:footnoteRef/>
      </w:r>
      <w:r>
        <w:rPr>
          <w:rFonts w:hint="eastAsia" w:ascii="黑体" w:hAnsi="黑体" w:eastAsia="黑体"/>
        </w:rPr>
        <w:t>若规定每个投标人只允许中一个标，则同一个投标人在本项目不同标段投标文件中提供的</w:t>
      </w:r>
      <w:r>
        <w:rPr>
          <w:rFonts w:hint="eastAsia" w:ascii="黑体" w:hAnsi="黑体" w:eastAsia="黑体"/>
          <w:lang w:eastAsia="zh-CN"/>
        </w:rPr>
        <w:t>总监理工程师或驻地监理工程师</w:t>
      </w:r>
      <w:r>
        <w:rPr>
          <w:rFonts w:hint="eastAsia" w:ascii="黑体" w:hAnsi="黑体" w:eastAsia="黑体"/>
        </w:rPr>
        <w:t>人在满足资格要求的基础上可以重复（或相同）。</w:t>
      </w:r>
    </w:p>
  </w:footnote>
  <w:footnote w:id="3">
    <w:p>
      <w:pPr>
        <w:pStyle w:val="2"/>
        <w:spacing w:line="240" w:lineRule="auto"/>
        <w:ind w:firstLine="0"/>
        <w:rPr>
          <w:rFonts w:ascii="黑体" w:hAnsi="黑体" w:eastAsia="黑体" w:cs="黑体"/>
        </w:rPr>
      </w:pPr>
      <w:r>
        <w:rPr>
          <w:rStyle w:val="5"/>
          <w:rFonts w:ascii="华文新魏" w:hAnsi="黑体" w:eastAsia="华文新魏" w:cs="黑体"/>
        </w:rPr>
        <w:footnoteRef/>
      </w:r>
      <w:r>
        <w:rPr>
          <w:rFonts w:hint="eastAsia" w:ascii="华文新魏" w:hAnsi="黑体" w:eastAsia="华文新魏" w:cs="黑体"/>
        </w:rPr>
        <w:t xml:space="preserve"> </w:t>
      </w:r>
      <w:r>
        <w:rPr>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4">
    <w:p>
      <w:pPr>
        <w:pStyle w:val="2"/>
        <w:spacing w:line="240" w:lineRule="auto"/>
        <w:ind w:firstLine="0"/>
        <w:rPr>
          <w:rFonts w:hint="eastAsia" w:ascii="黑体" w:hAnsi="黑体" w:eastAsia="黑体" w:cs="黑体"/>
        </w:rPr>
      </w:pPr>
      <w:r>
        <w:rPr>
          <w:rStyle w:val="5"/>
          <w:rFonts w:ascii="黑体" w:hAnsi="黑体" w:eastAsia="黑体" w:cs="黑体"/>
        </w:rPr>
        <w:footnoteRef/>
      </w:r>
      <w:r>
        <w:rPr>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5">
    <w:p>
      <w:pPr>
        <w:pStyle w:val="2"/>
        <w:spacing w:line="240" w:lineRule="auto"/>
        <w:ind w:firstLine="0"/>
        <w:rPr>
          <w:rFonts w:hint="eastAsia" w:ascii="华文新魏" w:hAnsi="黑体" w:eastAsia="华文新魏" w:cs="黑体"/>
        </w:rPr>
      </w:pPr>
      <w:r>
        <w:rPr>
          <w:rStyle w:val="5"/>
          <w:rFonts w:ascii="黑体" w:hAnsi="黑体" w:eastAsia="黑体" w:cs="黑体"/>
        </w:rPr>
        <w:footnoteRef/>
      </w:r>
      <w:r>
        <w:rPr>
          <w:rFonts w:hint="eastAsia" w:ascii="黑体" w:hAnsi="黑体" w:eastAsia="黑体" w:cs="黑体"/>
        </w:rPr>
        <w:t xml:space="preserve"> 管理，是指不具有出资持股关系的其他单位之间存在的管理与被管理关系。（招标文件中所列“管理”均作本条解释）。</w:t>
      </w:r>
    </w:p>
  </w:footnote>
  <w:footnote w:id="6">
    <w:p>
      <w:pPr>
        <w:pStyle w:val="2"/>
        <w:spacing w:line="240" w:lineRule="auto"/>
        <w:ind w:firstLine="0"/>
        <w:rPr>
          <w:rFonts w:hint="eastAsia" w:ascii="华文新魏" w:eastAsia="华文新魏"/>
        </w:rPr>
      </w:pPr>
      <w:r>
        <w:rPr>
          <w:rStyle w:val="5"/>
          <w:rFonts w:ascii="华文新魏" w:eastAsia="华文新魏"/>
        </w:rPr>
        <w:footnoteRef/>
      </w:r>
      <w:r>
        <w:rPr>
          <w:rFonts w:hint="eastAsia" w:ascii="华文新魏" w:eastAsia="华文新魏"/>
        </w:rPr>
        <w:t xml:space="preserve"> </w:t>
      </w:r>
      <w:r>
        <w:rPr>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7">
    <w:p>
      <w:pPr>
        <w:pStyle w:val="2"/>
        <w:spacing w:line="320" w:lineRule="atLeast"/>
        <w:ind w:left="180" w:hanging="180" w:hangingChars="100"/>
        <w:jc w:val="both"/>
        <w:rPr>
          <w:rFonts w:hint="eastAsia"/>
          <w:kern w:val="2"/>
          <w:szCs w:val="18"/>
          <w:lang w:eastAsia="zh-CN"/>
        </w:rPr>
      </w:pPr>
      <w:r>
        <w:rPr>
          <w:rStyle w:val="5"/>
        </w:rPr>
        <w:footnoteRef/>
      </w:r>
      <w:r>
        <w:rPr>
          <w:rFonts w:hint="eastAsia" w:ascii="黑体" w:hAnsi="黑体" w:eastAsia="黑体"/>
          <w:lang w:eastAsia="zh-CN"/>
        </w:rPr>
        <w:t>本款适用于在有关公共资源交易网下载/获取招标文件的项目。</w:t>
      </w:r>
    </w:p>
  </w:footnote>
  <w:footnote w:id="8">
    <w:p>
      <w:pPr>
        <w:pStyle w:val="2"/>
        <w:ind w:firstLine="0"/>
      </w:pPr>
      <w:r>
        <w:rPr>
          <w:rStyle w:val="5"/>
        </w:rPr>
        <w:footnoteRef/>
      </w:r>
      <w:r>
        <w:rPr>
          <w:rFonts w:hint="eastAsia"/>
        </w:rPr>
        <w:t>招标人可根据国家或湖南省以及招标项目所在地有关部门要求，增加其他刊登公告的媒介。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jc w:val="right"/>
      <w:rPr>
        <w:rFonts w:ascii="黑体" w:hAnsi="黑体" w:eastAsia="黑体" w:cs="黑体"/>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725805</wp:posOffset>
              </wp:positionV>
              <wp:extent cx="5580380" cy="6350"/>
              <wp:effectExtent l="0" t="0" r="0" b="0"/>
              <wp:wrapNone/>
              <wp:docPr id="8" name="任意多边形 8"/>
              <wp:cNvGraphicFramePr/>
              <a:graphic xmlns:a="http://schemas.openxmlformats.org/drawingml/2006/main">
                <a:graphicData uri="http://schemas.microsoft.com/office/word/2010/wordprocessingShape">
                  <wps:wsp>
                    <wps:cNvSpPr/>
                    <wps:spPr>
                      <a:xfrm>
                        <a:off x="0" y="0"/>
                        <a:ext cx="5580380" cy="6350"/>
                      </a:xfrm>
                      <a:custGeom>
                        <a:avLst/>
                        <a:gdLst/>
                        <a:ahLst/>
                        <a:cxnLst/>
                        <a:pathLst>
                          <a:path w="8787" h="10">
                            <a:moveTo>
                              <a:pt x="0" y="9"/>
                            </a:moveTo>
                            <a:lnTo>
                              <a:pt x="8787" y="9"/>
                            </a:lnTo>
                            <a:lnTo>
                              <a:pt x="8787"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7.15pt;height:0.5pt;width:439.4pt;mso-position-horizontal-relative:page;mso-position-vertical-relative:page;z-index:251659264;mso-width-relative:page;mso-height-relative:page;" fillcolor="#000000" filled="t" stroked="f" coordsize="8787,10" o:allowincell="f" o:gfxdata="UEsDBAoAAAAAAIdO4kAAAAAAAAAAAAAAAAAEAAAAZHJzL1BLAwQUAAAACACHTuJAIijVP9oAAAAM&#10;AQAADwAAAGRycy9kb3ducmV2LnhtbE2PMU/DMBCFdyT+g3VILBW1Q9rQhjgdkNoNJAoDoxMfSVT7&#10;HMVOG/j1OBPd7t09vftesZusYWccfOdIQrIUwJBqpztqJHx+7B82wHxQpJVxhBJ+0MOuvL0pVK7d&#10;hd7xfAwNiyHkcyWhDaHPOfd1i1b5peuR4u3bDVaFKIeG60FdYrg1/FGIjFvVUfzQqh5fWqxPx9FK&#10;EPQ7basF378uVuYr254O+DYepLy/S8QzsIBT+DfDjB/RoYxMlRtJe2aiXm8ieohDskqBzQ6RPmXA&#10;qnm1ToGXBb8uUf4BUEsDBBQAAAAIAIdO4kCi48uhFAIAAHkEAAAOAAAAZHJzL2Uyb0RvYy54bWyt&#10;VLFu2zAQ3Qv0HwjuteQETlzDcoYa6VK0AZJ+AE1RFgGSR5C0Ze/du3cs+hNF0H5NUvQzcqRM23GX&#10;DNUgHnmnd/feHTW92mhF1sJ5Caaiw0FJiTAcammWFf18d/1mTIkPzNRMgREV3QpPr2avX007OxFn&#10;0IKqhSMIYvyksxVtQ7CTovC8FZr5AVhh0NmA0yzg1i2L2rEO0bUqzsryoujA1dYBF97j6bx30h2i&#10;ewkgNI3kYg58pYUJPaoTigWk5FtpPZ2laptG8PCpabwIRFUUmYb0xiRoL+K7mE3ZZOmYbSXflcBe&#10;UsIJJ82kwaR7qDkLjKyc/AdKS+7AQxMGHHTRE0mKIItheaLNbcusSFxQam/3ovv/B8s/rm8ckXVF&#10;se2GaWz4w/39ny9fH398+/v75+Ov72QcReqsn2Dsrb1xu51HMzLeNE7HFbmQTRJ2uxdWbALheDga&#10;jcvzMWrO0XdxPkq6F4dv+cqH9wISDlt/8KFvS50t1maLb0w2LQvxOOaOJumQw+X4kpIWx7pM3dCw&#10;FneQIsKhuLeREGY/eJU5jupRsNIcmN15tQlsH5bZZHde+zBknQXBnNmX1+OY03RcgRd9qZFgqnlP&#10;GrGOVfOgZH0tlYpkvVsu3ilH1ixOfXp2lJ+FKRODDcTP+jTxpIit7psbrQXUW5yQlXVy2eL1GSak&#10;6MGJTCXtbk8c+eN9Qjr8MWZ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ijVP9oAAAAMAQAADwAA&#10;AAAAAAABACAAAAAiAAAAZHJzL2Rvd25yZXYueG1sUEsBAhQAFAAAAAgAh07iQKLjy6EUAgAAeQQA&#10;AA4AAAAAAAAAAQAgAAAAKQEAAGRycy9lMm9Eb2MueG1sUEsFBgAAAAAGAAYAWQEAAK8FAAAAAA==&#10;" path="m0,9l8787,9,8787,0,0,0,0,9xe">
              <v:fill on="t" focussize="0,0"/>
              <v:stroke on="f"/>
              <v:imagedata o:title=""/>
              <o:lock v:ext="edit" aspectratio="f"/>
            </v:shape>
          </w:pict>
        </mc:Fallback>
      </mc:AlternateContent>
    </w:r>
    <w:r>
      <w:rPr>
        <w:rFonts w:ascii="黑体" w:hAnsi="黑体" w:eastAsia="黑体" w:cs="黑体"/>
        <w:spacing w:val="17"/>
        <w:sz w:val="20"/>
        <w:szCs w:val="20"/>
      </w:rPr>
      <w:t>湖</w:t>
    </w:r>
    <w:r>
      <w:rPr>
        <w:rFonts w:ascii="黑体" w:hAnsi="黑体" w:eastAsia="黑体" w:cs="黑体"/>
        <w:spacing w:val="10"/>
        <w:sz w:val="20"/>
        <w:szCs w:val="20"/>
      </w:rPr>
      <w:t>南省公路工程标准施工监理招标文件 (2019 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I0YmI1N2FjMzM3NmZlYmEyMDJjNWIzMWZmNjQifQ=="/>
  </w:docVars>
  <w:rsids>
    <w:rsidRoot w:val="5447235D"/>
    <w:rsid w:val="02184C17"/>
    <w:rsid w:val="093D4BE3"/>
    <w:rsid w:val="14EB4C02"/>
    <w:rsid w:val="15EF5777"/>
    <w:rsid w:val="1E852820"/>
    <w:rsid w:val="28447CD2"/>
    <w:rsid w:val="32B6193E"/>
    <w:rsid w:val="353510AA"/>
    <w:rsid w:val="35520AF6"/>
    <w:rsid w:val="35F56E8F"/>
    <w:rsid w:val="384B6F8F"/>
    <w:rsid w:val="44966436"/>
    <w:rsid w:val="47F36CDA"/>
    <w:rsid w:val="5447235D"/>
    <w:rsid w:val="596A3B88"/>
    <w:rsid w:val="634C4E45"/>
    <w:rsid w:val="744753A1"/>
    <w:rsid w:val="7CCD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styleId="5">
    <w:name w:val="footnote reference"/>
    <w:semiHidden/>
    <w:unhideWhenUsed/>
    <w:qFormat/>
    <w:uiPriority w:val="0"/>
    <w:rPr>
      <w:vertAlign w:val="superscript"/>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4122</Words>
  <Characters>4656</Characters>
  <Lines>0</Lines>
  <Paragraphs>0</Paragraphs>
  <TotalTime>20</TotalTime>
  <ScaleCrop>false</ScaleCrop>
  <LinksUpToDate>false</LinksUpToDate>
  <CharactersWithSpaces>4910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2023-03-15T07:45:00Z</dcterms:created>
  <dc:creator>WPS_1618366937</dc:creator>
  <cp:lastModifiedBy>WPS_1618366937</cp:lastModifiedBy>
  <dcterms:modified xsi:type="dcterms:W3CDTF">2023-04-10T06:54:37Z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4D85FCE08593471D895D82D423FAC779</vt:lpwstr>
  </property>
</Properties>
</file>