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keepLines/>
        <w:spacing w:before="240" w:after="240" w:line="240" w:lineRule="atLeast"/>
        <w:jc w:val="center"/>
        <w:outlineLvl w:val="0"/>
        <w:rPr>
          <w:rStyle w:val="3"/>
          <w:rFonts w:ascii="宋体" w:hAnsi="宋体" w:eastAsia="宋体" w:cs="宋体"/>
          <w:b/>
          <w:bCs/>
          <w:color w:val="000000"/>
          <w:kern w:val="44"/>
          <w:sz w:val="28"/>
          <w:szCs w:val="28"/>
          <w:lang w:val="zh-CN"/>
        </w:rPr>
      </w:pPr>
      <w:bookmarkStart w:id="0" w:name="_Toc256000012"/>
      <w:bookmarkStart w:id="1" w:name="_Toc3478"/>
      <w:bookmarkStart w:id="2" w:name="_Toc256000037"/>
      <w:r>
        <w:rPr>
          <w:rStyle w:val="3"/>
          <w:rFonts w:hint="eastAsia" w:ascii="宋体" w:hAnsi="宋体" w:eastAsia="宋体" w:cs="宋体"/>
          <w:b/>
          <w:bCs/>
          <w:color w:val="000000"/>
          <w:kern w:val="44"/>
          <w:sz w:val="28"/>
          <w:szCs w:val="28"/>
          <w:lang w:val="zh-CN"/>
        </w:rPr>
        <w:t>附件3 项目概况</w:t>
      </w:r>
      <w:bookmarkEnd w:id="0"/>
      <w:bookmarkEnd w:id="1"/>
      <w:bookmarkEnd w:id="2"/>
    </w:p>
    <w:p>
      <w:pPr>
        <w:pStyle w:val="4"/>
        <w:spacing w:line="360" w:lineRule="auto"/>
        <w:outlineLvl w:val="1"/>
        <w:rPr>
          <w:rStyle w:val="3"/>
          <w:rFonts w:ascii="宋体" w:hAnsi="宋体" w:eastAsia="宋体" w:cs="宋体"/>
          <w:b/>
          <w:bCs/>
          <w:color w:val="000000"/>
          <w:szCs w:val="24"/>
        </w:rPr>
      </w:pPr>
      <w:bookmarkStart w:id="3" w:name="_Toc256000013"/>
      <w:bookmarkStart w:id="4" w:name="_Toc29574"/>
      <w:bookmarkStart w:id="5" w:name="_Toc256000038"/>
      <w:r>
        <w:rPr>
          <w:rStyle w:val="3"/>
          <w:rFonts w:hint="eastAsia" w:ascii="宋体" w:hAnsi="宋体" w:eastAsia="宋体" w:cs="宋体"/>
          <w:b/>
          <w:bCs/>
          <w:color w:val="000000"/>
          <w:szCs w:val="24"/>
        </w:rPr>
        <w:t>1.项目背景</w:t>
      </w:r>
      <w:bookmarkEnd w:id="3"/>
      <w:bookmarkEnd w:id="4"/>
      <w:bookmarkEnd w:id="5"/>
    </w:p>
    <w:p>
      <w:pPr>
        <w:pStyle w:val="4"/>
        <w:adjustRightInd w:val="0"/>
        <w:snapToGrid w:val="0"/>
        <w:spacing w:line="360" w:lineRule="auto"/>
        <w:ind w:firstLine="420" w:firstLineChars="200"/>
        <w:jc w:val="left"/>
        <w:textAlignment w:val="baseline"/>
        <w:rPr>
          <w:rStyle w:val="3"/>
          <w:rFonts w:hint="eastAsia" w:ascii="宋体" w:hAnsi="宋体" w:eastAsia="宋体" w:cs="宋体"/>
          <w:bCs/>
          <w:color w:val="000000"/>
          <w:szCs w:val="21"/>
        </w:rPr>
      </w:pPr>
      <w:r>
        <w:rPr>
          <w:rStyle w:val="3"/>
          <w:rFonts w:hint="eastAsia" w:ascii="宋体" w:hAnsi="宋体" w:eastAsia="宋体" w:cs="宋体"/>
          <w:bCs/>
          <w:color w:val="000000"/>
          <w:szCs w:val="21"/>
        </w:rPr>
        <w:t>衡永高速公路是《湖南省高速公路网规划》（修编）中的一条加密线，直连衡阳、永州两市市区，路线走廊总体呈东西走向，东起岳临高速（蒸湘区境内），西至二广高速，横跨蒸湘区、衡南县、祁东县、祁阳县、冷水滩区。衡阳至永州公路是湖南省高速公路网的重要组成，所处区域属于湘南示范区和湖南省“3+5”城市群外围城市圈交叠区域，区位条件优越。</w:t>
      </w:r>
    </w:p>
    <w:p>
      <w:pPr>
        <w:pStyle w:val="4"/>
        <w:adjustRightInd w:val="0"/>
        <w:snapToGrid w:val="0"/>
        <w:spacing w:line="360" w:lineRule="auto"/>
        <w:ind w:firstLine="420" w:firstLineChars="200"/>
        <w:jc w:val="left"/>
        <w:textAlignment w:val="baseline"/>
        <w:rPr>
          <w:rStyle w:val="3"/>
          <w:rFonts w:hint="eastAsia" w:ascii="宋体" w:hAnsi="宋体" w:eastAsia="宋体" w:cs="宋体"/>
          <w:bCs/>
          <w:color w:val="000000"/>
          <w:szCs w:val="21"/>
        </w:rPr>
      </w:pPr>
      <w:r>
        <w:rPr>
          <w:rStyle w:val="3"/>
          <w:rFonts w:hint="eastAsia" w:ascii="宋体" w:hAnsi="宋体" w:eastAsia="宋体" w:cs="宋体"/>
          <w:bCs/>
          <w:color w:val="000000"/>
          <w:szCs w:val="21"/>
        </w:rPr>
        <w:t>永零高速公路，根据《湖南省高速公路网（修编）规划》，是湖南省高速公路网中衡阳至永州另一个重要的交通快速通道组成部分，也是邵阳与广西桂林之间联系的便捷通道，同时也是永州市西环线，兼顾联络永州市新零陵机场的快速干线功能。</w:t>
      </w:r>
    </w:p>
    <w:p>
      <w:pPr>
        <w:pStyle w:val="4"/>
        <w:spacing w:line="440" w:lineRule="exact"/>
        <w:rPr>
          <w:rStyle w:val="3"/>
          <w:rFonts w:ascii="Times New Roman" w:hAnsi="Times New Roman" w:eastAsia="宋体" w:cs="Times New Roman"/>
          <w:color w:val="000000"/>
          <w:szCs w:val="24"/>
        </w:rPr>
      </w:pPr>
      <w:r>
        <w:rPr>
          <w:rStyle w:val="3"/>
          <w:rFonts w:hint="eastAsia" w:ascii="宋体" w:hAnsi="宋体" w:eastAsia="宋体" w:cs="宋体"/>
          <w:b/>
          <w:bCs/>
          <w:color w:val="000000"/>
          <w:szCs w:val="24"/>
        </w:rPr>
        <w:t>2.招标项目位置示意图</w:t>
      </w:r>
    </w:p>
    <w:p>
      <w:pPr>
        <w:pStyle w:val="4"/>
        <w:spacing w:after="120"/>
        <w:rPr>
          <w:rStyle w:val="3"/>
          <w:rFonts w:hint="eastAsia" w:ascii="Times New Roman" w:hAnsi="Times New Roman" w:eastAsia="宋体" w:cs="Times New Roman"/>
          <w:color w:val="000000"/>
          <w:szCs w:val="24"/>
        </w:rPr>
      </w:pPr>
      <w:bookmarkStart w:id="9" w:name="_GoBack"/>
      <w:r>
        <w:rPr>
          <w:rFonts w:hint="eastAsia" w:ascii="宋体" w:hAnsi="宋体" w:cs="宋体"/>
          <w:color w:val="000000"/>
          <w:szCs w:val="24"/>
          <w:lang w:val="zh-CN"/>
        </w:rPr>
        <w:drawing>
          <wp:anchor distT="0" distB="0" distL="114300" distR="114300" simplePos="0" relativeHeight="251659264" behindDoc="0" locked="0" layoutInCell="1" allowOverlap="1">
            <wp:simplePos x="0" y="0"/>
            <wp:positionH relativeFrom="column">
              <wp:posOffset>50800</wp:posOffset>
            </wp:positionH>
            <wp:positionV relativeFrom="paragraph">
              <wp:posOffset>104140</wp:posOffset>
            </wp:positionV>
            <wp:extent cx="4762500" cy="4926330"/>
            <wp:effectExtent l="0" t="0" r="0" b="7620"/>
            <wp:wrapSquare wrapText="bothSides"/>
            <wp:docPr id="1" name="图片 4" descr="地理位置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地理位置 拷贝"/>
                    <pic:cNvPicPr>
                      <a:picLocks noChangeAspect="1"/>
                    </pic:cNvPicPr>
                  </pic:nvPicPr>
                  <pic:blipFill>
                    <a:blip r:embed="rId4"/>
                    <a:stretch>
                      <a:fillRect/>
                    </a:stretch>
                  </pic:blipFill>
                  <pic:spPr>
                    <a:xfrm>
                      <a:off x="0" y="0"/>
                      <a:ext cx="4762500" cy="4926330"/>
                    </a:xfrm>
                    <a:prstGeom prst="rect">
                      <a:avLst/>
                    </a:prstGeom>
                    <a:noFill/>
                    <a:ln>
                      <a:noFill/>
                    </a:ln>
                  </pic:spPr>
                </pic:pic>
              </a:graphicData>
            </a:graphic>
          </wp:anchor>
        </w:drawing>
      </w:r>
      <w:bookmarkEnd w:id="9"/>
      <w:r>
        <w:rPr>
          <w:rStyle w:val="3"/>
          <w:rFonts w:hint="eastAsia" w:ascii="Times New Roman" w:hAnsi="Times New Roman" w:eastAsia="宋体" w:cs="Times New Roman"/>
          <w:color w:val="000000"/>
          <w:szCs w:val="24"/>
        </w:rPr>
        <w:t xml:space="preserve">   </w:t>
      </w:r>
    </w:p>
    <w:p>
      <w:pPr>
        <w:pStyle w:val="4"/>
        <w:spacing w:after="120"/>
        <w:rPr>
          <w:rStyle w:val="3"/>
          <w:rFonts w:hint="eastAsia" w:ascii="Times New Roman" w:hAnsi="Times New Roman" w:eastAsia="宋体" w:cs="Times New Roman"/>
          <w:color w:val="000000"/>
          <w:szCs w:val="24"/>
        </w:rPr>
      </w:pPr>
    </w:p>
    <w:p>
      <w:pPr>
        <w:pStyle w:val="4"/>
        <w:spacing w:after="120"/>
        <w:rPr>
          <w:rStyle w:val="3"/>
          <w:rFonts w:ascii="Times New Roman" w:hAnsi="Times New Roman" w:eastAsia="宋体" w:cs="Times New Roman"/>
          <w:color w:val="000000"/>
          <w:szCs w:val="24"/>
        </w:rPr>
      </w:pPr>
    </w:p>
    <w:p>
      <w:pPr>
        <w:pStyle w:val="4"/>
        <w:spacing w:after="120"/>
        <w:rPr>
          <w:rStyle w:val="3"/>
          <w:rFonts w:ascii="Times New Roman" w:hAnsi="Times New Roman" w:eastAsia="宋体" w:cs="Times New Roman"/>
          <w:color w:val="000000"/>
          <w:szCs w:val="24"/>
        </w:rPr>
      </w:pPr>
    </w:p>
    <w:p>
      <w:pPr>
        <w:pStyle w:val="4"/>
        <w:spacing w:after="120"/>
        <w:rPr>
          <w:rStyle w:val="3"/>
          <w:rFonts w:ascii="Times New Roman" w:hAnsi="Times New Roman" w:eastAsia="宋体" w:cs="Times New Roman"/>
          <w:color w:val="000000"/>
          <w:szCs w:val="24"/>
        </w:rPr>
      </w:pPr>
    </w:p>
    <w:p>
      <w:pPr>
        <w:pStyle w:val="4"/>
        <w:spacing w:after="120"/>
        <w:rPr>
          <w:rStyle w:val="3"/>
          <w:rFonts w:ascii="Times New Roman" w:hAnsi="Times New Roman" w:eastAsia="宋体" w:cs="Times New Roman"/>
          <w:color w:val="000000"/>
          <w:szCs w:val="24"/>
        </w:rPr>
      </w:pPr>
    </w:p>
    <w:p>
      <w:pPr>
        <w:pStyle w:val="4"/>
        <w:spacing w:after="120"/>
        <w:rPr>
          <w:rStyle w:val="3"/>
          <w:rFonts w:ascii="Times New Roman" w:hAnsi="Times New Roman" w:eastAsia="宋体" w:cs="Times New Roman"/>
          <w:color w:val="000000"/>
          <w:szCs w:val="24"/>
        </w:rPr>
      </w:pPr>
    </w:p>
    <w:p>
      <w:pPr>
        <w:pStyle w:val="4"/>
        <w:spacing w:after="120"/>
        <w:rPr>
          <w:rStyle w:val="3"/>
          <w:rFonts w:ascii="Times New Roman" w:hAnsi="Times New Roman" w:eastAsia="宋体" w:cs="Times New Roman"/>
          <w:color w:val="000000"/>
          <w:szCs w:val="24"/>
        </w:rPr>
      </w:pPr>
    </w:p>
    <w:p>
      <w:pPr>
        <w:pStyle w:val="4"/>
        <w:spacing w:after="120"/>
        <w:rPr>
          <w:rStyle w:val="3"/>
          <w:rFonts w:ascii="Times New Roman" w:hAnsi="Times New Roman" w:eastAsia="宋体" w:cs="Times New Roman"/>
          <w:color w:val="000000"/>
          <w:szCs w:val="24"/>
        </w:rPr>
      </w:pPr>
    </w:p>
    <w:p>
      <w:pPr>
        <w:pStyle w:val="4"/>
        <w:spacing w:after="120"/>
        <w:rPr>
          <w:rStyle w:val="3"/>
          <w:rFonts w:ascii="Times New Roman" w:hAnsi="Times New Roman" w:eastAsia="宋体" w:cs="Times New Roman"/>
          <w:color w:val="000000"/>
          <w:szCs w:val="24"/>
        </w:rPr>
      </w:pPr>
    </w:p>
    <w:p>
      <w:pPr>
        <w:pStyle w:val="4"/>
        <w:spacing w:after="120"/>
        <w:rPr>
          <w:rStyle w:val="3"/>
          <w:rFonts w:ascii="Times New Roman" w:hAnsi="Times New Roman" w:eastAsia="宋体" w:cs="Times New Roman"/>
          <w:color w:val="000000"/>
          <w:szCs w:val="24"/>
        </w:rPr>
      </w:pPr>
    </w:p>
    <w:p>
      <w:pPr>
        <w:pStyle w:val="4"/>
        <w:spacing w:after="120"/>
        <w:rPr>
          <w:rStyle w:val="3"/>
          <w:rFonts w:ascii="Times New Roman" w:hAnsi="Times New Roman" w:eastAsia="宋体" w:cs="Times New Roman"/>
          <w:color w:val="000000"/>
          <w:szCs w:val="24"/>
        </w:rPr>
      </w:pPr>
    </w:p>
    <w:p>
      <w:pPr>
        <w:pStyle w:val="4"/>
        <w:spacing w:after="120"/>
        <w:rPr>
          <w:rStyle w:val="3"/>
          <w:rFonts w:ascii="Times New Roman" w:hAnsi="Times New Roman" w:eastAsia="宋体" w:cs="Times New Roman"/>
          <w:color w:val="000000"/>
          <w:szCs w:val="24"/>
        </w:rPr>
      </w:pPr>
    </w:p>
    <w:p>
      <w:pPr>
        <w:pStyle w:val="4"/>
        <w:spacing w:after="120"/>
        <w:rPr>
          <w:rStyle w:val="3"/>
          <w:rFonts w:ascii="Times New Roman" w:hAnsi="Times New Roman" w:eastAsia="宋体" w:cs="Times New Roman"/>
          <w:color w:val="000000"/>
          <w:szCs w:val="24"/>
        </w:rPr>
      </w:pPr>
    </w:p>
    <w:p>
      <w:pPr>
        <w:pStyle w:val="4"/>
        <w:spacing w:after="120"/>
        <w:rPr>
          <w:rStyle w:val="3"/>
          <w:rFonts w:ascii="Times New Roman" w:hAnsi="Times New Roman" w:eastAsia="宋体" w:cs="Times New Roman"/>
          <w:color w:val="000000"/>
          <w:szCs w:val="24"/>
        </w:rPr>
      </w:pPr>
    </w:p>
    <w:p>
      <w:pPr>
        <w:pStyle w:val="4"/>
        <w:spacing w:after="120"/>
        <w:rPr>
          <w:rStyle w:val="3"/>
          <w:rFonts w:ascii="Times New Roman" w:hAnsi="Times New Roman" w:eastAsia="宋体" w:cs="Times New Roman"/>
          <w:color w:val="000000"/>
          <w:szCs w:val="24"/>
        </w:rPr>
      </w:pPr>
    </w:p>
    <w:p>
      <w:pPr>
        <w:pStyle w:val="4"/>
        <w:spacing w:after="120"/>
        <w:rPr>
          <w:rStyle w:val="3"/>
          <w:rFonts w:ascii="Times New Roman" w:hAnsi="Times New Roman" w:eastAsia="宋体" w:cs="Times New Roman"/>
          <w:color w:val="000000"/>
          <w:szCs w:val="24"/>
        </w:rPr>
      </w:pPr>
    </w:p>
    <w:p>
      <w:pPr>
        <w:pStyle w:val="4"/>
        <w:spacing w:after="120"/>
        <w:rPr>
          <w:rStyle w:val="3"/>
          <w:rFonts w:ascii="Times New Roman" w:hAnsi="Times New Roman" w:eastAsia="宋体" w:cs="Times New Roman"/>
          <w:color w:val="000000"/>
          <w:szCs w:val="24"/>
        </w:rPr>
      </w:pPr>
      <w:r>
        <w:rPr>
          <w:rFonts w:ascii="宋体" w:hAnsi="宋体" w:cs="宋体"/>
          <w:color w:val="000000"/>
          <w:szCs w:val="21"/>
          <w:lang w:val="zh-CN"/>
        </w:rPr>
        <w:drawing>
          <wp:inline distT="0" distB="0" distL="114300" distR="114300">
            <wp:extent cx="4975225" cy="4802505"/>
            <wp:effectExtent l="0" t="0" r="15875" b="17145"/>
            <wp:docPr id="2" name="图片 1" descr="C:\Users\Administrator\Desktop\项目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Desktop\项目图.jpg"/>
                    <pic:cNvPicPr>
                      <a:picLocks noChangeAspect="1"/>
                    </pic:cNvPicPr>
                  </pic:nvPicPr>
                  <pic:blipFill>
                    <a:blip r:embed="rId5"/>
                    <a:stretch>
                      <a:fillRect/>
                    </a:stretch>
                  </pic:blipFill>
                  <pic:spPr>
                    <a:xfrm>
                      <a:off x="0" y="0"/>
                      <a:ext cx="4975225" cy="4802505"/>
                    </a:xfrm>
                    <a:prstGeom prst="rect">
                      <a:avLst/>
                    </a:prstGeom>
                    <a:noFill/>
                    <a:ln>
                      <a:noFill/>
                    </a:ln>
                  </pic:spPr>
                </pic:pic>
              </a:graphicData>
            </a:graphic>
          </wp:inline>
        </w:drawing>
      </w:r>
    </w:p>
    <w:p>
      <w:pPr>
        <w:pStyle w:val="4"/>
        <w:spacing w:line="440" w:lineRule="exact"/>
        <w:rPr>
          <w:rStyle w:val="3"/>
          <w:rFonts w:ascii="宋体" w:hAnsi="宋体" w:eastAsia="宋体" w:cs="宋体"/>
          <w:b/>
          <w:bCs/>
          <w:color w:val="000000"/>
          <w:szCs w:val="24"/>
        </w:rPr>
      </w:pPr>
      <w:r>
        <w:rPr>
          <w:rStyle w:val="3"/>
          <w:rFonts w:hint="eastAsia" w:ascii="宋体" w:hAnsi="宋体" w:eastAsia="宋体" w:cs="宋体"/>
          <w:b/>
          <w:bCs/>
          <w:color w:val="000000"/>
          <w:szCs w:val="24"/>
        </w:rPr>
        <w:t>3.项目简介</w:t>
      </w:r>
    </w:p>
    <w:p>
      <w:pPr>
        <w:pStyle w:val="4"/>
        <w:spacing w:line="440" w:lineRule="exact"/>
        <w:rPr>
          <w:rStyle w:val="3"/>
          <w:rFonts w:hint="eastAsia" w:ascii="宋体" w:hAnsi="宋体" w:eastAsia="宋体" w:cs="宋体"/>
          <w:b/>
          <w:bCs/>
          <w:color w:val="000000"/>
          <w:szCs w:val="24"/>
        </w:rPr>
      </w:pPr>
      <w:r>
        <w:rPr>
          <w:rStyle w:val="3"/>
          <w:rFonts w:hint="eastAsia" w:ascii="宋体" w:hAnsi="宋体" w:eastAsia="宋体" w:cs="宋体"/>
          <w:b/>
          <w:bCs/>
          <w:color w:val="000000"/>
          <w:szCs w:val="24"/>
        </w:rPr>
        <w:t>3.1项目概况</w:t>
      </w:r>
    </w:p>
    <w:p>
      <w:pPr>
        <w:pStyle w:val="4"/>
        <w:widowControl/>
        <w:spacing w:line="440" w:lineRule="exact"/>
        <w:ind w:firstLine="420" w:firstLineChars="200"/>
        <w:rPr>
          <w:rStyle w:val="3"/>
          <w:rFonts w:ascii="宋体" w:hAnsi="宋体" w:eastAsia="宋体" w:cs="宋体"/>
          <w:bCs/>
          <w:color w:val="000000"/>
          <w:szCs w:val="21"/>
        </w:rPr>
      </w:pPr>
      <w:r>
        <w:rPr>
          <w:rStyle w:val="3"/>
          <w:rFonts w:hint="eastAsia" w:ascii="宋体" w:hAnsi="宋体" w:eastAsia="宋体" w:cs="宋体"/>
          <w:bCs/>
          <w:color w:val="000000"/>
          <w:szCs w:val="21"/>
        </w:rPr>
        <w:t>湖南省衡阳至永州高速公路：项目位于湖南省衡阳市和永州市境内，路线起于衡阳市蒸湘区雨母山镇，接G0421许广高速公路，经衡南县、祁东县、祁阳县，至永州市冷水滩区与二广高速公路相交，顺接永州至零陵高速公路。主线全长105.175km，采用双向四车道高速公路标准建设，设计速度120km/h，路基宽度26.5m，桥涵荷载等级为公路Ⅰ级。本项目全线设置服务区3处,停车区2处，匝道收费站7处，养护工区2处，桥隧管理所1处，路政基地2处，交警基地2处，</w:t>
      </w:r>
      <w:r>
        <w:rPr>
          <w:rStyle w:val="3"/>
          <w:rFonts w:hint="eastAsia" w:ascii="宋体" w:hAnsi="宋体" w:eastAsia="宋体" w:cs="宋体"/>
          <w:color w:val="000000"/>
          <w:szCs w:val="24"/>
        </w:rPr>
        <w:t>隧道1座。</w:t>
      </w:r>
    </w:p>
    <w:p>
      <w:pPr>
        <w:pStyle w:val="4"/>
        <w:spacing w:line="440" w:lineRule="exact"/>
        <w:rPr>
          <w:rStyle w:val="3"/>
          <w:rFonts w:ascii="宋体" w:hAnsi="宋体" w:eastAsia="宋体" w:cs="宋体"/>
          <w:b/>
          <w:bCs/>
          <w:color w:val="000000"/>
          <w:szCs w:val="24"/>
        </w:rPr>
      </w:pPr>
      <w:r>
        <w:rPr>
          <w:rStyle w:val="3"/>
          <w:rFonts w:hint="eastAsia" w:ascii="宋体" w:hAnsi="宋体" w:eastAsia="宋体" w:cs="宋体"/>
          <w:b/>
          <w:bCs/>
          <w:color w:val="000000"/>
          <w:szCs w:val="24"/>
        </w:rPr>
        <w:t>3.2本项目机电设施概况</w:t>
      </w:r>
    </w:p>
    <w:p>
      <w:pPr>
        <w:pStyle w:val="4"/>
        <w:spacing w:line="440" w:lineRule="exact"/>
        <w:rPr>
          <w:rStyle w:val="3"/>
          <w:rFonts w:ascii="宋体" w:hAnsi="宋体" w:eastAsia="宋体" w:cs="宋体"/>
          <w:b/>
          <w:bCs/>
          <w:color w:val="000000"/>
          <w:szCs w:val="24"/>
        </w:rPr>
      </w:pPr>
      <w:r>
        <w:rPr>
          <w:rStyle w:val="3"/>
          <w:rFonts w:hint="eastAsia" w:ascii="宋体" w:hAnsi="宋体" w:eastAsia="宋体" w:cs="宋体"/>
          <w:b/>
          <w:bCs/>
          <w:color w:val="000000"/>
          <w:szCs w:val="24"/>
        </w:rPr>
        <w:t>3.2.1监控设施</w:t>
      </w:r>
    </w:p>
    <w:p>
      <w:pPr>
        <w:pStyle w:val="4"/>
        <w:spacing w:line="440" w:lineRule="exact"/>
        <w:ind w:firstLine="420"/>
        <w:rPr>
          <w:rStyle w:val="3"/>
          <w:rFonts w:ascii="宋体" w:hAnsi="宋体" w:eastAsia="宋体" w:cs="宋体"/>
          <w:color w:val="000000"/>
          <w:szCs w:val="24"/>
        </w:rPr>
      </w:pPr>
      <w:r>
        <w:rPr>
          <w:rStyle w:val="3"/>
          <w:rFonts w:hint="eastAsia" w:ascii="宋体" w:hAnsi="宋体" w:eastAsia="宋体" w:cs="宋体"/>
          <w:color w:val="000000"/>
          <w:szCs w:val="24"/>
        </w:rPr>
        <w:t>本项目监控设施采用四级管理体制：省监控中心→区域分公司→项目监控通信分中心</w:t>
      </w:r>
    </w:p>
    <w:p>
      <w:pPr>
        <w:pStyle w:val="4"/>
        <w:spacing w:line="440" w:lineRule="exact"/>
        <w:rPr>
          <w:rStyle w:val="3"/>
          <w:rFonts w:ascii="宋体" w:hAnsi="宋体" w:eastAsia="宋体" w:cs="宋体"/>
          <w:color w:val="000000"/>
          <w:szCs w:val="24"/>
        </w:rPr>
      </w:pPr>
      <w:r>
        <w:rPr>
          <w:rStyle w:val="3"/>
          <w:rFonts w:hint="eastAsia" w:ascii="宋体" w:hAnsi="宋体" w:eastAsia="宋体" w:cs="宋体"/>
          <w:color w:val="000000"/>
          <w:szCs w:val="24"/>
        </w:rPr>
        <w:t>→路段监控外场设备。</w:t>
      </w:r>
    </w:p>
    <w:p>
      <w:pPr>
        <w:pStyle w:val="4"/>
        <w:spacing w:line="440" w:lineRule="exact"/>
        <w:ind w:firstLine="420"/>
        <w:rPr>
          <w:rStyle w:val="3"/>
          <w:rFonts w:ascii="宋体" w:hAnsi="宋体" w:eastAsia="宋体" w:cs="宋体"/>
          <w:color w:val="000000"/>
          <w:szCs w:val="24"/>
        </w:rPr>
      </w:pPr>
      <w:r>
        <w:rPr>
          <w:rStyle w:val="3"/>
          <w:rFonts w:hint="eastAsia" w:ascii="宋体" w:hAnsi="宋体" w:eastAsia="宋体" w:cs="宋体"/>
          <w:color w:val="000000"/>
          <w:szCs w:val="24"/>
        </w:rPr>
        <w:t>根据本项目主体工程的实际情况，监控设施按A2类标准配置。监控设施按照全程监控方案设计，在全线设置视频监控、动态信息发布及交通诱导设施等，结合收费站、隧道、互通式立交、服务区等重点路段，设置交通事件检测、交通量检测、环境信息检测设施。实现全线全程监控、动态信息发布和交通诱导。</w:t>
      </w:r>
    </w:p>
    <w:p>
      <w:pPr>
        <w:pStyle w:val="4"/>
        <w:spacing w:line="440" w:lineRule="exact"/>
        <w:ind w:firstLine="420" w:firstLineChars="200"/>
        <w:rPr>
          <w:rStyle w:val="3"/>
          <w:rFonts w:ascii="宋体" w:hAnsi="宋体" w:eastAsia="宋体" w:cs="宋体"/>
          <w:color w:val="000000"/>
          <w:szCs w:val="24"/>
        </w:rPr>
      </w:pPr>
      <w:r>
        <w:rPr>
          <w:rStyle w:val="3"/>
          <w:rFonts w:hint="eastAsia" w:ascii="宋体" w:hAnsi="宋体" w:eastAsia="宋体" w:cs="宋体"/>
          <w:color w:val="000000"/>
          <w:szCs w:val="24"/>
        </w:rPr>
        <w:t>本项目监控设施由以下系统构成：路段监控分中心系统、桥隧监控通信站系统、视频监视子系统、交通信息采集子系统、隧道火灾自动报警子系统、隧道照明控制子系统、隧道通风控制子系统、外场设备数据传输子系统、隧道监控本地控制器子系统、服务区信息化子系统、交通信息发布及诱导子系统、外场设备供电等构成。</w:t>
      </w:r>
    </w:p>
    <w:p>
      <w:pPr>
        <w:pStyle w:val="4"/>
        <w:spacing w:line="440" w:lineRule="exact"/>
        <w:rPr>
          <w:rStyle w:val="3"/>
          <w:rFonts w:ascii="宋体" w:hAnsi="宋体" w:eastAsia="宋体" w:cs="宋体"/>
          <w:b/>
          <w:bCs/>
          <w:color w:val="000000"/>
          <w:szCs w:val="24"/>
        </w:rPr>
      </w:pPr>
      <w:r>
        <w:rPr>
          <w:rStyle w:val="3"/>
          <w:rFonts w:hint="eastAsia" w:ascii="宋体" w:hAnsi="宋体" w:eastAsia="宋体" w:cs="宋体"/>
          <w:b/>
          <w:bCs/>
          <w:color w:val="000000"/>
          <w:szCs w:val="24"/>
        </w:rPr>
        <w:t>3.2.2收费设施</w:t>
      </w:r>
    </w:p>
    <w:p>
      <w:pPr>
        <w:pStyle w:val="4"/>
        <w:spacing w:line="440" w:lineRule="exact"/>
        <w:ind w:firstLine="420"/>
        <w:rPr>
          <w:rStyle w:val="3"/>
          <w:rFonts w:hint="eastAsia" w:ascii="宋体" w:hAnsi="宋体" w:eastAsia="宋体" w:cs="宋体"/>
          <w:color w:val="000000"/>
          <w:szCs w:val="24"/>
        </w:rPr>
      </w:pPr>
      <w:r>
        <w:rPr>
          <w:rStyle w:val="3"/>
          <w:rFonts w:hint="eastAsia" w:ascii="宋体" w:hAnsi="宋体" w:eastAsia="宋体" w:cs="宋体"/>
          <w:color w:val="000000"/>
          <w:szCs w:val="24"/>
        </w:rPr>
        <w:t>本项目收费设施采用“省联网收费结算中心——收费分中心——收费站”三级管理体制。其中：湖南省衡阳至永州高速公路设置雨母山、谭子山、祁东、灵官、祁阳、黄阳司、牛角坝等7处收费站，其中雨母山收费站为独立站（衡永路段分中心也设置在雨母山收费站）、其余6个站为大站带小站的管理模式。</w:t>
      </w:r>
    </w:p>
    <w:p>
      <w:pPr>
        <w:pStyle w:val="4"/>
        <w:spacing w:line="440" w:lineRule="exact"/>
        <w:ind w:firstLine="420" w:firstLineChars="200"/>
        <w:rPr>
          <w:rStyle w:val="3"/>
          <w:rFonts w:ascii="宋体" w:hAnsi="宋体" w:eastAsia="宋体" w:cs="宋体"/>
          <w:color w:val="000000"/>
          <w:szCs w:val="24"/>
        </w:rPr>
      </w:pPr>
      <w:r>
        <w:rPr>
          <w:rStyle w:val="3"/>
          <w:rFonts w:hint="eastAsia" w:ascii="宋体" w:hAnsi="宋体" w:eastAsia="宋体" w:cs="宋体"/>
          <w:color w:val="000000"/>
          <w:szCs w:val="24"/>
        </w:rPr>
        <w:t>收费系统主要由路段收费分中心系统、ETC门架系统、收费计算机管理系统、收费闭路电视监视系统和收费系统软件构成，另外配有入口治超系统、车牌自动识别系统、内部对讲和报警系统等辅助管理系统。收费站入口按照湖南省高速公路入口治超总体方案在收费站入口所需车道设置入口治超称重系统。</w:t>
      </w:r>
    </w:p>
    <w:p>
      <w:pPr>
        <w:pStyle w:val="4"/>
        <w:spacing w:line="440" w:lineRule="exact"/>
        <w:rPr>
          <w:rStyle w:val="3"/>
          <w:rFonts w:ascii="宋体" w:hAnsi="宋体" w:eastAsia="宋体" w:cs="宋体"/>
          <w:b/>
          <w:bCs/>
          <w:color w:val="000000"/>
          <w:szCs w:val="24"/>
        </w:rPr>
      </w:pPr>
      <w:r>
        <w:rPr>
          <w:rStyle w:val="3"/>
          <w:rFonts w:hint="eastAsia" w:ascii="宋体" w:hAnsi="宋体" w:eastAsia="宋体" w:cs="宋体"/>
          <w:b/>
          <w:bCs/>
          <w:color w:val="000000"/>
          <w:szCs w:val="24"/>
        </w:rPr>
        <w:t>3.2.3 通信设施</w:t>
      </w:r>
    </w:p>
    <w:p>
      <w:pPr>
        <w:pStyle w:val="4"/>
        <w:spacing w:line="440" w:lineRule="exact"/>
        <w:ind w:firstLine="420"/>
        <w:rPr>
          <w:rStyle w:val="3"/>
          <w:rFonts w:hint="eastAsia" w:ascii="宋体" w:hAnsi="宋体" w:eastAsia="宋体" w:cs="宋体"/>
          <w:color w:val="000000"/>
          <w:szCs w:val="24"/>
        </w:rPr>
      </w:pPr>
      <w:r>
        <w:rPr>
          <w:rStyle w:val="3"/>
          <w:rFonts w:hint="eastAsia" w:ascii="宋体" w:hAnsi="宋体" w:eastAsia="宋体" w:cs="宋体"/>
          <w:color w:val="000000"/>
          <w:szCs w:val="24"/>
        </w:rPr>
        <w:t>本项目通信设施采用省通信中心—区域通信分中心—路段分中心-路段沿线通信站（无人站）四级管理体制。本项目结合目前湖南省高速公路已建和在建项目通信设施现状，同时兼顾技术的先进性和实用性，通信设施推荐采用PTN综合业务接入网搭建通信系统。通信设施设计包括光纤干线传输系统、光纤接入网系统、语音综合交换系统、会议电视系统、通信电源和通信管道等工程。工程完成以后，将为本高速公路管理运营部门提供语音、数据和图像等通信业务，并为组成完整省高速公路专用通信网打好基础。</w:t>
      </w:r>
    </w:p>
    <w:p>
      <w:pPr>
        <w:pStyle w:val="4"/>
        <w:spacing w:line="440" w:lineRule="exact"/>
        <w:ind w:firstLine="420"/>
        <w:rPr>
          <w:rStyle w:val="3"/>
          <w:rFonts w:hint="eastAsia" w:ascii="宋体" w:hAnsi="宋体" w:eastAsia="宋体" w:cs="宋体"/>
          <w:color w:val="000000"/>
          <w:szCs w:val="24"/>
        </w:rPr>
      </w:pPr>
      <w:bookmarkStart w:id="6" w:name="_Toc30651"/>
      <w:r>
        <w:rPr>
          <w:rStyle w:val="3"/>
          <w:rFonts w:hint="eastAsia" w:ascii="宋体" w:hAnsi="宋体" w:eastAsia="宋体" w:cs="宋体"/>
          <w:color w:val="000000"/>
          <w:szCs w:val="24"/>
        </w:rPr>
        <w:t>湖南省衡阳至永州高速公路在路段分中心设置有人通信站1处（有人通信站在雨母山站），收费站、服务区设置无人通信站9处。光纤接入网系统：采用10GE等级PTN的综合业务接入网系统。</w:t>
      </w:r>
    </w:p>
    <w:p>
      <w:pPr>
        <w:pStyle w:val="4"/>
        <w:spacing w:line="440" w:lineRule="exact"/>
        <w:ind w:firstLine="420"/>
        <w:rPr>
          <w:rStyle w:val="3"/>
          <w:rFonts w:hint="eastAsia" w:ascii="宋体" w:hAnsi="宋体" w:eastAsia="宋体" w:cs="宋体"/>
          <w:color w:val="000000"/>
          <w:szCs w:val="24"/>
        </w:rPr>
      </w:pPr>
      <w:r>
        <w:rPr>
          <w:rStyle w:val="3"/>
          <w:rFonts w:hint="eastAsia" w:ascii="宋体" w:hAnsi="宋体" w:eastAsia="宋体" w:cs="宋体"/>
          <w:color w:val="000000"/>
          <w:szCs w:val="24"/>
        </w:rPr>
        <w:t>语音综合交换系统：本项目在雨母山有人通信站设置语音综合交换设备，各收费站、服务区配置语音接入网关和电话。</w:t>
      </w:r>
    </w:p>
    <w:p>
      <w:pPr>
        <w:pStyle w:val="4"/>
        <w:spacing w:line="440" w:lineRule="exact"/>
        <w:ind w:firstLine="420"/>
        <w:rPr>
          <w:rStyle w:val="3"/>
          <w:rFonts w:hint="eastAsia" w:ascii="宋体" w:hAnsi="宋体" w:eastAsia="宋体" w:cs="宋体"/>
          <w:color w:val="000000"/>
          <w:szCs w:val="24"/>
        </w:rPr>
      </w:pPr>
      <w:r>
        <w:rPr>
          <w:rStyle w:val="3"/>
          <w:rFonts w:hint="eastAsia" w:ascii="宋体" w:hAnsi="宋体" w:eastAsia="宋体" w:cs="宋体"/>
          <w:color w:val="000000"/>
          <w:szCs w:val="24"/>
        </w:rPr>
        <w:t>注：本项目机电设施最终以正式的施工图设计文件为准。</w:t>
      </w:r>
    </w:p>
    <w:p>
      <w:pPr>
        <w:pStyle w:val="4"/>
        <w:spacing w:line="440" w:lineRule="exact"/>
        <w:outlineLvl w:val="1"/>
        <w:rPr>
          <w:rStyle w:val="3"/>
          <w:rFonts w:ascii="Times New Roman" w:hAnsi="Times New Roman" w:eastAsia="宋体" w:cs="Times New Roman"/>
          <w:color w:val="000000"/>
          <w:szCs w:val="24"/>
        </w:rPr>
      </w:pPr>
      <w:bookmarkStart w:id="7" w:name="_Toc256000014"/>
      <w:bookmarkStart w:id="8" w:name="_Toc256000039"/>
      <w:r>
        <w:rPr>
          <w:rStyle w:val="3"/>
          <w:rFonts w:hint="eastAsia" w:ascii="宋体" w:hAnsi="宋体" w:eastAsia="宋体" w:cs="宋体"/>
          <w:b/>
          <w:bCs/>
          <w:color w:val="000000"/>
          <w:szCs w:val="24"/>
        </w:rPr>
        <w:t>4.标段划分、招标范围及服务期限</w:t>
      </w:r>
      <w:bookmarkEnd w:id="6"/>
      <w:bookmarkEnd w:id="7"/>
      <w:bookmarkEnd w:id="8"/>
    </w:p>
    <w:p>
      <w:pPr>
        <w:pStyle w:val="4"/>
        <w:spacing w:line="440" w:lineRule="exact"/>
        <w:rPr>
          <w:rStyle w:val="3"/>
          <w:rFonts w:ascii="宋体" w:hAnsi="宋体" w:eastAsia="宋体" w:cs="宋体"/>
          <w:color w:val="000000"/>
          <w:szCs w:val="24"/>
        </w:rPr>
      </w:pPr>
      <w:r>
        <w:rPr>
          <w:rStyle w:val="3"/>
          <w:rFonts w:hint="eastAsia" w:ascii="宋体" w:hAnsi="宋体" w:eastAsia="宋体" w:cs="宋体"/>
          <w:color w:val="000000"/>
          <w:szCs w:val="24"/>
        </w:rPr>
        <w:t>4.1标段划分：</w:t>
      </w:r>
    </w:p>
    <w:p>
      <w:pPr>
        <w:pStyle w:val="4"/>
        <w:spacing w:line="440" w:lineRule="exact"/>
        <w:ind w:firstLine="420" w:firstLineChars="200"/>
        <w:rPr>
          <w:rStyle w:val="3"/>
          <w:rFonts w:ascii="宋体" w:hAnsi="宋体" w:eastAsia="宋体" w:cs="宋体"/>
          <w:color w:val="000000"/>
          <w:szCs w:val="24"/>
        </w:rPr>
      </w:pPr>
      <w:r>
        <w:rPr>
          <w:rStyle w:val="3"/>
          <w:rFonts w:hint="eastAsia" w:ascii="宋体" w:hAnsi="宋体" w:eastAsia="宋体" w:cs="宋体"/>
          <w:color w:val="000000"/>
          <w:szCs w:val="24"/>
        </w:rPr>
        <w:t>本次机电施工监理共分为</w:t>
      </w:r>
      <w:r>
        <w:rPr>
          <w:rStyle w:val="3"/>
          <w:rFonts w:hint="eastAsia" w:ascii="宋体" w:hAnsi="宋体" w:eastAsia="宋体" w:cs="宋体"/>
          <w:color w:val="000000"/>
          <w:szCs w:val="24"/>
          <w:lang w:val="en-US" w:eastAsia="zh-CN"/>
        </w:rPr>
        <w:t>1</w:t>
      </w:r>
      <w:r>
        <w:rPr>
          <w:rStyle w:val="3"/>
          <w:rFonts w:hint="eastAsia" w:ascii="宋体" w:hAnsi="宋体" w:eastAsia="宋体" w:cs="宋体"/>
          <w:color w:val="000000"/>
          <w:szCs w:val="24"/>
        </w:rPr>
        <w:t>个标段，具体为：</w:t>
      </w:r>
    </w:p>
    <w:p>
      <w:pPr>
        <w:pStyle w:val="4"/>
        <w:spacing w:line="440" w:lineRule="exact"/>
        <w:ind w:firstLine="420" w:firstLineChars="200"/>
        <w:rPr>
          <w:rStyle w:val="3"/>
          <w:rFonts w:hint="eastAsia" w:ascii="宋体" w:hAnsi="宋体" w:eastAsia="宋体" w:cs="宋体"/>
          <w:color w:val="000000"/>
          <w:szCs w:val="24"/>
          <w:lang w:eastAsia="zh-CN"/>
        </w:rPr>
      </w:pPr>
      <w:r>
        <w:rPr>
          <w:rStyle w:val="3"/>
          <w:rFonts w:hint="eastAsia" w:ascii="宋体" w:hAnsi="宋体" w:eastAsia="宋体" w:cs="宋体"/>
          <w:color w:val="000000"/>
          <w:szCs w:val="24"/>
        </w:rPr>
        <w:t>HYJDJL1标：湖南省衡阳至永州高速公路机电工程施工监理</w:t>
      </w:r>
      <w:r>
        <w:rPr>
          <w:rStyle w:val="3"/>
          <w:rFonts w:hint="eastAsia" w:ascii="宋体" w:hAnsi="宋体" w:eastAsia="宋体" w:cs="宋体"/>
          <w:color w:val="000000"/>
          <w:szCs w:val="24"/>
          <w:lang w:eastAsia="zh-CN"/>
        </w:rPr>
        <w:t>。</w:t>
      </w:r>
    </w:p>
    <w:p>
      <w:pPr>
        <w:pStyle w:val="4"/>
        <w:spacing w:line="440" w:lineRule="exact"/>
        <w:rPr>
          <w:rStyle w:val="3"/>
          <w:rFonts w:ascii="宋体" w:hAnsi="宋体" w:eastAsia="宋体" w:cs="宋体"/>
          <w:color w:val="000000"/>
          <w:szCs w:val="21"/>
        </w:rPr>
      </w:pPr>
      <w:r>
        <w:rPr>
          <w:rStyle w:val="3"/>
          <w:rFonts w:hint="eastAsia" w:ascii="宋体" w:hAnsi="宋体" w:eastAsia="宋体" w:cs="宋体"/>
          <w:color w:val="000000"/>
          <w:szCs w:val="21"/>
        </w:rPr>
        <w:t>4.2招标范围：</w:t>
      </w:r>
    </w:p>
    <w:p>
      <w:pPr>
        <w:pStyle w:val="4"/>
        <w:spacing w:line="440" w:lineRule="exact"/>
        <w:ind w:firstLine="420" w:firstLineChars="200"/>
        <w:rPr>
          <w:rStyle w:val="3"/>
          <w:rFonts w:ascii="宋体" w:hAnsi="宋体" w:eastAsia="宋体" w:cs="宋体"/>
          <w:color w:val="000000"/>
          <w:szCs w:val="24"/>
        </w:rPr>
      </w:pPr>
      <w:r>
        <w:rPr>
          <w:rStyle w:val="3"/>
          <w:rFonts w:ascii="宋体" w:hAnsi="宋体" w:eastAsia="宋体" w:cs="宋体"/>
          <w:color w:val="000000"/>
          <w:szCs w:val="24"/>
        </w:rPr>
        <w:t>本次招标的机电工程监理范围如下：</w:t>
      </w:r>
    </w:p>
    <w:p>
      <w:pPr>
        <w:pStyle w:val="4"/>
        <w:spacing w:line="440" w:lineRule="exact"/>
        <w:ind w:firstLine="420" w:firstLineChars="200"/>
        <w:rPr>
          <w:rStyle w:val="3"/>
          <w:rFonts w:ascii="宋体" w:hAnsi="宋体" w:eastAsia="宋体" w:cs="宋体"/>
          <w:color w:val="000000"/>
          <w:szCs w:val="24"/>
        </w:rPr>
      </w:pPr>
      <w:r>
        <w:rPr>
          <w:rStyle w:val="3"/>
          <w:rFonts w:hint="eastAsia" w:ascii="宋体" w:hAnsi="宋体" w:eastAsia="宋体" w:cs="宋体"/>
          <w:color w:val="000000"/>
          <w:szCs w:val="24"/>
        </w:rPr>
        <w:t>HYJDJL1标</w:t>
      </w:r>
      <w:r>
        <w:rPr>
          <w:rStyle w:val="3"/>
          <w:rFonts w:ascii="宋体" w:hAnsi="宋体" w:eastAsia="宋体" w:cs="宋体"/>
          <w:color w:val="000000"/>
          <w:szCs w:val="24"/>
        </w:rPr>
        <w:t>工程监理范围：湖南省</w:t>
      </w:r>
      <w:r>
        <w:rPr>
          <w:rStyle w:val="3"/>
          <w:rFonts w:hint="eastAsia" w:ascii="宋体" w:hAnsi="宋体" w:eastAsia="宋体" w:cs="宋体"/>
          <w:color w:val="000000"/>
          <w:szCs w:val="24"/>
        </w:rPr>
        <w:t>衡阳至永州</w:t>
      </w:r>
      <w:r>
        <w:rPr>
          <w:rStyle w:val="3"/>
          <w:rFonts w:ascii="宋体" w:hAnsi="宋体" w:eastAsia="宋体" w:cs="宋体"/>
          <w:color w:val="000000"/>
          <w:szCs w:val="24"/>
        </w:rPr>
        <w:t>高速公路机电工程施工监理，具体包括全线通信、收费、监控（含隧道监控）系统；</w:t>
      </w:r>
      <w:r>
        <w:rPr>
          <w:rStyle w:val="3"/>
          <w:rFonts w:hint="eastAsia" w:ascii="宋体" w:hAnsi="宋体" w:eastAsia="宋体" w:cs="宋体"/>
          <w:color w:val="000000"/>
          <w:szCs w:val="24"/>
        </w:rPr>
        <w:t>隧道消防；</w:t>
      </w:r>
      <w:r>
        <w:rPr>
          <w:rStyle w:val="3"/>
          <w:rFonts w:ascii="宋体" w:hAnsi="宋体" w:eastAsia="宋体" w:cs="宋体"/>
          <w:color w:val="000000"/>
          <w:szCs w:val="24"/>
        </w:rPr>
        <w:t>全线（站队所和隧道）通风、照明及供配电等系统；全线机电工程系统集成和联调；全线机电管线预留预埋等工程和相关变更工程的实施及本合同主体项目之外的附属工程等，包含施工阶段（含试运行）、交工验收与缺陷责任期阶段的监理及相关工作。</w:t>
      </w:r>
    </w:p>
    <w:p>
      <w:pPr>
        <w:pStyle w:val="4"/>
        <w:spacing w:after="156" w:afterLines="50" w:line="440" w:lineRule="exact"/>
        <w:ind w:firstLine="420" w:firstLineChars="200"/>
        <w:rPr>
          <w:rStyle w:val="3"/>
          <w:rFonts w:hint="eastAsia" w:ascii="宋体" w:hAnsi="宋体" w:eastAsia="宋体" w:cs="宋体"/>
          <w:color w:val="000000"/>
          <w:szCs w:val="24"/>
        </w:rPr>
      </w:pPr>
      <w:r>
        <w:rPr>
          <w:rStyle w:val="3"/>
          <w:rFonts w:hint="eastAsia" w:ascii="宋体" w:hAnsi="宋体" w:eastAsia="宋体" w:cs="宋体"/>
          <w:color w:val="000000"/>
          <w:szCs w:val="24"/>
        </w:rPr>
        <w:t>HYJDJL1标主要单位工程见下表：</w:t>
      </w:r>
    </w:p>
    <w:tbl>
      <w:tblPr>
        <w:tblStyle w:val="2"/>
        <w:tblW w:w="86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812"/>
        <w:gridCol w:w="1501"/>
        <w:gridCol w:w="2156"/>
        <w:gridCol w:w="784"/>
        <w:gridCol w:w="1371"/>
        <w:gridCol w:w="2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6" w:hRule="atLeast"/>
          <w:jc w:val="center"/>
        </w:trPr>
        <w:tc>
          <w:tcPr>
            <w:tcW w:w="812" w:type="dxa"/>
            <w:noWrap w:val="0"/>
            <w:tcMar>
              <w:bottom w:w="0" w:type="dxa"/>
            </w:tcMar>
            <w:vAlign w:val="center"/>
          </w:tcPr>
          <w:p>
            <w:pPr>
              <w:pStyle w:val="4"/>
              <w:widowControl/>
              <w:spacing w:line="240" w:lineRule="exact"/>
              <w:jc w:val="center"/>
              <w:rPr>
                <w:rStyle w:val="3"/>
                <w:rFonts w:ascii="宋体" w:hAnsi="宋体" w:eastAsia="宋体" w:cs="宋体"/>
                <w:color w:val="000000"/>
                <w:szCs w:val="24"/>
              </w:rPr>
            </w:pPr>
            <w:r>
              <w:rPr>
                <w:rStyle w:val="3"/>
                <w:rFonts w:hint="eastAsia" w:ascii="宋体" w:hAnsi="宋体" w:eastAsia="宋体" w:cs="宋体"/>
                <w:color w:val="000000"/>
                <w:szCs w:val="24"/>
              </w:rPr>
              <w:t>标段号</w:t>
            </w:r>
          </w:p>
        </w:tc>
        <w:tc>
          <w:tcPr>
            <w:tcW w:w="1501" w:type="dxa"/>
            <w:noWrap w:val="0"/>
            <w:tcMar>
              <w:top w:w="0" w:type="dxa"/>
              <w:left w:w="0" w:type="dxa"/>
              <w:bottom w:w="0" w:type="dxa"/>
              <w:right w:w="0" w:type="dxa"/>
            </w:tcMar>
            <w:vAlign w:val="center"/>
          </w:tcPr>
          <w:p>
            <w:pPr>
              <w:pStyle w:val="4"/>
              <w:widowControl/>
              <w:spacing w:line="240" w:lineRule="exact"/>
              <w:jc w:val="center"/>
              <w:rPr>
                <w:rStyle w:val="3"/>
                <w:rFonts w:ascii="宋体" w:hAnsi="宋体" w:eastAsia="宋体" w:cs="宋体"/>
                <w:color w:val="000000"/>
                <w:szCs w:val="24"/>
              </w:rPr>
            </w:pPr>
            <w:r>
              <w:rPr>
                <w:rStyle w:val="3"/>
                <w:rFonts w:hint="eastAsia" w:ascii="宋体" w:hAnsi="宋体" w:eastAsia="宋体" w:cs="宋体"/>
                <w:color w:val="000000"/>
                <w:szCs w:val="24"/>
              </w:rPr>
              <w:t>项目路段</w:t>
            </w:r>
          </w:p>
        </w:tc>
        <w:tc>
          <w:tcPr>
            <w:tcW w:w="2156" w:type="dxa"/>
            <w:noWrap w:val="0"/>
            <w:tcMar>
              <w:top w:w="0" w:type="dxa"/>
              <w:left w:w="0" w:type="dxa"/>
              <w:bottom w:w="0" w:type="dxa"/>
              <w:right w:w="0" w:type="dxa"/>
            </w:tcMar>
            <w:vAlign w:val="center"/>
          </w:tcPr>
          <w:p>
            <w:pPr>
              <w:pStyle w:val="4"/>
              <w:widowControl/>
              <w:spacing w:line="240" w:lineRule="exact"/>
              <w:jc w:val="center"/>
              <w:rPr>
                <w:rStyle w:val="3"/>
                <w:rFonts w:ascii="宋体" w:hAnsi="宋体" w:eastAsia="宋体" w:cs="宋体"/>
                <w:color w:val="000000"/>
                <w:szCs w:val="24"/>
              </w:rPr>
            </w:pPr>
            <w:r>
              <w:rPr>
                <w:rStyle w:val="3"/>
                <w:rFonts w:hint="eastAsia" w:ascii="宋体" w:hAnsi="宋体" w:eastAsia="宋体" w:cs="宋体"/>
                <w:color w:val="000000"/>
                <w:szCs w:val="24"/>
              </w:rPr>
              <w:t>单位工程名称</w:t>
            </w:r>
          </w:p>
        </w:tc>
        <w:tc>
          <w:tcPr>
            <w:tcW w:w="784" w:type="dxa"/>
            <w:noWrap w:val="0"/>
            <w:tcMar>
              <w:top w:w="0" w:type="dxa"/>
              <w:left w:w="0" w:type="dxa"/>
              <w:bottom w:w="0" w:type="dxa"/>
              <w:right w:w="0" w:type="dxa"/>
            </w:tcMar>
            <w:vAlign w:val="center"/>
          </w:tcPr>
          <w:p>
            <w:pPr>
              <w:pStyle w:val="4"/>
              <w:widowControl/>
              <w:spacing w:line="240" w:lineRule="exact"/>
              <w:jc w:val="center"/>
              <w:rPr>
                <w:rStyle w:val="3"/>
                <w:rFonts w:ascii="宋体" w:hAnsi="宋体" w:eastAsia="宋体" w:cs="宋体"/>
                <w:color w:val="000000"/>
                <w:szCs w:val="24"/>
              </w:rPr>
            </w:pPr>
            <w:r>
              <w:rPr>
                <w:rStyle w:val="3"/>
                <w:rFonts w:hint="eastAsia" w:ascii="宋体" w:hAnsi="宋体" w:eastAsia="宋体" w:cs="宋体"/>
                <w:color w:val="000000"/>
                <w:szCs w:val="24"/>
              </w:rPr>
              <w:t>车道数</w:t>
            </w:r>
          </w:p>
        </w:tc>
        <w:tc>
          <w:tcPr>
            <w:tcW w:w="1371" w:type="dxa"/>
            <w:noWrap w:val="0"/>
            <w:tcMar>
              <w:top w:w="0" w:type="dxa"/>
              <w:left w:w="0" w:type="dxa"/>
              <w:bottom w:w="0" w:type="dxa"/>
              <w:right w:w="0" w:type="dxa"/>
            </w:tcMar>
            <w:vAlign w:val="center"/>
          </w:tcPr>
          <w:p>
            <w:pPr>
              <w:pStyle w:val="4"/>
              <w:widowControl/>
              <w:spacing w:line="240" w:lineRule="exact"/>
              <w:jc w:val="center"/>
              <w:rPr>
                <w:rStyle w:val="3"/>
                <w:rFonts w:ascii="宋体" w:hAnsi="宋体" w:eastAsia="宋体" w:cs="宋体"/>
                <w:color w:val="000000"/>
                <w:szCs w:val="24"/>
              </w:rPr>
            </w:pPr>
            <w:r>
              <w:rPr>
                <w:rStyle w:val="3"/>
                <w:rFonts w:hint="eastAsia" w:ascii="宋体" w:hAnsi="宋体" w:eastAsia="宋体" w:cs="宋体"/>
                <w:color w:val="000000"/>
                <w:szCs w:val="24"/>
              </w:rPr>
              <w:t>建筑面积(m2)</w:t>
            </w:r>
          </w:p>
        </w:tc>
        <w:tc>
          <w:tcPr>
            <w:tcW w:w="2009" w:type="dxa"/>
            <w:noWrap w:val="0"/>
            <w:tcMar>
              <w:top w:w="0" w:type="dxa"/>
              <w:left w:w="0" w:type="dxa"/>
              <w:bottom w:w="0" w:type="dxa"/>
              <w:right w:w="0" w:type="dxa"/>
            </w:tcMar>
            <w:vAlign w:val="center"/>
          </w:tcPr>
          <w:p>
            <w:pPr>
              <w:pStyle w:val="4"/>
              <w:widowControl/>
              <w:spacing w:line="240" w:lineRule="exact"/>
              <w:jc w:val="center"/>
              <w:rPr>
                <w:rStyle w:val="3"/>
                <w:rFonts w:ascii="宋体" w:hAnsi="宋体" w:eastAsia="宋体" w:cs="宋体"/>
                <w:color w:val="000000"/>
                <w:szCs w:val="24"/>
              </w:rPr>
            </w:pPr>
            <w:r>
              <w:rPr>
                <w:rStyle w:val="3"/>
                <w:rFonts w:hint="eastAsia" w:ascii="宋体" w:hAnsi="宋体" w:eastAsia="宋体" w:cs="宋体"/>
                <w:color w:val="000000"/>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3" w:hRule="atLeast"/>
          <w:jc w:val="center"/>
        </w:trPr>
        <w:tc>
          <w:tcPr>
            <w:tcW w:w="812" w:type="dxa"/>
            <w:vMerge w:val="restart"/>
            <w:noWrap w:val="0"/>
            <w:tcMar>
              <w:bottom w:w="0" w:type="dxa"/>
            </w:tcMar>
            <w:vAlign w:val="center"/>
          </w:tcPr>
          <w:p>
            <w:pPr>
              <w:pStyle w:val="4"/>
              <w:widowControl/>
              <w:spacing w:line="240" w:lineRule="exact"/>
              <w:jc w:val="center"/>
              <w:rPr>
                <w:rStyle w:val="3"/>
                <w:rFonts w:hint="eastAsia" w:ascii="宋体" w:hAnsi="宋体" w:eastAsia="宋体" w:cs="宋体"/>
                <w:color w:val="000000"/>
                <w:szCs w:val="24"/>
              </w:rPr>
            </w:pPr>
            <w:r>
              <w:rPr>
                <w:rStyle w:val="3"/>
                <w:rFonts w:hint="eastAsia" w:ascii="宋体" w:hAnsi="宋体" w:eastAsia="宋体" w:cs="宋体"/>
                <w:color w:val="000000"/>
                <w:szCs w:val="24"/>
              </w:rPr>
              <w:t>HYJDJL1</w:t>
            </w:r>
          </w:p>
        </w:tc>
        <w:tc>
          <w:tcPr>
            <w:tcW w:w="1501" w:type="dxa"/>
            <w:vMerge w:val="restart"/>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r>
              <w:rPr>
                <w:rStyle w:val="3"/>
                <w:rFonts w:hint="eastAsia" w:ascii="宋体" w:hAnsi="宋体" w:eastAsia="宋体" w:cs="宋体"/>
                <w:color w:val="000000"/>
                <w:szCs w:val="24"/>
              </w:rPr>
              <w:t>衡阳至永州高速公路</w:t>
            </w:r>
          </w:p>
          <w:p>
            <w:pPr>
              <w:pStyle w:val="4"/>
              <w:widowControl/>
              <w:spacing w:line="240" w:lineRule="exact"/>
              <w:jc w:val="center"/>
              <w:rPr>
                <w:rStyle w:val="3"/>
                <w:rFonts w:ascii="宋体" w:hAnsi="宋体" w:eastAsia="宋体" w:cs="宋体"/>
                <w:color w:val="000000"/>
                <w:szCs w:val="24"/>
              </w:rPr>
            </w:pPr>
            <w:r>
              <w:rPr>
                <w:rStyle w:val="3"/>
                <w:rFonts w:hint="eastAsia" w:ascii="宋体" w:hAnsi="宋体" w:eastAsia="宋体" w:cs="宋体"/>
                <w:color w:val="000000"/>
                <w:szCs w:val="24"/>
              </w:rPr>
              <w:t>（K0+000~K105+157.9）</w:t>
            </w:r>
          </w:p>
        </w:tc>
        <w:tc>
          <w:tcPr>
            <w:tcW w:w="2156"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r>
              <w:rPr>
                <w:rStyle w:val="3"/>
                <w:rFonts w:hint="eastAsia" w:ascii="宋体" w:hAnsi="宋体" w:eastAsia="宋体" w:cs="宋体"/>
                <w:color w:val="000000"/>
                <w:szCs w:val="24"/>
              </w:rPr>
              <w:t>雨母山匝道收费站（含养护工区、交警基地）</w:t>
            </w:r>
          </w:p>
        </w:tc>
        <w:tc>
          <w:tcPr>
            <w:tcW w:w="784"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r>
              <w:rPr>
                <w:rStyle w:val="3"/>
                <w:rFonts w:hint="eastAsia" w:ascii="宋体" w:hAnsi="宋体" w:eastAsia="宋体" w:cs="宋体"/>
                <w:color w:val="000000"/>
                <w:szCs w:val="24"/>
              </w:rPr>
              <w:t>5/5</w:t>
            </w:r>
          </w:p>
        </w:tc>
        <w:tc>
          <w:tcPr>
            <w:tcW w:w="1371"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r>
              <w:rPr>
                <w:rStyle w:val="3"/>
                <w:rFonts w:hint="eastAsia" w:ascii="宋体" w:hAnsi="宋体" w:eastAsia="宋体" w:cs="宋体"/>
                <w:color w:val="000000"/>
                <w:szCs w:val="24"/>
              </w:rPr>
              <w:t>7142.99</w:t>
            </w:r>
          </w:p>
        </w:tc>
        <w:tc>
          <w:tcPr>
            <w:tcW w:w="2009"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r>
              <w:rPr>
                <w:rStyle w:val="3"/>
                <w:rFonts w:hint="eastAsia" w:ascii="宋体" w:hAnsi="宋体" w:eastAsia="宋体" w:cs="宋体"/>
                <w:color w:val="000000"/>
                <w:szCs w:val="24"/>
              </w:rPr>
              <w:t>独立站、含养护工区、路产维护、交警基地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2" w:hRule="atLeast"/>
          <w:jc w:val="center"/>
        </w:trPr>
        <w:tc>
          <w:tcPr>
            <w:tcW w:w="812" w:type="dxa"/>
            <w:vMerge w:val="continue"/>
            <w:noWrap w:val="0"/>
            <w:tcMar>
              <w:bottom w:w="0" w:type="dxa"/>
            </w:tcMar>
            <w:vAlign w:val="center"/>
          </w:tcPr>
          <w:p>
            <w:pPr>
              <w:pStyle w:val="4"/>
              <w:widowControl/>
              <w:spacing w:line="240" w:lineRule="exact"/>
              <w:jc w:val="center"/>
              <w:rPr>
                <w:rStyle w:val="3"/>
                <w:rFonts w:ascii="宋体" w:hAnsi="宋体" w:eastAsia="宋体" w:cs="宋体"/>
                <w:color w:val="000000"/>
                <w:szCs w:val="24"/>
              </w:rPr>
            </w:pPr>
          </w:p>
        </w:tc>
        <w:tc>
          <w:tcPr>
            <w:tcW w:w="1501" w:type="dxa"/>
            <w:vMerge w:val="continue"/>
            <w:noWrap w:val="0"/>
            <w:tcMar>
              <w:top w:w="0" w:type="dxa"/>
              <w:left w:w="0" w:type="dxa"/>
              <w:bottom w:w="0" w:type="dxa"/>
              <w:right w:w="0" w:type="dxa"/>
            </w:tcMar>
            <w:vAlign w:val="center"/>
          </w:tcPr>
          <w:p>
            <w:pPr>
              <w:pStyle w:val="4"/>
              <w:widowControl/>
              <w:spacing w:line="240" w:lineRule="exact"/>
              <w:jc w:val="center"/>
              <w:rPr>
                <w:rStyle w:val="3"/>
                <w:rFonts w:ascii="宋体" w:hAnsi="宋体" w:eastAsia="宋体" w:cs="宋体"/>
                <w:color w:val="000000"/>
                <w:szCs w:val="24"/>
              </w:rPr>
            </w:pPr>
          </w:p>
        </w:tc>
        <w:tc>
          <w:tcPr>
            <w:tcW w:w="2156"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r>
              <w:rPr>
                <w:rStyle w:val="3"/>
                <w:rFonts w:hint="eastAsia" w:ascii="宋体" w:hAnsi="宋体" w:eastAsia="宋体" w:cs="宋体"/>
                <w:color w:val="000000"/>
                <w:szCs w:val="24"/>
              </w:rPr>
              <w:t>洲市服务区</w:t>
            </w:r>
          </w:p>
        </w:tc>
        <w:tc>
          <w:tcPr>
            <w:tcW w:w="784"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p>
        </w:tc>
        <w:tc>
          <w:tcPr>
            <w:tcW w:w="1371"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r>
              <w:rPr>
                <w:rStyle w:val="3"/>
                <w:rFonts w:hint="eastAsia" w:ascii="宋体" w:hAnsi="宋体" w:eastAsia="宋体" w:cs="宋体"/>
                <w:color w:val="000000"/>
                <w:szCs w:val="24"/>
              </w:rPr>
              <w:t>9549.28</w:t>
            </w:r>
          </w:p>
        </w:tc>
        <w:tc>
          <w:tcPr>
            <w:tcW w:w="2009"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8" w:hRule="atLeast"/>
          <w:jc w:val="center"/>
        </w:trPr>
        <w:tc>
          <w:tcPr>
            <w:tcW w:w="812" w:type="dxa"/>
            <w:vMerge w:val="continue"/>
            <w:noWrap w:val="0"/>
            <w:tcMar>
              <w:bottom w:w="0" w:type="dxa"/>
            </w:tcMar>
            <w:vAlign w:val="center"/>
          </w:tcPr>
          <w:p>
            <w:pPr>
              <w:pStyle w:val="4"/>
              <w:widowControl/>
              <w:spacing w:line="240" w:lineRule="exact"/>
              <w:jc w:val="center"/>
              <w:rPr>
                <w:rStyle w:val="3"/>
                <w:rFonts w:ascii="宋体" w:hAnsi="宋体" w:eastAsia="宋体" w:cs="宋体"/>
                <w:color w:val="000000"/>
                <w:szCs w:val="24"/>
              </w:rPr>
            </w:pPr>
          </w:p>
        </w:tc>
        <w:tc>
          <w:tcPr>
            <w:tcW w:w="1501" w:type="dxa"/>
            <w:vMerge w:val="continue"/>
            <w:noWrap w:val="0"/>
            <w:tcMar>
              <w:top w:w="0" w:type="dxa"/>
              <w:left w:w="0" w:type="dxa"/>
              <w:bottom w:w="0" w:type="dxa"/>
              <w:right w:w="0" w:type="dxa"/>
            </w:tcMar>
            <w:vAlign w:val="center"/>
          </w:tcPr>
          <w:p>
            <w:pPr>
              <w:pStyle w:val="4"/>
              <w:widowControl/>
              <w:spacing w:line="240" w:lineRule="exact"/>
              <w:jc w:val="center"/>
              <w:rPr>
                <w:rStyle w:val="3"/>
                <w:rFonts w:ascii="宋体" w:hAnsi="宋体" w:eastAsia="宋体" w:cs="宋体"/>
                <w:color w:val="000000"/>
                <w:szCs w:val="24"/>
              </w:rPr>
            </w:pPr>
          </w:p>
        </w:tc>
        <w:tc>
          <w:tcPr>
            <w:tcW w:w="2156"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r>
              <w:rPr>
                <w:rStyle w:val="3"/>
                <w:rFonts w:hint="eastAsia" w:ascii="宋体" w:hAnsi="宋体" w:eastAsia="宋体" w:cs="宋体"/>
                <w:color w:val="000000"/>
                <w:szCs w:val="24"/>
              </w:rPr>
              <w:t>谭子山匝道收费站</w:t>
            </w:r>
          </w:p>
        </w:tc>
        <w:tc>
          <w:tcPr>
            <w:tcW w:w="784"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r>
              <w:rPr>
                <w:rStyle w:val="3"/>
                <w:rFonts w:hint="eastAsia" w:ascii="宋体" w:hAnsi="宋体" w:eastAsia="宋体" w:cs="宋体"/>
                <w:color w:val="000000"/>
                <w:szCs w:val="24"/>
              </w:rPr>
              <w:t>4/4</w:t>
            </w:r>
          </w:p>
        </w:tc>
        <w:tc>
          <w:tcPr>
            <w:tcW w:w="1371"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r>
              <w:rPr>
                <w:rStyle w:val="3"/>
                <w:rFonts w:hint="eastAsia" w:ascii="宋体" w:hAnsi="宋体" w:eastAsia="宋体" w:cs="宋体"/>
                <w:color w:val="000000"/>
                <w:szCs w:val="24"/>
              </w:rPr>
              <w:t>268.72</w:t>
            </w:r>
          </w:p>
        </w:tc>
        <w:tc>
          <w:tcPr>
            <w:tcW w:w="2009"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r>
              <w:rPr>
                <w:rStyle w:val="3"/>
                <w:rFonts w:hint="eastAsia" w:ascii="宋体" w:hAnsi="宋体" w:eastAsia="宋体" w:cs="宋体"/>
                <w:color w:val="000000"/>
                <w:szCs w:val="24"/>
              </w:rPr>
              <w:t>小站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2" w:hRule="atLeast"/>
          <w:jc w:val="center"/>
        </w:trPr>
        <w:tc>
          <w:tcPr>
            <w:tcW w:w="812" w:type="dxa"/>
            <w:vMerge w:val="continue"/>
            <w:noWrap w:val="0"/>
            <w:tcMar>
              <w:bottom w:w="0" w:type="dxa"/>
            </w:tcMar>
            <w:vAlign w:val="center"/>
          </w:tcPr>
          <w:p>
            <w:pPr>
              <w:pStyle w:val="4"/>
              <w:widowControl/>
              <w:spacing w:line="240" w:lineRule="exact"/>
              <w:jc w:val="center"/>
              <w:rPr>
                <w:rStyle w:val="3"/>
                <w:rFonts w:ascii="宋体" w:hAnsi="宋体" w:eastAsia="宋体" w:cs="宋体"/>
                <w:color w:val="000000"/>
                <w:szCs w:val="24"/>
              </w:rPr>
            </w:pPr>
          </w:p>
        </w:tc>
        <w:tc>
          <w:tcPr>
            <w:tcW w:w="1501" w:type="dxa"/>
            <w:vMerge w:val="continue"/>
            <w:noWrap w:val="0"/>
            <w:tcMar>
              <w:top w:w="0" w:type="dxa"/>
              <w:left w:w="0" w:type="dxa"/>
              <w:bottom w:w="0" w:type="dxa"/>
              <w:right w:w="0" w:type="dxa"/>
            </w:tcMar>
            <w:vAlign w:val="center"/>
          </w:tcPr>
          <w:p>
            <w:pPr>
              <w:pStyle w:val="4"/>
              <w:widowControl/>
              <w:spacing w:line="240" w:lineRule="exact"/>
              <w:jc w:val="center"/>
              <w:rPr>
                <w:rStyle w:val="3"/>
                <w:rFonts w:ascii="宋体" w:hAnsi="宋体" w:eastAsia="宋体" w:cs="宋体"/>
                <w:color w:val="000000"/>
                <w:szCs w:val="24"/>
              </w:rPr>
            </w:pPr>
          </w:p>
        </w:tc>
        <w:tc>
          <w:tcPr>
            <w:tcW w:w="2156"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r>
              <w:rPr>
                <w:rStyle w:val="3"/>
                <w:rFonts w:hint="eastAsia" w:ascii="宋体" w:hAnsi="宋体" w:eastAsia="宋体" w:cs="宋体"/>
                <w:color w:val="000000"/>
                <w:szCs w:val="24"/>
              </w:rPr>
              <w:t>泉湖停车区</w:t>
            </w:r>
          </w:p>
        </w:tc>
        <w:tc>
          <w:tcPr>
            <w:tcW w:w="784"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p>
        </w:tc>
        <w:tc>
          <w:tcPr>
            <w:tcW w:w="1371"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r>
              <w:rPr>
                <w:rStyle w:val="3"/>
                <w:rFonts w:hint="eastAsia" w:ascii="宋体" w:hAnsi="宋体" w:eastAsia="宋体" w:cs="宋体"/>
                <w:color w:val="000000"/>
                <w:szCs w:val="24"/>
              </w:rPr>
              <w:t>123.2</w:t>
            </w:r>
          </w:p>
        </w:tc>
        <w:tc>
          <w:tcPr>
            <w:tcW w:w="2009"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9" w:hRule="atLeast"/>
          <w:jc w:val="center"/>
        </w:trPr>
        <w:tc>
          <w:tcPr>
            <w:tcW w:w="812" w:type="dxa"/>
            <w:vMerge w:val="continue"/>
            <w:noWrap w:val="0"/>
            <w:tcMar>
              <w:bottom w:w="0" w:type="dxa"/>
            </w:tcMar>
            <w:vAlign w:val="center"/>
          </w:tcPr>
          <w:p>
            <w:pPr>
              <w:pStyle w:val="4"/>
              <w:widowControl/>
              <w:spacing w:line="240" w:lineRule="exact"/>
              <w:jc w:val="center"/>
              <w:rPr>
                <w:rStyle w:val="3"/>
                <w:rFonts w:ascii="宋体" w:hAnsi="宋体" w:eastAsia="宋体" w:cs="宋体"/>
                <w:color w:val="000000"/>
                <w:szCs w:val="24"/>
              </w:rPr>
            </w:pPr>
          </w:p>
        </w:tc>
        <w:tc>
          <w:tcPr>
            <w:tcW w:w="1501" w:type="dxa"/>
            <w:vMerge w:val="continue"/>
            <w:noWrap w:val="0"/>
            <w:tcMar>
              <w:top w:w="0" w:type="dxa"/>
              <w:left w:w="0" w:type="dxa"/>
              <w:bottom w:w="0" w:type="dxa"/>
              <w:right w:w="0" w:type="dxa"/>
            </w:tcMar>
            <w:vAlign w:val="center"/>
          </w:tcPr>
          <w:p>
            <w:pPr>
              <w:pStyle w:val="4"/>
              <w:widowControl/>
              <w:spacing w:line="240" w:lineRule="exact"/>
              <w:jc w:val="center"/>
              <w:rPr>
                <w:rStyle w:val="3"/>
                <w:rFonts w:ascii="宋体" w:hAnsi="宋体" w:eastAsia="宋体" w:cs="宋体"/>
                <w:color w:val="000000"/>
                <w:szCs w:val="24"/>
              </w:rPr>
            </w:pPr>
          </w:p>
        </w:tc>
        <w:tc>
          <w:tcPr>
            <w:tcW w:w="2156"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r>
              <w:rPr>
                <w:rStyle w:val="3"/>
                <w:rFonts w:hint="eastAsia" w:ascii="宋体" w:hAnsi="宋体" w:eastAsia="宋体" w:cs="宋体"/>
                <w:color w:val="000000"/>
                <w:szCs w:val="24"/>
              </w:rPr>
              <w:t>祁东匝道收费站</w:t>
            </w:r>
          </w:p>
        </w:tc>
        <w:tc>
          <w:tcPr>
            <w:tcW w:w="784"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r>
              <w:rPr>
                <w:rStyle w:val="3"/>
                <w:rFonts w:hint="eastAsia" w:ascii="宋体" w:hAnsi="宋体" w:eastAsia="宋体" w:cs="宋体"/>
                <w:color w:val="000000"/>
                <w:szCs w:val="24"/>
              </w:rPr>
              <w:t>4/4</w:t>
            </w:r>
          </w:p>
        </w:tc>
        <w:tc>
          <w:tcPr>
            <w:tcW w:w="1371"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r>
              <w:rPr>
                <w:rStyle w:val="3"/>
                <w:rFonts w:hint="eastAsia" w:ascii="宋体" w:hAnsi="宋体" w:eastAsia="宋体" w:cs="宋体"/>
                <w:color w:val="000000"/>
                <w:szCs w:val="24"/>
              </w:rPr>
              <w:t>3345.99</w:t>
            </w:r>
          </w:p>
        </w:tc>
        <w:tc>
          <w:tcPr>
            <w:tcW w:w="2009"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r>
              <w:rPr>
                <w:rStyle w:val="3"/>
                <w:rFonts w:hint="eastAsia" w:ascii="宋体" w:hAnsi="宋体" w:eastAsia="宋体" w:cs="宋体"/>
                <w:color w:val="000000"/>
                <w:szCs w:val="24"/>
              </w:rPr>
              <w:t>大站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0" w:hRule="atLeast"/>
          <w:jc w:val="center"/>
        </w:trPr>
        <w:tc>
          <w:tcPr>
            <w:tcW w:w="812" w:type="dxa"/>
            <w:vMerge w:val="continue"/>
            <w:noWrap w:val="0"/>
            <w:tcMar>
              <w:bottom w:w="0" w:type="dxa"/>
            </w:tcMar>
            <w:vAlign w:val="center"/>
          </w:tcPr>
          <w:p>
            <w:pPr>
              <w:pStyle w:val="4"/>
              <w:widowControl/>
              <w:spacing w:line="240" w:lineRule="exact"/>
              <w:jc w:val="center"/>
              <w:rPr>
                <w:rStyle w:val="3"/>
                <w:rFonts w:ascii="宋体" w:hAnsi="宋体" w:eastAsia="宋体" w:cs="宋体"/>
                <w:color w:val="000000"/>
                <w:szCs w:val="24"/>
              </w:rPr>
            </w:pPr>
          </w:p>
        </w:tc>
        <w:tc>
          <w:tcPr>
            <w:tcW w:w="1501" w:type="dxa"/>
            <w:vMerge w:val="continue"/>
            <w:noWrap w:val="0"/>
            <w:tcMar>
              <w:top w:w="0" w:type="dxa"/>
              <w:left w:w="0" w:type="dxa"/>
              <w:bottom w:w="0" w:type="dxa"/>
              <w:right w:w="0" w:type="dxa"/>
            </w:tcMar>
            <w:vAlign w:val="center"/>
          </w:tcPr>
          <w:p>
            <w:pPr>
              <w:pStyle w:val="4"/>
              <w:widowControl/>
              <w:spacing w:line="240" w:lineRule="exact"/>
              <w:jc w:val="center"/>
              <w:rPr>
                <w:rStyle w:val="3"/>
                <w:rFonts w:ascii="宋体" w:hAnsi="宋体" w:eastAsia="宋体" w:cs="宋体"/>
                <w:color w:val="000000"/>
                <w:szCs w:val="24"/>
              </w:rPr>
            </w:pPr>
          </w:p>
        </w:tc>
        <w:tc>
          <w:tcPr>
            <w:tcW w:w="2156"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r>
              <w:rPr>
                <w:rStyle w:val="3"/>
                <w:rFonts w:hint="eastAsia" w:ascii="宋体" w:hAnsi="宋体" w:eastAsia="宋体" w:cs="宋体"/>
                <w:color w:val="000000"/>
                <w:szCs w:val="24"/>
              </w:rPr>
              <w:t>祁东服务区</w:t>
            </w:r>
          </w:p>
        </w:tc>
        <w:tc>
          <w:tcPr>
            <w:tcW w:w="784"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p>
        </w:tc>
        <w:tc>
          <w:tcPr>
            <w:tcW w:w="1371"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r>
              <w:rPr>
                <w:rStyle w:val="3"/>
                <w:rFonts w:hint="eastAsia" w:ascii="宋体" w:hAnsi="宋体" w:eastAsia="宋体" w:cs="宋体"/>
                <w:color w:val="000000"/>
                <w:szCs w:val="24"/>
              </w:rPr>
              <w:t>9462.72</w:t>
            </w:r>
          </w:p>
        </w:tc>
        <w:tc>
          <w:tcPr>
            <w:tcW w:w="2009"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8" w:hRule="atLeast"/>
          <w:jc w:val="center"/>
        </w:trPr>
        <w:tc>
          <w:tcPr>
            <w:tcW w:w="812" w:type="dxa"/>
            <w:vMerge w:val="continue"/>
            <w:noWrap w:val="0"/>
            <w:tcMar>
              <w:bottom w:w="0" w:type="dxa"/>
            </w:tcMar>
            <w:vAlign w:val="center"/>
          </w:tcPr>
          <w:p>
            <w:pPr>
              <w:pStyle w:val="4"/>
              <w:widowControl/>
              <w:spacing w:line="240" w:lineRule="exact"/>
              <w:jc w:val="center"/>
              <w:rPr>
                <w:rStyle w:val="3"/>
                <w:rFonts w:ascii="宋体" w:hAnsi="宋体" w:eastAsia="宋体" w:cs="宋体"/>
                <w:color w:val="000000"/>
                <w:szCs w:val="24"/>
              </w:rPr>
            </w:pPr>
          </w:p>
        </w:tc>
        <w:tc>
          <w:tcPr>
            <w:tcW w:w="1501" w:type="dxa"/>
            <w:vMerge w:val="continue"/>
            <w:noWrap w:val="0"/>
            <w:tcMar>
              <w:top w:w="0" w:type="dxa"/>
              <w:left w:w="0" w:type="dxa"/>
              <w:bottom w:w="0" w:type="dxa"/>
              <w:right w:w="0" w:type="dxa"/>
            </w:tcMar>
            <w:vAlign w:val="center"/>
          </w:tcPr>
          <w:p>
            <w:pPr>
              <w:pStyle w:val="4"/>
              <w:widowControl/>
              <w:spacing w:line="240" w:lineRule="exact"/>
              <w:jc w:val="center"/>
              <w:rPr>
                <w:rStyle w:val="3"/>
                <w:rFonts w:ascii="宋体" w:hAnsi="宋体" w:eastAsia="宋体" w:cs="宋体"/>
                <w:color w:val="000000"/>
                <w:szCs w:val="24"/>
              </w:rPr>
            </w:pPr>
          </w:p>
        </w:tc>
        <w:tc>
          <w:tcPr>
            <w:tcW w:w="2156"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r>
              <w:rPr>
                <w:rStyle w:val="3"/>
                <w:rFonts w:hint="eastAsia" w:ascii="宋体" w:hAnsi="宋体" w:eastAsia="宋体" w:cs="宋体"/>
                <w:color w:val="000000"/>
                <w:szCs w:val="24"/>
              </w:rPr>
              <w:t>灵官匝道收费站（含桥隧管理所）</w:t>
            </w:r>
          </w:p>
        </w:tc>
        <w:tc>
          <w:tcPr>
            <w:tcW w:w="784"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r>
              <w:rPr>
                <w:rStyle w:val="3"/>
                <w:rFonts w:hint="eastAsia" w:ascii="宋体" w:hAnsi="宋体" w:eastAsia="宋体" w:cs="宋体"/>
                <w:color w:val="000000"/>
                <w:szCs w:val="24"/>
              </w:rPr>
              <w:t>4/4</w:t>
            </w:r>
          </w:p>
        </w:tc>
        <w:tc>
          <w:tcPr>
            <w:tcW w:w="1371"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r>
              <w:rPr>
                <w:rStyle w:val="3"/>
                <w:rFonts w:hint="eastAsia" w:ascii="宋体" w:hAnsi="宋体" w:eastAsia="宋体" w:cs="宋体"/>
                <w:color w:val="000000"/>
                <w:szCs w:val="24"/>
              </w:rPr>
              <w:t>441.56</w:t>
            </w:r>
          </w:p>
        </w:tc>
        <w:tc>
          <w:tcPr>
            <w:tcW w:w="2009"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r>
              <w:rPr>
                <w:rStyle w:val="3"/>
                <w:rFonts w:hint="eastAsia" w:ascii="宋体" w:hAnsi="宋体" w:eastAsia="宋体" w:cs="宋体"/>
                <w:color w:val="000000"/>
                <w:szCs w:val="24"/>
              </w:rPr>
              <w:t>小站，含桥隧应急物资堆场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0" w:hRule="atLeast"/>
          <w:jc w:val="center"/>
        </w:trPr>
        <w:tc>
          <w:tcPr>
            <w:tcW w:w="812" w:type="dxa"/>
            <w:vMerge w:val="continue"/>
            <w:noWrap w:val="0"/>
            <w:tcMar>
              <w:bottom w:w="0" w:type="dxa"/>
            </w:tcMar>
            <w:vAlign w:val="center"/>
          </w:tcPr>
          <w:p>
            <w:pPr>
              <w:pStyle w:val="4"/>
              <w:widowControl/>
              <w:spacing w:line="240" w:lineRule="exact"/>
              <w:jc w:val="center"/>
              <w:rPr>
                <w:rStyle w:val="3"/>
                <w:rFonts w:ascii="宋体" w:hAnsi="宋体" w:eastAsia="宋体" w:cs="宋体"/>
                <w:color w:val="000000"/>
                <w:szCs w:val="24"/>
              </w:rPr>
            </w:pPr>
          </w:p>
        </w:tc>
        <w:tc>
          <w:tcPr>
            <w:tcW w:w="1501" w:type="dxa"/>
            <w:vMerge w:val="continue"/>
            <w:noWrap w:val="0"/>
            <w:tcMar>
              <w:top w:w="0" w:type="dxa"/>
              <w:left w:w="0" w:type="dxa"/>
              <w:bottom w:w="0" w:type="dxa"/>
              <w:right w:w="0" w:type="dxa"/>
            </w:tcMar>
            <w:vAlign w:val="center"/>
          </w:tcPr>
          <w:p>
            <w:pPr>
              <w:pStyle w:val="4"/>
              <w:widowControl/>
              <w:spacing w:line="240" w:lineRule="exact"/>
              <w:jc w:val="center"/>
              <w:rPr>
                <w:rStyle w:val="3"/>
                <w:rFonts w:ascii="宋体" w:hAnsi="宋体" w:eastAsia="宋体" w:cs="宋体"/>
                <w:color w:val="000000"/>
                <w:szCs w:val="24"/>
              </w:rPr>
            </w:pPr>
          </w:p>
        </w:tc>
        <w:tc>
          <w:tcPr>
            <w:tcW w:w="2156"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r>
              <w:rPr>
                <w:rStyle w:val="3"/>
                <w:rFonts w:hint="eastAsia" w:ascii="宋体" w:hAnsi="宋体" w:eastAsia="宋体" w:cs="宋体"/>
                <w:color w:val="000000"/>
                <w:szCs w:val="24"/>
              </w:rPr>
              <w:t>祁阳停车区</w:t>
            </w:r>
          </w:p>
        </w:tc>
        <w:tc>
          <w:tcPr>
            <w:tcW w:w="784"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p>
        </w:tc>
        <w:tc>
          <w:tcPr>
            <w:tcW w:w="1371"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r>
              <w:rPr>
                <w:rStyle w:val="3"/>
                <w:rFonts w:hint="eastAsia" w:ascii="宋体" w:hAnsi="宋体" w:eastAsia="宋体" w:cs="宋体"/>
                <w:color w:val="000000"/>
                <w:szCs w:val="24"/>
              </w:rPr>
              <w:t>123.2</w:t>
            </w:r>
          </w:p>
        </w:tc>
        <w:tc>
          <w:tcPr>
            <w:tcW w:w="2009"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7" w:hRule="atLeast"/>
          <w:jc w:val="center"/>
        </w:trPr>
        <w:tc>
          <w:tcPr>
            <w:tcW w:w="812" w:type="dxa"/>
            <w:vMerge w:val="continue"/>
            <w:noWrap w:val="0"/>
            <w:tcMar>
              <w:bottom w:w="0" w:type="dxa"/>
            </w:tcMar>
            <w:vAlign w:val="center"/>
          </w:tcPr>
          <w:p>
            <w:pPr>
              <w:pStyle w:val="4"/>
              <w:widowControl/>
              <w:spacing w:line="240" w:lineRule="exact"/>
              <w:jc w:val="center"/>
              <w:rPr>
                <w:rStyle w:val="3"/>
                <w:rFonts w:ascii="宋体" w:hAnsi="宋体" w:eastAsia="宋体" w:cs="宋体"/>
                <w:color w:val="000000"/>
                <w:szCs w:val="24"/>
              </w:rPr>
            </w:pPr>
          </w:p>
        </w:tc>
        <w:tc>
          <w:tcPr>
            <w:tcW w:w="1501" w:type="dxa"/>
            <w:vMerge w:val="continue"/>
            <w:noWrap w:val="0"/>
            <w:tcMar>
              <w:top w:w="0" w:type="dxa"/>
              <w:left w:w="0" w:type="dxa"/>
              <w:bottom w:w="0" w:type="dxa"/>
              <w:right w:w="0" w:type="dxa"/>
            </w:tcMar>
            <w:vAlign w:val="center"/>
          </w:tcPr>
          <w:p>
            <w:pPr>
              <w:pStyle w:val="4"/>
              <w:widowControl/>
              <w:spacing w:line="240" w:lineRule="exact"/>
              <w:jc w:val="center"/>
              <w:rPr>
                <w:rStyle w:val="3"/>
                <w:rFonts w:ascii="宋体" w:hAnsi="宋体" w:eastAsia="宋体" w:cs="宋体"/>
                <w:color w:val="000000"/>
                <w:szCs w:val="24"/>
              </w:rPr>
            </w:pPr>
          </w:p>
        </w:tc>
        <w:tc>
          <w:tcPr>
            <w:tcW w:w="2156"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r>
              <w:rPr>
                <w:rStyle w:val="3"/>
                <w:rFonts w:hint="eastAsia" w:ascii="宋体" w:hAnsi="宋体" w:eastAsia="宋体" w:cs="宋体"/>
                <w:color w:val="000000"/>
                <w:szCs w:val="24"/>
              </w:rPr>
              <w:t>祁阳匝道收费站（含养护工区）</w:t>
            </w:r>
          </w:p>
        </w:tc>
        <w:tc>
          <w:tcPr>
            <w:tcW w:w="784"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r>
              <w:rPr>
                <w:rStyle w:val="3"/>
                <w:rFonts w:hint="eastAsia" w:ascii="宋体" w:hAnsi="宋体" w:eastAsia="宋体" w:cs="宋体"/>
                <w:color w:val="000000"/>
                <w:szCs w:val="24"/>
              </w:rPr>
              <w:t>4/4</w:t>
            </w:r>
          </w:p>
        </w:tc>
        <w:tc>
          <w:tcPr>
            <w:tcW w:w="1371"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r>
              <w:rPr>
                <w:rStyle w:val="3"/>
                <w:rFonts w:hint="eastAsia" w:ascii="宋体" w:hAnsi="宋体" w:eastAsia="宋体" w:cs="宋体"/>
                <w:color w:val="000000"/>
                <w:szCs w:val="24"/>
              </w:rPr>
              <w:t>5337.73</w:t>
            </w:r>
          </w:p>
        </w:tc>
        <w:tc>
          <w:tcPr>
            <w:tcW w:w="2009"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r>
              <w:rPr>
                <w:rStyle w:val="3"/>
                <w:rFonts w:hint="eastAsia" w:ascii="宋体" w:hAnsi="宋体" w:eastAsia="宋体" w:cs="宋体"/>
                <w:color w:val="000000"/>
                <w:szCs w:val="24"/>
              </w:rPr>
              <w:t>大站，含养护工区、路产维护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812" w:type="dxa"/>
            <w:vMerge w:val="continue"/>
            <w:noWrap w:val="0"/>
            <w:tcMar>
              <w:bottom w:w="0" w:type="dxa"/>
            </w:tcMar>
            <w:vAlign w:val="center"/>
          </w:tcPr>
          <w:p>
            <w:pPr>
              <w:pStyle w:val="4"/>
              <w:widowControl/>
              <w:spacing w:line="240" w:lineRule="exact"/>
              <w:jc w:val="center"/>
              <w:rPr>
                <w:rStyle w:val="3"/>
                <w:rFonts w:ascii="宋体" w:hAnsi="宋体" w:eastAsia="宋体" w:cs="宋体"/>
                <w:color w:val="000000"/>
                <w:szCs w:val="24"/>
              </w:rPr>
            </w:pPr>
          </w:p>
        </w:tc>
        <w:tc>
          <w:tcPr>
            <w:tcW w:w="1501" w:type="dxa"/>
            <w:vMerge w:val="continue"/>
            <w:noWrap w:val="0"/>
            <w:tcMar>
              <w:top w:w="0" w:type="dxa"/>
              <w:left w:w="0" w:type="dxa"/>
              <w:bottom w:w="0" w:type="dxa"/>
              <w:right w:w="0" w:type="dxa"/>
            </w:tcMar>
            <w:vAlign w:val="center"/>
          </w:tcPr>
          <w:p>
            <w:pPr>
              <w:pStyle w:val="4"/>
              <w:widowControl/>
              <w:spacing w:line="240" w:lineRule="exact"/>
              <w:jc w:val="center"/>
              <w:rPr>
                <w:rStyle w:val="3"/>
                <w:rFonts w:ascii="宋体" w:hAnsi="宋体" w:eastAsia="宋体" w:cs="宋体"/>
                <w:color w:val="000000"/>
                <w:szCs w:val="24"/>
              </w:rPr>
            </w:pPr>
          </w:p>
        </w:tc>
        <w:tc>
          <w:tcPr>
            <w:tcW w:w="2156"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r>
              <w:rPr>
                <w:rStyle w:val="3"/>
                <w:rFonts w:hint="eastAsia" w:ascii="宋体" w:hAnsi="宋体" w:eastAsia="宋体" w:cs="宋体"/>
                <w:color w:val="000000"/>
                <w:szCs w:val="24"/>
              </w:rPr>
              <w:t>黄阳司服务区</w:t>
            </w:r>
          </w:p>
        </w:tc>
        <w:tc>
          <w:tcPr>
            <w:tcW w:w="784"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p>
        </w:tc>
        <w:tc>
          <w:tcPr>
            <w:tcW w:w="1371"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r>
              <w:rPr>
                <w:rStyle w:val="3"/>
                <w:rFonts w:hint="eastAsia" w:ascii="宋体" w:hAnsi="宋体" w:eastAsia="宋体" w:cs="宋体"/>
                <w:color w:val="000000"/>
                <w:szCs w:val="24"/>
              </w:rPr>
              <w:t>9555.36</w:t>
            </w:r>
          </w:p>
        </w:tc>
        <w:tc>
          <w:tcPr>
            <w:tcW w:w="2009"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812" w:type="dxa"/>
            <w:vMerge w:val="continue"/>
            <w:noWrap w:val="0"/>
            <w:tcMar>
              <w:bottom w:w="0" w:type="dxa"/>
            </w:tcMar>
            <w:vAlign w:val="center"/>
          </w:tcPr>
          <w:p>
            <w:pPr>
              <w:pStyle w:val="4"/>
              <w:widowControl/>
              <w:spacing w:line="240" w:lineRule="exact"/>
              <w:jc w:val="center"/>
              <w:rPr>
                <w:rStyle w:val="3"/>
                <w:rFonts w:ascii="宋体" w:hAnsi="宋体" w:eastAsia="宋体" w:cs="宋体"/>
                <w:color w:val="000000"/>
                <w:szCs w:val="24"/>
              </w:rPr>
            </w:pPr>
          </w:p>
        </w:tc>
        <w:tc>
          <w:tcPr>
            <w:tcW w:w="1501" w:type="dxa"/>
            <w:vMerge w:val="continue"/>
            <w:noWrap w:val="0"/>
            <w:tcMar>
              <w:top w:w="0" w:type="dxa"/>
              <w:left w:w="0" w:type="dxa"/>
              <w:bottom w:w="0" w:type="dxa"/>
              <w:right w:w="0" w:type="dxa"/>
            </w:tcMar>
            <w:vAlign w:val="center"/>
          </w:tcPr>
          <w:p>
            <w:pPr>
              <w:pStyle w:val="4"/>
              <w:widowControl/>
              <w:spacing w:line="240" w:lineRule="exact"/>
              <w:jc w:val="center"/>
              <w:rPr>
                <w:rStyle w:val="3"/>
                <w:rFonts w:ascii="宋体" w:hAnsi="宋体" w:eastAsia="宋体" w:cs="宋体"/>
                <w:color w:val="000000"/>
                <w:szCs w:val="24"/>
              </w:rPr>
            </w:pPr>
          </w:p>
        </w:tc>
        <w:tc>
          <w:tcPr>
            <w:tcW w:w="2156"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r>
              <w:rPr>
                <w:rStyle w:val="3"/>
                <w:rFonts w:hint="eastAsia" w:ascii="宋体" w:hAnsi="宋体" w:eastAsia="宋体" w:cs="宋体"/>
                <w:color w:val="000000"/>
                <w:szCs w:val="24"/>
              </w:rPr>
              <w:t>黄阳司匝道收费站</w:t>
            </w:r>
          </w:p>
        </w:tc>
        <w:tc>
          <w:tcPr>
            <w:tcW w:w="784"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r>
              <w:rPr>
                <w:rStyle w:val="3"/>
                <w:rFonts w:hint="eastAsia" w:ascii="宋体" w:hAnsi="宋体" w:eastAsia="宋体" w:cs="宋体"/>
                <w:color w:val="000000"/>
                <w:szCs w:val="24"/>
              </w:rPr>
              <w:t>4/4</w:t>
            </w:r>
          </w:p>
        </w:tc>
        <w:tc>
          <w:tcPr>
            <w:tcW w:w="1371"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r>
              <w:rPr>
                <w:rStyle w:val="3"/>
                <w:rFonts w:hint="eastAsia" w:ascii="宋体" w:hAnsi="宋体" w:eastAsia="宋体" w:cs="宋体"/>
                <w:color w:val="000000"/>
                <w:szCs w:val="24"/>
              </w:rPr>
              <w:t>268.72</w:t>
            </w:r>
          </w:p>
        </w:tc>
        <w:tc>
          <w:tcPr>
            <w:tcW w:w="2009"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r>
              <w:rPr>
                <w:rStyle w:val="3"/>
                <w:rFonts w:hint="eastAsia" w:ascii="宋体" w:hAnsi="宋体" w:eastAsia="宋体" w:cs="宋体"/>
                <w:color w:val="000000"/>
                <w:szCs w:val="24"/>
              </w:rPr>
              <w:t>小站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1" w:hRule="atLeast"/>
          <w:jc w:val="center"/>
        </w:trPr>
        <w:tc>
          <w:tcPr>
            <w:tcW w:w="812" w:type="dxa"/>
            <w:vMerge w:val="continue"/>
            <w:noWrap w:val="0"/>
            <w:tcMar>
              <w:bottom w:w="0" w:type="dxa"/>
            </w:tcMar>
            <w:vAlign w:val="center"/>
          </w:tcPr>
          <w:p>
            <w:pPr>
              <w:pStyle w:val="4"/>
              <w:widowControl/>
              <w:spacing w:line="240" w:lineRule="exact"/>
              <w:jc w:val="center"/>
              <w:rPr>
                <w:rStyle w:val="3"/>
                <w:rFonts w:ascii="宋体" w:hAnsi="宋体" w:eastAsia="宋体" w:cs="宋体"/>
                <w:color w:val="000000"/>
                <w:szCs w:val="24"/>
              </w:rPr>
            </w:pPr>
          </w:p>
        </w:tc>
        <w:tc>
          <w:tcPr>
            <w:tcW w:w="1501" w:type="dxa"/>
            <w:vMerge w:val="continue"/>
            <w:noWrap w:val="0"/>
            <w:tcMar>
              <w:top w:w="0" w:type="dxa"/>
              <w:left w:w="0" w:type="dxa"/>
              <w:bottom w:w="0" w:type="dxa"/>
              <w:right w:w="0" w:type="dxa"/>
            </w:tcMar>
            <w:vAlign w:val="center"/>
          </w:tcPr>
          <w:p>
            <w:pPr>
              <w:pStyle w:val="4"/>
              <w:widowControl/>
              <w:spacing w:line="240" w:lineRule="exact"/>
              <w:jc w:val="center"/>
              <w:rPr>
                <w:rStyle w:val="3"/>
                <w:rFonts w:ascii="宋体" w:hAnsi="宋体" w:eastAsia="宋体" w:cs="宋体"/>
                <w:color w:val="000000"/>
                <w:szCs w:val="24"/>
              </w:rPr>
            </w:pPr>
          </w:p>
        </w:tc>
        <w:tc>
          <w:tcPr>
            <w:tcW w:w="2156"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r>
              <w:rPr>
                <w:rStyle w:val="3"/>
                <w:rFonts w:hint="eastAsia" w:ascii="宋体" w:hAnsi="宋体" w:eastAsia="宋体" w:cs="宋体"/>
                <w:color w:val="000000"/>
                <w:szCs w:val="24"/>
              </w:rPr>
              <w:t>牛角坝匝道收费站</w:t>
            </w:r>
          </w:p>
        </w:tc>
        <w:tc>
          <w:tcPr>
            <w:tcW w:w="784"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r>
              <w:rPr>
                <w:rStyle w:val="3"/>
                <w:rFonts w:hint="eastAsia" w:ascii="宋体" w:hAnsi="宋体" w:eastAsia="宋体" w:cs="宋体"/>
                <w:color w:val="000000"/>
                <w:szCs w:val="24"/>
              </w:rPr>
              <w:t>4/4</w:t>
            </w:r>
          </w:p>
        </w:tc>
        <w:tc>
          <w:tcPr>
            <w:tcW w:w="1371"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r>
              <w:rPr>
                <w:rStyle w:val="3"/>
                <w:rFonts w:hint="eastAsia" w:ascii="宋体" w:hAnsi="宋体" w:eastAsia="宋体" w:cs="宋体"/>
                <w:color w:val="000000"/>
                <w:szCs w:val="24"/>
              </w:rPr>
              <w:t>268.72</w:t>
            </w:r>
          </w:p>
        </w:tc>
        <w:tc>
          <w:tcPr>
            <w:tcW w:w="2009"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r>
              <w:rPr>
                <w:rStyle w:val="3"/>
                <w:rFonts w:hint="eastAsia" w:ascii="宋体" w:hAnsi="宋体" w:eastAsia="宋体" w:cs="宋体"/>
                <w:color w:val="000000"/>
                <w:szCs w:val="24"/>
              </w:rPr>
              <w:t>小站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1" w:hRule="atLeast"/>
          <w:jc w:val="center"/>
        </w:trPr>
        <w:tc>
          <w:tcPr>
            <w:tcW w:w="812" w:type="dxa"/>
            <w:vMerge w:val="continue"/>
            <w:noWrap w:val="0"/>
            <w:tcMar>
              <w:bottom w:w="0" w:type="dxa"/>
            </w:tcMar>
            <w:vAlign w:val="center"/>
          </w:tcPr>
          <w:p>
            <w:pPr>
              <w:pStyle w:val="4"/>
              <w:widowControl/>
              <w:spacing w:line="240" w:lineRule="exact"/>
              <w:jc w:val="center"/>
              <w:rPr>
                <w:rStyle w:val="3"/>
                <w:rFonts w:ascii="宋体" w:hAnsi="宋体" w:eastAsia="宋体" w:cs="宋体"/>
                <w:color w:val="000000"/>
                <w:szCs w:val="24"/>
              </w:rPr>
            </w:pPr>
          </w:p>
        </w:tc>
        <w:tc>
          <w:tcPr>
            <w:tcW w:w="1501" w:type="dxa"/>
            <w:vMerge w:val="continue"/>
            <w:noWrap w:val="0"/>
            <w:tcMar>
              <w:top w:w="0" w:type="dxa"/>
              <w:left w:w="0" w:type="dxa"/>
              <w:bottom w:w="0" w:type="dxa"/>
              <w:right w:w="0" w:type="dxa"/>
            </w:tcMar>
            <w:vAlign w:val="center"/>
          </w:tcPr>
          <w:p>
            <w:pPr>
              <w:pStyle w:val="4"/>
              <w:widowControl/>
              <w:spacing w:line="240" w:lineRule="exact"/>
              <w:jc w:val="center"/>
              <w:rPr>
                <w:rStyle w:val="3"/>
                <w:rFonts w:ascii="宋体" w:hAnsi="宋体" w:eastAsia="宋体" w:cs="宋体"/>
                <w:color w:val="000000"/>
                <w:szCs w:val="24"/>
              </w:rPr>
            </w:pPr>
          </w:p>
        </w:tc>
        <w:tc>
          <w:tcPr>
            <w:tcW w:w="2156" w:type="dxa"/>
            <w:noWrap w:val="0"/>
            <w:tcMar>
              <w:top w:w="0" w:type="dxa"/>
              <w:left w:w="0" w:type="dxa"/>
              <w:bottom w:w="0" w:type="dxa"/>
              <w:right w:w="0" w:type="dxa"/>
            </w:tcMar>
            <w:vAlign w:val="center"/>
          </w:tcPr>
          <w:p>
            <w:pPr>
              <w:pStyle w:val="4"/>
              <w:widowControl/>
              <w:spacing w:line="240" w:lineRule="exact"/>
              <w:jc w:val="center"/>
              <w:rPr>
                <w:rStyle w:val="3"/>
                <w:rFonts w:ascii="宋体" w:hAnsi="宋体" w:eastAsia="宋体" w:cs="宋体"/>
                <w:color w:val="000000"/>
                <w:szCs w:val="24"/>
              </w:rPr>
            </w:pPr>
            <w:r>
              <w:rPr>
                <w:rStyle w:val="3"/>
                <w:rFonts w:hint="eastAsia" w:ascii="宋体" w:hAnsi="宋体" w:eastAsia="宋体" w:cs="宋体"/>
                <w:color w:val="000000"/>
                <w:szCs w:val="24"/>
              </w:rPr>
              <w:t>隧道</w:t>
            </w:r>
          </w:p>
        </w:tc>
        <w:tc>
          <w:tcPr>
            <w:tcW w:w="784"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p>
        </w:tc>
        <w:tc>
          <w:tcPr>
            <w:tcW w:w="1371"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p>
        </w:tc>
        <w:tc>
          <w:tcPr>
            <w:tcW w:w="2009" w:type="dxa"/>
            <w:noWrap w:val="0"/>
            <w:tcMar>
              <w:top w:w="0" w:type="dxa"/>
              <w:left w:w="0" w:type="dxa"/>
              <w:bottom w:w="0" w:type="dxa"/>
              <w:right w:w="0" w:type="dxa"/>
            </w:tcMar>
            <w:vAlign w:val="center"/>
          </w:tcPr>
          <w:p>
            <w:pPr>
              <w:pStyle w:val="4"/>
              <w:widowControl/>
              <w:spacing w:line="240" w:lineRule="exact"/>
              <w:rPr>
                <w:rStyle w:val="3"/>
                <w:rFonts w:hint="eastAsia" w:ascii="宋体" w:hAnsi="宋体" w:eastAsia="宋体" w:cs="宋体"/>
                <w:color w:val="000000"/>
                <w:szCs w:val="24"/>
              </w:rPr>
            </w:pPr>
            <w:r>
              <w:rPr>
                <w:rStyle w:val="3"/>
                <w:rFonts w:hint="eastAsia" w:ascii="宋体" w:hAnsi="宋体" w:eastAsia="宋体" w:cs="宋体"/>
                <w:color w:val="000000"/>
                <w:szCs w:val="24"/>
              </w:rPr>
              <w:t>祁山隧道，左幅桩号：ZK60+650-ZK63+620，</w:t>
            </w:r>
          </w:p>
          <w:p>
            <w:pPr>
              <w:pStyle w:val="4"/>
              <w:widowControl/>
              <w:spacing w:line="240" w:lineRule="exact"/>
              <w:jc w:val="center"/>
              <w:rPr>
                <w:rStyle w:val="3"/>
                <w:rFonts w:hint="eastAsia" w:ascii="宋体" w:hAnsi="宋体" w:eastAsia="宋体" w:cs="宋体"/>
                <w:color w:val="000000"/>
                <w:szCs w:val="24"/>
              </w:rPr>
            </w:pPr>
            <w:r>
              <w:rPr>
                <w:rStyle w:val="3"/>
                <w:rFonts w:hint="eastAsia" w:ascii="宋体" w:hAnsi="宋体" w:eastAsia="宋体" w:cs="宋体"/>
                <w:color w:val="000000"/>
                <w:szCs w:val="24"/>
              </w:rPr>
              <w:t>长2550m；右幅桩号：YK60+600-YK63+230，长2630m。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7" w:hRule="atLeast"/>
          <w:jc w:val="center"/>
        </w:trPr>
        <w:tc>
          <w:tcPr>
            <w:tcW w:w="2313" w:type="dxa"/>
            <w:gridSpan w:val="2"/>
            <w:noWrap w:val="0"/>
            <w:tcMar>
              <w:bottom w:w="0" w:type="dxa"/>
            </w:tcMar>
            <w:vAlign w:val="center"/>
          </w:tcPr>
          <w:p>
            <w:pPr>
              <w:pStyle w:val="4"/>
              <w:widowControl/>
              <w:spacing w:line="240" w:lineRule="exact"/>
              <w:jc w:val="center"/>
              <w:rPr>
                <w:rStyle w:val="3"/>
                <w:rFonts w:ascii="宋体" w:hAnsi="宋体" w:eastAsia="宋体" w:cs="宋体"/>
                <w:color w:val="000000"/>
                <w:szCs w:val="24"/>
              </w:rPr>
            </w:pPr>
            <w:r>
              <w:rPr>
                <w:rStyle w:val="3"/>
                <w:rFonts w:hint="eastAsia" w:ascii="宋体" w:hAnsi="宋体" w:eastAsia="宋体" w:cs="宋体"/>
                <w:color w:val="000000"/>
                <w:szCs w:val="24"/>
              </w:rPr>
              <w:t>小计</w:t>
            </w:r>
          </w:p>
        </w:tc>
        <w:tc>
          <w:tcPr>
            <w:tcW w:w="2156"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p>
        </w:tc>
        <w:tc>
          <w:tcPr>
            <w:tcW w:w="784"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p>
        </w:tc>
        <w:tc>
          <w:tcPr>
            <w:tcW w:w="1371" w:type="dxa"/>
            <w:noWrap w:val="0"/>
            <w:tcMar>
              <w:top w:w="0" w:type="dxa"/>
              <w:left w:w="0" w:type="dxa"/>
              <w:bottom w:w="0" w:type="dxa"/>
              <w:right w:w="0" w:type="dxa"/>
            </w:tcMar>
            <w:vAlign w:val="center"/>
          </w:tcPr>
          <w:p>
            <w:pPr>
              <w:pStyle w:val="4"/>
              <w:widowControl/>
              <w:spacing w:line="240" w:lineRule="exact"/>
              <w:jc w:val="center"/>
              <w:rPr>
                <w:rStyle w:val="3"/>
                <w:rFonts w:ascii="宋体" w:hAnsi="宋体" w:eastAsia="宋体" w:cs="宋体"/>
                <w:color w:val="000000"/>
                <w:szCs w:val="24"/>
              </w:rPr>
            </w:pPr>
            <w:r>
              <w:rPr>
                <w:rStyle w:val="3"/>
                <w:rFonts w:hint="eastAsia" w:ascii="宋体" w:hAnsi="宋体" w:eastAsia="宋体" w:cs="宋体"/>
                <w:color w:val="000000"/>
                <w:szCs w:val="24"/>
              </w:rPr>
              <w:t>45888.19</w:t>
            </w:r>
          </w:p>
        </w:tc>
        <w:tc>
          <w:tcPr>
            <w:tcW w:w="2009" w:type="dxa"/>
            <w:noWrap w:val="0"/>
            <w:tcMar>
              <w:top w:w="0" w:type="dxa"/>
              <w:left w:w="0" w:type="dxa"/>
              <w:bottom w:w="0" w:type="dxa"/>
              <w:right w:w="0" w:type="dxa"/>
            </w:tcMar>
            <w:vAlign w:val="center"/>
          </w:tcPr>
          <w:p>
            <w:pPr>
              <w:pStyle w:val="4"/>
              <w:widowControl/>
              <w:spacing w:line="240" w:lineRule="exact"/>
              <w:jc w:val="center"/>
              <w:rPr>
                <w:rStyle w:val="3"/>
                <w:rFonts w:hint="eastAsia" w:ascii="宋体" w:hAnsi="宋体" w:eastAsia="宋体" w:cs="宋体"/>
                <w:color w:val="000000"/>
                <w:szCs w:val="24"/>
              </w:rPr>
            </w:pPr>
          </w:p>
        </w:tc>
      </w:tr>
    </w:tbl>
    <w:p>
      <w:pPr>
        <w:pStyle w:val="4"/>
        <w:spacing w:line="440" w:lineRule="exact"/>
        <w:ind w:firstLine="472" w:firstLineChars="225"/>
        <w:rPr>
          <w:rStyle w:val="3"/>
          <w:rFonts w:hint="eastAsia" w:ascii="宋体" w:hAnsi="宋体" w:eastAsia="宋体" w:cs="宋体"/>
          <w:color w:val="000000"/>
          <w:szCs w:val="21"/>
        </w:rPr>
      </w:pPr>
      <w:r>
        <w:rPr>
          <w:rStyle w:val="3"/>
          <w:rFonts w:hint="eastAsia" w:ascii="宋体" w:hAnsi="宋体" w:eastAsia="宋体" w:cs="宋体"/>
          <w:color w:val="000000"/>
          <w:szCs w:val="24"/>
        </w:rPr>
        <w:t>注：本表内容仅供参考，具体数值以施工图设计图纸为准。</w:t>
      </w:r>
    </w:p>
    <w:p>
      <w:pPr>
        <w:pStyle w:val="4"/>
        <w:spacing w:line="440" w:lineRule="exact"/>
        <w:rPr>
          <w:rStyle w:val="3"/>
          <w:rFonts w:ascii="宋体" w:hAnsi="宋体" w:eastAsia="宋体" w:cs="宋体"/>
          <w:color w:val="000000"/>
          <w:szCs w:val="21"/>
        </w:rPr>
      </w:pPr>
      <w:r>
        <w:rPr>
          <w:rStyle w:val="3"/>
          <w:rFonts w:hint="eastAsia" w:ascii="宋体" w:hAnsi="宋体" w:eastAsia="宋体" w:cs="宋体"/>
          <w:color w:val="000000"/>
          <w:szCs w:val="21"/>
        </w:rPr>
        <w:t>4.3服务期限：</w:t>
      </w:r>
    </w:p>
    <w:p>
      <w:r>
        <w:rPr>
          <w:rStyle w:val="3"/>
          <w:rFonts w:hint="eastAsia" w:ascii="宋体" w:hAnsi="宋体" w:eastAsia="宋体" w:cs="宋体"/>
          <w:color w:val="000000"/>
          <w:szCs w:val="24"/>
        </w:rPr>
        <w:t>本次招标施工监理服务期限：暂定34个月，其中：施工准备阶段监理服务期1个月，施工阶段9个月(含试运行期），交工验收与缺陷责任期监理服务期24个月。</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FkMzA0ZTFhMmViZjMxYTQ4YjQ4MTMzOTgxOWUxOGEifQ=="/>
  </w:docVars>
  <w:rsids>
    <w:rsidRoot w:val="6F897D07"/>
    <w:rsid w:val="6F897D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 w:type="paragraph" w:customStyle="1" w:styleId="4">
    <w:name w:val="正文_0"/>
    <w:next w:val="5"/>
    <w:qFormat/>
    <w:uiPriority w:val="0"/>
    <w:pPr>
      <w:widowControl w:val="0"/>
      <w:jc w:val="both"/>
    </w:pPr>
    <w:rPr>
      <w:rFonts w:ascii="Calibri" w:hAnsi="Calibri" w:eastAsia="宋体" w:cs="Times New Roman"/>
      <w:kern w:val="2"/>
      <w:sz w:val="21"/>
      <w:szCs w:val="22"/>
      <w:lang w:val="en-US" w:eastAsia="zh-CN" w:bidi="ar-SA"/>
    </w:rPr>
  </w:style>
  <w:style w:type="paragraph" w:customStyle="1" w:styleId="5">
    <w:name w:val="正文_1"/>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2023-02-21T09:59:00Z</dcterms:created>
  <dc:creator>LY</dc:creator>
  <cp:lastModifiedBy>LY</cp:lastModifiedBy>
  <dcterms:modified xsi:type="dcterms:W3CDTF">2023-02-21T09:59:34Z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45DBECF87C5B46BE9FA91BD828279E87</vt:lpwstr>
  </property>
</Properties>
</file>