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400" w:lineRule="atLeast"/>
        <w:outlineLvl w:val="1"/>
        <w:rPr>
          <w:rFonts w:ascii="Times New Roman" w:hAnsi="Times New Roman" w:eastAsia="黑体"/>
          <w:sz w:val="24"/>
          <w:szCs w:val="24"/>
        </w:rPr>
      </w:pPr>
      <w:r>
        <w:rPr>
          <w:rFonts w:ascii="Times New Roman" w:hAnsi="Times New Roman" w:eastAsia="黑体"/>
          <w:sz w:val="24"/>
          <w:szCs w:val="24"/>
        </w:rPr>
        <w:t>附件1：资格审查条件要求</w:t>
      </w:r>
    </w:p>
    <w:p>
      <w:pPr>
        <w:pStyle w:val="2"/>
        <w:rPr>
          <w:sz w:val="44"/>
          <w:szCs w:val="44"/>
        </w:rPr>
      </w:pPr>
      <w:bookmarkStart w:id="0" w:name="_Toc17549168"/>
      <w:bookmarkStart w:id="1" w:name="_Toc234832863"/>
      <w:bookmarkStart w:id="2" w:name="_Toc509993812"/>
      <w:r>
        <w:rPr>
          <w:highlight w:val="white"/>
        </w:rPr>
        <w:t>附录1  资格审查条件（资质最低要求）</w:t>
      </w:r>
      <w:bookmarkEnd w:id="0"/>
      <w:bookmarkEnd w:id="1"/>
      <w:bookmarkEnd w:id="2"/>
      <w:r>
        <w:rPr>
          <w:rFonts w:hint="eastAsia"/>
          <w:highlight w:val="white"/>
          <w:vertAlign w:val="superscript"/>
        </w:rPr>
        <w:t>1</w:t>
      </w:r>
    </w:p>
    <w:tbl>
      <w:tblPr>
        <w:tblStyle w:val="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596"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勘察设计企业资质等级要求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596" w:type="dxa"/>
            <w:noWrap w:val="0"/>
            <w:vAlign w:val="center"/>
          </w:tcPr>
          <w:p>
            <w:pPr>
              <w:widowControl w:val="0"/>
              <w:adjustRightInd w:val="0"/>
              <w:snapToGrid w:val="0"/>
              <w:spacing w:line="400" w:lineRule="atLeast"/>
              <w:jc w:val="both"/>
              <w:rPr>
                <w:rFonts w:ascii="Times New Roman" w:hAnsi="Times New Roman"/>
                <w:color w:val="000000"/>
                <w:kern w:val="2"/>
                <w:sz w:val="21"/>
                <w:szCs w:val="21"/>
                <w:highlight w:val="green"/>
                <w:lang w:val="en-US" w:eastAsia="zh-CN" w:bidi="ar-SA"/>
              </w:rPr>
            </w:pPr>
            <w:bookmarkStart w:id="3" w:name="EBe3cb88ec9c134a67b4a5449826eff2b8"/>
            <w:r>
              <w:rPr>
                <w:rFonts w:hint="eastAsia" w:ascii="Times New Roman" w:hAnsi="Times New Roman"/>
                <w:color w:val="0000FF"/>
                <w:kern w:val="2"/>
                <w:sz w:val="21"/>
                <w:szCs w:val="21"/>
                <w:highlight w:val="white"/>
                <w:lang w:val="en-US" w:eastAsia="zh-CN" w:bidi="ar-SA"/>
              </w:rPr>
              <w:t xml:space="preserve">JDSJ001～JDSJ003标段：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1、具有独立法人资格，持有有效的营业执照；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2、具有住房和城乡建设部颁发的工程设计公路行业(交通工程)专业甲级或工程设计公路行业甲级或工程设计综合甲级资质证书。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注：投标人应根据招标文件第二章“投标人须知”第 3.5.1 项的要求在“投标人基本情况表”后附相关证明材料。</w:t>
            </w:r>
            <w:bookmarkEnd w:id="3"/>
          </w:p>
        </w:tc>
      </w:tr>
    </w:tbl>
    <w:p>
      <w:pPr>
        <w:rPr>
          <w:rFonts w:hint="eastAsia"/>
          <w:b/>
          <w:sz w:val="16"/>
        </w:rPr>
      </w:pPr>
      <w:bookmarkStart w:id="4" w:name="EB01d8899a4662477a8b26e3fb7a1164be"/>
      <w:r>
        <w:rPr>
          <w:rFonts w:hint="eastAsia"/>
          <w:b/>
          <w:sz w:val="16"/>
          <w:highlight w:val="white"/>
        </w:rPr>
        <w:t xml:space="preserve"> </w:t>
      </w:r>
      <w:bookmarkEnd w:id="4"/>
    </w:p>
    <w:p>
      <w:pPr>
        <w:rPr>
          <w:highlight w:val="yellow"/>
        </w:rPr>
      </w:pPr>
      <w:r>
        <w:rPr>
          <w:color w:val="000080"/>
          <w:sz w:val="20"/>
          <w:highlight w:val="white"/>
        </w:rPr>
        <w:br w:type="page"/>
      </w:r>
      <w:bookmarkStart w:id="5" w:name="EB47d397e26a77423793d180ab14ac4cf1"/>
      <w:r>
        <w:rPr>
          <w:rFonts w:hint="eastAsia"/>
          <w:color w:val="000080"/>
          <w:sz w:val="20"/>
          <w:highlight w:val="white"/>
        </w:rPr>
        <w:t xml:space="preserve"> </w:t>
      </w:r>
      <w:bookmarkEnd w:id="5"/>
      <w:bookmarkStart w:id="6" w:name="EB35e85ea607804dfca30eeacfa38c8e85"/>
      <w:r>
        <w:rPr>
          <w:rFonts w:hint="eastAsia"/>
          <w:color w:val="000080"/>
          <w:sz w:val="20"/>
          <w:highlight w:val="white"/>
        </w:rPr>
        <w:t xml:space="preserve"> </w:t>
      </w:r>
      <w:bookmarkEnd w:id="6"/>
    </w:p>
    <w:p>
      <w:pPr>
        <w:pStyle w:val="2"/>
      </w:pPr>
      <w:bookmarkStart w:id="7" w:name="_Toc234832865"/>
      <w:bookmarkStart w:id="8" w:name="_Toc17549169"/>
      <w:bookmarkStart w:id="9" w:name="_Toc509993813"/>
      <w:r>
        <w:rPr>
          <w:highlight w:val="white"/>
        </w:rPr>
        <w:t>附录2  资格审查条件（业绩最低要求）</w:t>
      </w:r>
      <w:bookmarkEnd w:id="7"/>
      <w:bookmarkEnd w:id="8"/>
      <w:bookmarkEnd w:id="9"/>
      <w:r>
        <w:rPr>
          <w:rFonts w:hint="eastAsia"/>
          <w:highlight w:val="white"/>
          <w:vertAlign w:val="superscript"/>
        </w:rPr>
        <w:t>1</w:t>
      </w:r>
    </w:p>
    <w:tbl>
      <w:tblPr>
        <w:tblStyle w:val="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8596"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596" w:type="dxa"/>
            <w:noWrap w:val="0"/>
            <w:vAlign w:val="center"/>
          </w:tcPr>
          <w:p>
            <w:pPr>
              <w:widowControl w:val="0"/>
              <w:adjustRightInd w:val="0"/>
              <w:snapToGrid w:val="0"/>
              <w:spacing w:line="400" w:lineRule="atLeast"/>
              <w:jc w:val="both"/>
              <w:rPr>
                <w:rFonts w:ascii="Times New Roman" w:hAnsi="Times New Roman"/>
                <w:color w:val="000000"/>
                <w:kern w:val="2"/>
                <w:sz w:val="21"/>
                <w:szCs w:val="21"/>
                <w:highlight w:val="green"/>
                <w:lang w:val="en-US" w:eastAsia="zh-CN" w:bidi="ar-SA"/>
              </w:rPr>
            </w:pPr>
            <w:bookmarkStart w:id="10" w:name="EB96f005d44f764efe80502eb8c69e63d6"/>
            <w:r>
              <w:rPr>
                <w:rFonts w:hint="eastAsia" w:ascii="Times New Roman" w:hAnsi="Times New Roman"/>
                <w:color w:val="0000FF"/>
                <w:kern w:val="2"/>
                <w:sz w:val="21"/>
                <w:szCs w:val="21"/>
                <w:highlight w:val="white"/>
                <w:lang w:val="en-US" w:eastAsia="zh-CN" w:bidi="ar-SA"/>
              </w:rPr>
              <w:t xml:space="preserve">JDSJ001标段：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最近5年（递交投标文件截止之日前一日回溯5年）内，具有满足以下条件的高速公路设计业绩：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完成过1个合同价不低于93万元的高速公路新建或改扩建或养护工程的初步设计或施工图设计（设计内容须包含机电工程）。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JDSJ002标段：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最近5年（递交投标文件截止之日前一日回溯5年）内，具有满足以下条件的高速公路设计业绩：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完成过1个合同价不低于95万元的高速公路新建或改扩建或养护工程的初步设计或施工图设计（设计内容须包含机电工程）。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JDSJ003标段：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最近5年（递交投标文件截止之日前一日回溯5年）内，具有满足以下条件的高速公路设计业绩：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完成过1个合同价不低于100万元的高速公路新建或改扩建或养护工程的初步设计或施工图设计（设计内容须包含机电工程）。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注：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1. 投标人应根据招标文件第二章“投标人须知”第3.5.2 项的要求在“近年完成的类似项目情况表”后附相关证明材料。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2. 如近年来，投标人法人机构发生合法变更或重组或法人名称变更时，应提供相关部门的合法批件或其他相关证明材料来证明其所附业绩的继承性。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3. 投标人提供的业绩为初步设计业绩的则设计业绩计算以初步设计批复日期为准。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4. 投标人提供的业绩为施工图设计业绩的则设计业绩计算以施工图设计批复日期为准。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5. 业绩以合同结算价为准。合同结算价指设计人按合同约定完成了包括交工验收与缺陷责任  期内的全部设计工作后， 委托人应付给设计人的金额，包括在履行合同过程中按合同约定进行的变更和调整。投标人如在同一项目同一标段分开签订多个合同的，在计算业绩时按同一个合同累计金额计算。投标人如在同一项目同一标段签订多个年度合同的，业绩分年度予以认定。</w:t>
            </w:r>
            <w:bookmarkEnd w:id="10"/>
          </w:p>
        </w:tc>
      </w:tr>
    </w:tbl>
    <w:p>
      <w:pPr>
        <w:rPr>
          <w:rFonts w:hint="eastAsia"/>
          <w:b/>
          <w:sz w:val="16"/>
        </w:rPr>
      </w:pPr>
      <w:bookmarkStart w:id="11" w:name="EB958572b5cf47428ea3bcd223c4a221ec"/>
      <w:r>
        <w:rPr>
          <w:rFonts w:hint="eastAsia"/>
          <w:b/>
          <w:sz w:val="16"/>
          <w:highlight w:val="white"/>
        </w:rPr>
        <w:t xml:space="preserve"> </w:t>
      </w:r>
      <w:bookmarkEnd w:id="11"/>
    </w:p>
    <w:p>
      <w:pPr>
        <w:rPr>
          <w:highlight w:val="yellow"/>
        </w:rPr>
      </w:pPr>
      <w:bookmarkStart w:id="12" w:name="EB298f6f86c6484ab5a45d5d277657fbd4"/>
      <w:r>
        <w:rPr>
          <w:rFonts w:hint="eastAsia"/>
          <w:color w:val="000080"/>
          <w:sz w:val="20"/>
          <w:highlight w:val="white"/>
        </w:rPr>
        <w:t xml:space="preserve"> </w:t>
      </w:r>
      <w:bookmarkEnd w:id="12"/>
      <w:bookmarkStart w:id="13" w:name="EBd190dd0747aa4aa1928c3e241ed904b5"/>
      <w:r>
        <w:rPr>
          <w:rFonts w:hint="eastAsia"/>
          <w:color w:val="000080"/>
          <w:sz w:val="20"/>
          <w:highlight w:val="white"/>
        </w:rPr>
        <w:t xml:space="preserve"> </w:t>
      </w:r>
      <w:bookmarkEnd w:id="13"/>
    </w:p>
    <w:p>
      <w:pPr>
        <w:pStyle w:val="2"/>
      </w:pPr>
      <w:bookmarkStart w:id="14" w:name="_Toc17549170"/>
      <w:bookmarkStart w:id="15" w:name="_Toc509993814"/>
      <w:bookmarkStart w:id="16" w:name="_Toc234832866"/>
      <w:r>
        <w:rPr>
          <w:highlight w:val="white"/>
        </w:rPr>
        <w:t>附录3  资格审查条件（信誉最低要求）</w:t>
      </w:r>
      <w:bookmarkEnd w:id="14"/>
      <w:bookmarkEnd w:id="15"/>
      <w:bookmarkEnd w:id="16"/>
      <w:r>
        <w:rPr>
          <w:rFonts w:hint="eastAsia"/>
          <w:highlight w:val="white"/>
          <w:vertAlign w:val="superscript"/>
        </w:rPr>
        <w:t>1</w:t>
      </w:r>
    </w:p>
    <w:tbl>
      <w:tblPr>
        <w:tblStyle w:val="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8596"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596" w:type="dxa"/>
            <w:noWrap w:val="0"/>
            <w:vAlign w:val="center"/>
          </w:tcPr>
          <w:p>
            <w:pPr>
              <w:widowControl w:val="0"/>
              <w:adjustRightInd w:val="0"/>
              <w:snapToGrid w:val="0"/>
              <w:spacing w:line="400" w:lineRule="atLeast"/>
              <w:jc w:val="both"/>
              <w:rPr>
                <w:rFonts w:ascii="Times New Roman" w:hAnsi="Times New Roman"/>
                <w:color w:val="000000"/>
                <w:kern w:val="2"/>
                <w:sz w:val="21"/>
                <w:szCs w:val="21"/>
                <w:highlight w:val="green"/>
                <w:lang w:val="en-US" w:eastAsia="zh-CN" w:bidi="ar-SA"/>
              </w:rPr>
            </w:pPr>
            <w:bookmarkStart w:id="17" w:name="EB4f3cea4aa8db4945b454e65f8beeba4c"/>
            <w:r>
              <w:rPr>
                <w:rFonts w:hint="eastAsia" w:ascii="Times New Roman" w:hAnsi="Times New Roman"/>
                <w:color w:val="0000FF"/>
                <w:kern w:val="2"/>
                <w:sz w:val="21"/>
                <w:szCs w:val="21"/>
                <w:highlight w:val="white"/>
                <w:lang w:val="en-US" w:eastAsia="zh-CN" w:bidi="ar-SA"/>
              </w:rPr>
              <w:t xml:space="preserve">投标人不得存在投标人须知1.4.3款和1.4.4款的情形。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注：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1. 投标人应根据招标文件第二章“投标人须知”前附表附录 3 和“投标人须知”正文及前附表第 1.4.4 项规定，逐条说明其信誉情况；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2. 投标人应根据招标文件第二章“投标人须知”第 3.5.3 项的要求在“投标人信誉情况表”后附相关证明材料。</w:t>
            </w:r>
            <w:bookmarkEnd w:id="17"/>
          </w:p>
        </w:tc>
      </w:tr>
    </w:tbl>
    <w:p>
      <w:pPr>
        <w:rPr>
          <w:rFonts w:hint="eastAsia"/>
          <w:b/>
          <w:sz w:val="16"/>
        </w:rPr>
      </w:pPr>
      <w:bookmarkStart w:id="18" w:name="EBc4b9372d4b0d43f58ca74e78bf1e3cc9"/>
      <w:r>
        <w:rPr>
          <w:rFonts w:hint="eastAsia"/>
          <w:b/>
          <w:sz w:val="16"/>
          <w:highlight w:val="white"/>
        </w:rPr>
        <w:t xml:space="preserve"> </w:t>
      </w:r>
      <w:bookmarkEnd w:id="18"/>
    </w:p>
    <w:p>
      <w:pPr>
        <w:rPr>
          <w:highlight w:val="yellow"/>
        </w:rPr>
      </w:pPr>
      <w:r>
        <w:rPr>
          <w:color w:val="000080"/>
          <w:sz w:val="20"/>
          <w:highlight w:val="white"/>
        </w:rPr>
        <w:br w:type="page"/>
      </w:r>
      <w:bookmarkStart w:id="19" w:name="EBa874888f6cb74454b485394253745cfb"/>
      <w:r>
        <w:rPr>
          <w:rFonts w:hint="eastAsia"/>
          <w:color w:val="000080"/>
          <w:sz w:val="20"/>
          <w:highlight w:val="white"/>
        </w:rPr>
        <w:t xml:space="preserve"> </w:t>
      </w:r>
      <w:bookmarkEnd w:id="19"/>
      <w:bookmarkStart w:id="20" w:name="EB4416174e740b406db504afb1775f509d"/>
      <w:r>
        <w:rPr>
          <w:rFonts w:hint="eastAsia"/>
          <w:color w:val="000080"/>
          <w:sz w:val="20"/>
          <w:highlight w:val="white"/>
        </w:rPr>
        <w:t xml:space="preserve"> </w:t>
      </w:r>
      <w:bookmarkEnd w:id="20"/>
    </w:p>
    <w:p>
      <w:pPr>
        <w:pStyle w:val="2"/>
      </w:pPr>
      <w:bookmarkStart w:id="21" w:name="_Toc234832867"/>
      <w:bookmarkStart w:id="22" w:name="_Toc17549171"/>
      <w:bookmarkStart w:id="23" w:name="_Toc509993815"/>
      <w:r>
        <w:rPr>
          <w:highlight w:val="white"/>
        </w:rPr>
        <w:t>附录4  资格审查条件（项目负责人最低要求）</w:t>
      </w:r>
      <w:bookmarkEnd w:id="21"/>
      <w:bookmarkEnd w:id="22"/>
      <w:bookmarkEnd w:id="23"/>
      <w:r>
        <w:rPr>
          <w:rFonts w:hint="eastAsia"/>
          <w:highlight w:val="white"/>
          <w:vertAlign w:val="superscript"/>
        </w:rPr>
        <w:t>1</w:t>
      </w:r>
    </w:p>
    <w:tbl>
      <w:tblPr>
        <w:tblStyle w:val="7"/>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748"/>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40" w:type="dxa"/>
            <w:noWrap w:val="0"/>
            <w:vAlign w:val="center"/>
          </w:tcPr>
          <w:p>
            <w:pPr>
              <w:widowControl w:val="0"/>
              <w:adjustRightInd w:val="0"/>
              <w:snapToGrid w:val="0"/>
              <w:spacing w:line="300" w:lineRule="auto"/>
              <w:jc w:val="center"/>
              <w:rPr>
                <w:rFonts w:ascii="Times New Roman" w:hAnsi="Times New Roman"/>
                <w:color w:val="000000"/>
                <w:kern w:val="2"/>
                <w:sz w:val="21"/>
                <w:szCs w:val="21"/>
                <w:lang w:val="en-US" w:eastAsia="zh-CN" w:bidi="ar-SA"/>
              </w:rPr>
            </w:pPr>
            <w:bookmarkStart w:id="24" w:name="_Hlk12835511"/>
            <w:r>
              <w:rPr>
                <w:rFonts w:ascii="Times New Roman" w:hAnsi="Times New Roman"/>
                <w:color w:val="000000"/>
                <w:kern w:val="2"/>
                <w:sz w:val="21"/>
                <w:szCs w:val="21"/>
                <w:highlight w:val="white"/>
                <w:lang w:val="en-US" w:eastAsia="zh-CN" w:bidi="ar-SA"/>
              </w:rPr>
              <w:t>人  员</w:t>
            </w:r>
          </w:p>
        </w:tc>
        <w:tc>
          <w:tcPr>
            <w:tcW w:w="1748" w:type="dxa"/>
            <w:noWrap w:val="0"/>
            <w:vAlign w:val="center"/>
          </w:tcPr>
          <w:p>
            <w:pPr>
              <w:widowControl w:val="0"/>
              <w:adjustRightInd w:val="0"/>
              <w:snapToGrid w:val="0"/>
              <w:spacing w:line="300" w:lineRule="auto"/>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数  量</w:t>
            </w:r>
          </w:p>
        </w:tc>
        <w:tc>
          <w:tcPr>
            <w:tcW w:w="4889" w:type="dxa"/>
            <w:noWrap w:val="0"/>
            <w:vAlign w:val="center"/>
          </w:tcPr>
          <w:p>
            <w:pPr>
              <w:widowControl w:val="0"/>
              <w:adjustRightInd w:val="0"/>
              <w:snapToGrid w:val="0"/>
              <w:spacing w:line="300" w:lineRule="auto"/>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2140" w:type="dxa"/>
            <w:noWrap w:val="0"/>
            <w:vAlign w:val="center"/>
          </w:tcPr>
          <w:p>
            <w:pPr>
              <w:widowControl w:val="0"/>
              <w:spacing w:line="300" w:lineRule="auto"/>
              <w:jc w:val="center"/>
              <w:rPr>
                <w:rFonts w:ascii="Times New Roman" w:hAnsi="Times New Roman"/>
                <w:color w:val="000000"/>
                <w:kern w:val="2"/>
                <w:sz w:val="21"/>
                <w:szCs w:val="21"/>
                <w:highlight w:val="green"/>
                <w:lang w:val="en-US" w:eastAsia="zh-CN" w:bidi="ar-SA"/>
              </w:rPr>
            </w:pPr>
            <w:bookmarkStart w:id="25" w:name="EB47279cc22312400bb11ad98b7d3c7691"/>
            <w:r>
              <w:rPr>
                <w:rFonts w:hint="eastAsia" w:ascii="Times New Roman" w:hAnsi="Times New Roman"/>
                <w:color w:val="0000FF"/>
                <w:kern w:val="2"/>
                <w:sz w:val="21"/>
                <w:szCs w:val="21"/>
                <w:highlight w:val="white"/>
                <w:lang w:val="en-US" w:eastAsia="zh-CN" w:bidi="ar-SA"/>
              </w:rPr>
              <w:t>项目负责人</w:t>
            </w:r>
            <w:bookmarkEnd w:id="25"/>
          </w:p>
        </w:tc>
        <w:tc>
          <w:tcPr>
            <w:tcW w:w="1748" w:type="dxa"/>
            <w:noWrap w:val="0"/>
            <w:vAlign w:val="center"/>
          </w:tcPr>
          <w:p>
            <w:pPr>
              <w:widowControl w:val="0"/>
              <w:adjustRightInd w:val="0"/>
              <w:snapToGrid w:val="0"/>
              <w:spacing w:line="300" w:lineRule="auto"/>
              <w:jc w:val="center"/>
              <w:rPr>
                <w:rFonts w:ascii="Times New Roman" w:hAnsi="Times New Roman"/>
                <w:color w:val="000000"/>
                <w:kern w:val="2"/>
                <w:sz w:val="21"/>
                <w:szCs w:val="21"/>
                <w:highlight w:val="green"/>
                <w:lang w:val="en-US" w:eastAsia="zh-CN" w:bidi="ar-SA"/>
              </w:rPr>
            </w:pPr>
            <w:bookmarkStart w:id="26" w:name="EBb03f8ddf2eca43688c0e3282993ae0a3"/>
            <w:r>
              <w:rPr>
                <w:rFonts w:hint="eastAsia" w:ascii="Times New Roman" w:hAnsi="Times New Roman"/>
                <w:color w:val="0000FF"/>
                <w:kern w:val="2"/>
                <w:sz w:val="21"/>
                <w:szCs w:val="21"/>
                <w:highlight w:val="white"/>
                <w:lang w:val="en-US" w:eastAsia="zh-CN" w:bidi="ar-SA"/>
              </w:rPr>
              <w:t>1</w:t>
            </w:r>
            <w:bookmarkEnd w:id="26"/>
          </w:p>
        </w:tc>
        <w:tc>
          <w:tcPr>
            <w:tcW w:w="4889" w:type="dxa"/>
            <w:noWrap w:val="0"/>
            <w:vAlign w:val="center"/>
          </w:tcPr>
          <w:p>
            <w:pPr>
              <w:widowControl w:val="0"/>
              <w:adjustRightInd w:val="0"/>
              <w:snapToGrid w:val="0"/>
              <w:spacing w:line="300" w:lineRule="auto"/>
              <w:jc w:val="both"/>
              <w:rPr>
                <w:rFonts w:ascii="Times New Roman" w:hAnsi="Times New Roman"/>
                <w:color w:val="000000"/>
                <w:kern w:val="2"/>
                <w:sz w:val="21"/>
                <w:szCs w:val="21"/>
                <w:highlight w:val="green"/>
                <w:lang w:val="en-US" w:eastAsia="zh-CN" w:bidi="ar-SA"/>
              </w:rPr>
            </w:pPr>
            <w:bookmarkStart w:id="27" w:name="EB33dc4bf9265847ec93d89d2a77fc3283"/>
            <w:r>
              <w:rPr>
                <w:rFonts w:hint="eastAsia" w:ascii="Times New Roman" w:hAnsi="Times New Roman"/>
                <w:color w:val="0000FF"/>
                <w:kern w:val="2"/>
                <w:sz w:val="21"/>
                <w:szCs w:val="21"/>
                <w:highlight w:val="white"/>
                <w:lang w:val="en-US" w:eastAsia="zh-CN" w:bidi="ar-SA"/>
              </w:rPr>
              <w:t xml:space="preserve">1、公路工程或机电工程或软件类专业或电子、通讯与自动控制技术类专业高级工程师职称；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2、最近5年（递交投标文件截止之日前一日回溯5年）内作为项目负责人或技术负责人主持过1个高速公路新建或改扩建或养护工程的初步设计或施工图设计（设计内容须包含机电工程）工作。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注：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1.公路工程专业包括：公路工程、桥梁工程、公路与桥梁工程、交通土建、隧道（地下结构）工程、交通工程等专业。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2.机电工程专业包括：暖通、给排水、电气、机械设备、焊接和自动化控制等专业。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3.软件类专业包括：信息系统项目管理师、系统分析师、系统架构设计师、系统规划与管理师、网络规划设计师。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4.电子、通讯与自动控制技术类专业职称包括：机电工程、电气工程、电子工程、电子信息工程、电子技术工程、电子通讯工程、自动控制工程、通信设备工程、通信工程、信息工程等专业职称。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5.投标人应根据招标文件第二章“投标人须知”第3.5.4 项的要求在“拟委任的项目负责人资历表”后附相证明材料。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6.未在投标文件中填报的人员不作为评审依据。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7.投标人必须按投标文件中填报的项目负责人进场，否则招标人将取消投标人的中标资格。</w:t>
            </w:r>
            <w:bookmarkEnd w:id="27"/>
          </w:p>
        </w:tc>
      </w:tr>
      <w:bookmarkEnd w:id="24"/>
    </w:tbl>
    <w:p>
      <w:pPr>
        <w:rPr>
          <w:rFonts w:hint="eastAsia"/>
          <w:b/>
          <w:sz w:val="16"/>
        </w:rPr>
      </w:pPr>
      <w:bookmarkStart w:id="28" w:name="EB33a6b43eecfc4d2796791a6cd2b8dce3"/>
      <w:r>
        <w:rPr>
          <w:rFonts w:hint="eastAsia"/>
          <w:b/>
          <w:sz w:val="16"/>
          <w:highlight w:val="white"/>
        </w:rPr>
        <w:t xml:space="preserve"> </w:t>
      </w:r>
      <w:bookmarkEnd w:id="28"/>
    </w:p>
    <w:p>
      <w:pPr>
        <w:rPr>
          <w:highlight w:val="yellow"/>
        </w:rPr>
      </w:pPr>
      <w:r>
        <w:rPr>
          <w:color w:val="000080"/>
          <w:sz w:val="20"/>
          <w:highlight w:val="white"/>
        </w:rPr>
        <w:br w:type="page"/>
      </w:r>
      <w:bookmarkStart w:id="29" w:name="EB34c261f151bd41aaa7cb2f001771354d"/>
      <w:r>
        <w:rPr>
          <w:rFonts w:hint="eastAsia"/>
          <w:color w:val="000080"/>
          <w:sz w:val="20"/>
          <w:highlight w:val="white"/>
        </w:rPr>
        <w:t xml:space="preserve"> </w:t>
      </w:r>
      <w:bookmarkEnd w:id="29"/>
      <w:bookmarkStart w:id="30" w:name="EB4370aa64128543329a87af91f3ce983b"/>
      <w:r>
        <w:rPr>
          <w:rFonts w:hint="eastAsia"/>
          <w:color w:val="000080"/>
          <w:sz w:val="20"/>
          <w:highlight w:val="white"/>
        </w:rPr>
        <w:t xml:space="preserve"> </w:t>
      </w:r>
      <w:bookmarkEnd w:id="30"/>
    </w:p>
    <w:p>
      <w:pPr>
        <w:pStyle w:val="2"/>
      </w:pPr>
      <w:bookmarkStart w:id="31" w:name="_Toc17549172"/>
      <w:bookmarkStart w:id="32" w:name="_Toc509993816"/>
      <w:bookmarkStart w:id="33" w:name="_Toc234832868"/>
      <w:r>
        <w:rPr>
          <w:highlight w:val="white"/>
        </w:rPr>
        <w:t>附录5  资格审查条件（分项负责人最低要求）</w:t>
      </w:r>
      <w:bookmarkEnd w:id="31"/>
      <w:bookmarkEnd w:id="32"/>
      <w:bookmarkEnd w:id="33"/>
      <w:r>
        <w:rPr>
          <w:rFonts w:hint="eastAsia"/>
          <w:highlight w:val="white"/>
          <w:vertAlign w:val="superscript"/>
        </w:rPr>
        <w:t>1</w:t>
      </w:r>
    </w:p>
    <w:tbl>
      <w:tblPr>
        <w:tblStyle w:val="7"/>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297"/>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780"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人  员</w:t>
            </w:r>
          </w:p>
        </w:tc>
        <w:tc>
          <w:tcPr>
            <w:tcW w:w="1297"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数  量</w:t>
            </w:r>
          </w:p>
        </w:tc>
        <w:tc>
          <w:tcPr>
            <w:tcW w:w="5700"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ascii="Times New Roman" w:hAnsi="Times New Roman"/>
                <w:color w:val="000000"/>
                <w:kern w:val="2"/>
                <w:sz w:val="24"/>
                <w:szCs w:val="24"/>
                <w:highlight w:val="green"/>
                <w:lang w:val="en-US" w:eastAsia="zh-CN" w:bidi="ar-SA"/>
              </w:rPr>
            </w:pPr>
            <w:bookmarkStart w:id="34" w:name="EB0eae43347c5e484d92af4d5cd1f05ea7"/>
            <w:r>
              <w:rPr>
                <w:rFonts w:hint="eastAsia" w:ascii="Times New Roman" w:hAnsi="Times New Roman"/>
                <w:color w:val="0000FF"/>
                <w:kern w:val="2"/>
                <w:sz w:val="24"/>
                <w:szCs w:val="24"/>
                <w:highlight w:val="white"/>
                <w:lang w:val="en-US" w:eastAsia="zh-CN" w:bidi="ar-SA"/>
              </w:rPr>
              <w:t>隧道机电工程设计分项负责人</w:t>
            </w:r>
            <w:bookmarkEnd w:id="34"/>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Times New Roman" w:hAnsi="Times New Roman"/>
                <w:color w:val="000000"/>
                <w:kern w:val="2"/>
                <w:sz w:val="24"/>
                <w:szCs w:val="24"/>
                <w:highlight w:val="green"/>
                <w:lang w:val="en-US" w:eastAsia="zh-CN" w:bidi="ar-SA"/>
              </w:rPr>
            </w:pPr>
            <w:bookmarkStart w:id="35" w:name="EBbb976783f45542489cf178d19700c709"/>
            <w:r>
              <w:rPr>
                <w:rFonts w:hint="eastAsia" w:ascii="Times New Roman" w:hAnsi="Times New Roman"/>
                <w:color w:val="0000FF"/>
                <w:kern w:val="2"/>
                <w:sz w:val="24"/>
                <w:szCs w:val="24"/>
                <w:highlight w:val="white"/>
                <w:lang w:val="en-US" w:eastAsia="zh-CN" w:bidi="ar-SA"/>
              </w:rPr>
              <w:t>1</w:t>
            </w:r>
            <w:bookmarkEnd w:id="35"/>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ascii="Times New Roman" w:hAnsi="Times New Roman"/>
                <w:color w:val="000000"/>
                <w:kern w:val="2"/>
                <w:sz w:val="24"/>
                <w:szCs w:val="24"/>
                <w:highlight w:val="green"/>
                <w:lang w:val="en-US" w:eastAsia="zh-CN" w:bidi="ar-SA"/>
              </w:rPr>
            </w:pPr>
            <w:bookmarkStart w:id="36" w:name="EB3ec7eac08cb8446299af19c7da94a96a"/>
            <w:r>
              <w:rPr>
                <w:rFonts w:hint="eastAsia" w:ascii="Times New Roman" w:hAnsi="Times New Roman"/>
                <w:color w:val="0000FF"/>
                <w:kern w:val="2"/>
                <w:sz w:val="24"/>
                <w:szCs w:val="24"/>
                <w:highlight w:val="white"/>
                <w:lang w:val="en-US" w:eastAsia="zh-CN" w:bidi="ar-SA"/>
              </w:rPr>
              <w:t xml:space="preserve">1、公路工程或机电工程或软件类专业或电子、通讯与自动控制技术类专业高级工程师职称；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2、最近5年（递交投标文件截止之日前一日回溯5年）内作为隧道机电工程设计分项负责人参与过1个高速公路新建或改扩建或养护工程的初步设计或施工图设计（设计内容须包含机电工程）工作。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注：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1.公路工程专业包括：公路工程、桥梁工程、公路与桥梁工程、交通土建、隧道（地下结构）工程、交通工程等专业。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2.机电工程专业包括：暖通、给排水、电气、机械设备、焊接和自动化控制等专业。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3.软件类专业包括：信息系统项目管理师、系统分析师、系统架构设计师、系统规划与管理师、网络规划设计师。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4.电子、通讯与自动控制技术类专业职称包括：机电工程、电气工程、电子工程、电子信息工程、电子技术工程、电子通讯工程、自动控制工程、通信设备工程、通信工程、信息工程等专业职称。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5.投标人应根据招标文件第二章“投标人须知”第 3.5.5 项的要求在“拟委任的分项负责人资历表”后附 相关证明材料。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6.未在投标文件中填报的人员不作为评审依据。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7.投标人必须按投标文件中填报的隧道机电工程设计分项负责人进场，否则招标人将取消投标人的中标资格。</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hint="eastAsia" w:ascii="Times New Roman" w:hAnsi="Times New Roman"/>
                <w:color w:val="0000FF"/>
                <w:kern w:val="2"/>
                <w:sz w:val="24"/>
                <w:szCs w:val="24"/>
                <w:highlight w:val="green"/>
                <w:lang w:val="en-US" w:eastAsia="zh-CN" w:bidi="ar-SA"/>
              </w:rPr>
            </w:pPr>
            <w:bookmarkStart w:id="37" w:name="EB60339cfb32ff4589a99ec052cdae34ea"/>
            <w:r>
              <w:rPr>
                <w:rFonts w:hint="eastAsia" w:ascii="Times New Roman" w:hAnsi="Times New Roman"/>
                <w:color w:val="0000FF"/>
                <w:kern w:val="2"/>
                <w:sz w:val="24"/>
                <w:szCs w:val="24"/>
                <w:highlight w:val="white"/>
                <w:lang w:val="en-US" w:eastAsia="zh-CN" w:bidi="ar-SA"/>
              </w:rPr>
              <w:t>/</w:t>
            </w:r>
            <w:bookmarkEnd w:id="37"/>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hint="eastAsia" w:ascii="Times New Roman" w:hAnsi="Times New Roman"/>
                <w:color w:val="0000FF"/>
                <w:kern w:val="2"/>
                <w:sz w:val="24"/>
                <w:szCs w:val="24"/>
                <w:highlight w:val="green"/>
                <w:lang w:val="en-US" w:eastAsia="zh-CN" w:bidi="ar-SA"/>
              </w:rPr>
            </w:pPr>
            <w:bookmarkStart w:id="38" w:name="EBae1f4acf17fc4c8e9471722ce0ffac68"/>
            <w:r>
              <w:rPr>
                <w:rFonts w:hint="eastAsia" w:ascii="Times New Roman" w:hAnsi="Times New Roman"/>
                <w:color w:val="0000FF"/>
                <w:kern w:val="2"/>
                <w:sz w:val="24"/>
                <w:szCs w:val="24"/>
                <w:highlight w:val="white"/>
                <w:lang w:val="en-US" w:eastAsia="zh-CN" w:bidi="ar-SA"/>
              </w:rPr>
              <w:t>/</w:t>
            </w:r>
            <w:bookmarkEnd w:id="38"/>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hint="eastAsia" w:ascii="Times New Roman" w:hAnsi="Times New Roman"/>
                <w:color w:val="0000FF"/>
                <w:kern w:val="2"/>
                <w:sz w:val="24"/>
                <w:szCs w:val="24"/>
                <w:highlight w:val="green"/>
                <w:lang w:val="en-US" w:eastAsia="zh-CN" w:bidi="ar-SA"/>
              </w:rPr>
            </w:pPr>
            <w:bookmarkStart w:id="39" w:name="EB6565357946f5490e94c978c626154047"/>
            <w:r>
              <w:rPr>
                <w:rFonts w:hint="eastAsia" w:ascii="Times New Roman" w:hAnsi="Times New Roman"/>
                <w:color w:val="0000FF"/>
                <w:kern w:val="2"/>
                <w:sz w:val="24"/>
                <w:szCs w:val="24"/>
                <w:highlight w:val="white"/>
                <w:lang w:val="en-US" w:eastAsia="zh-CN" w:bidi="ar-SA"/>
              </w:rPr>
              <w:t>/</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hint="eastAsia" w:ascii="Times New Roman" w:hAnsi="Times New Roman"/>
                <w:color w:val="0000FF"/>
                <w:kern w:val="2"/>
                <w:sz w:val="24"/>
                <w:szCs w:val="24"/>
                <w:highlight w:val="green"/>
                <w:lang w:val="en-US" w:eastAsia="zh-CN" w:bidi="ar-SA"/>
              </w:rPr>
            </w:pPr>
            <w:bookmarkStart w:id="40" w:name="EB40b7fd402a5b4c8689525c99e778193f"/>
            <w:r>
              <w:rPr>
                <w:rFonts w:hint="eastAsia" w:ascii="Times New Roman" w:hAnsi="Times New Roman"/>
                <w:color w:val="0000FF"/>
                <w:kern w:val="2"/>
                <w:sz w:val="24"/>
                <w:szCs w:val="24"/>
                <w:highlight w:val="white"/>
                <w:lang w:val="en-US" w:eastAsia="zh-CN" w:bidi="ar-SA"/>
              </w:rPr>
              <w:t>/</w:t>
            </w:r>
            <w:bookmarkEnd w:id="40"/>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hint="eastAsia" w:ascii="Times New Roman" w:hAnsi="Times New Roman"/>
                <w:color w:val="0000FF"/>
                <w:kern w:val="2"/>
                <w:sz w:val="24"/>
                <w:szCs w:val="24"/>
                <w:highlight w:val="green"/>
                <w:lang w:val="en-US" w:eastAsia="zh-CN" w:bidi="ar-SA"/>
              </w:rPr>
            </w:pPr>
            <w:bookmarkStart w:id="41" w:name="EB33036a4cc5674807b6d6d7d1c3f33cda"/>
            <w:r>
              <w:rPr>
                <w:rFonts w:hint="eastAsia" w:ascii="Times New Roman" w:hAnsi="Times New Roman"/>
                <w:color w:val="0000FF"/>
                <w:kern w:val="2"/>
                <w:sz w:val="24"/>
                <w:szCs w:val="24"/>
                <w:highlight w:val="white"/>
                <w:lang w:val="en-US" w:eastAsia="zh-CN" w:bidi="ar-SA"/>
              </w:rPr>
              <w:t>/</w:t>
            </w:r>
            <w:bookmarkEnd w:id="41"/>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hint="eastAsia" w:ascii="Times New Roman" w:hAnsi="Times New Roman"/>
                <w:color w:val="0000FF"/>
                <w:kern w:val="2"/>
                <w:sz w:val="24"/>
                <w:szCs w:val="24"/>
                <w:highlight w:val="green"/>
                <w:lang w:val="en-US" w:eastAsia="zh-CN" w:bidi="ar-SA"/>
              </w:rPr>
            </w:pPr>
            <w:bookmarkStart w:id="42" w:name="EB10b8d7f467c1453c884e7b439ee871fa"/>
            <w:r>
              <w:rPr>
                <w:rFonts w:hint="eastAsia" w:ascii="Times New Roman" w:hAnsi="Times New Roman"/>
                <w:color w:val="0000FF"/>
                <w:kern w:val="2"/>
                <w:sz w:val="24"/>
                <w:szCs w:val="24"/>
                <w:highlight w:val="white"/>
                <w:lang w:val="en-US" w:eastAsia="zh-CN" w:bidi="ar-SA"/>
              </w:rPr>
              <w:t>/</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hint="eastAsia" w:ascii="Times New Roman" w:hAnsi="Times New Roman"/>
                <w:color w:val="0000FF"/>
                <w:kern w:val="2"/>
                <w:sz w:val="24"/>
                <w:szCs w:val="24"/>
                <w:highlight w:val="green"/>
                <w:lang w:val="en-US" w:eastAsia="zh-CN" w:bidi="ar-SA"/>
              </w:rPr>
            </w:pPr>
            <w:bookmarkStart w:id="43" w:name="EB97e0c19511eb43049efac799251711c9"/>
            <w:r>
              <w:rPr>
                <w:rFonts w:hint="eastAsia" w:ascii="Times New Roman" w:hAnsi="Times New Roman"/>
                <w:color w:val="0000FF"/>
                <w:kern w:val="2"/>
                <w:sz w:val="24"/>
                <w:szCs w:val="24"/>
                <w:highlight w:val="white"/>
                <w:lang w:val="en-US" w:eastAsia="zh-CN" w:bidi="ar-SA"/>
              </w:rPr>
              <w:t>/</w:t>
            </w:r>
            <w:bookmarkEnd w:id="43"/>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hint="eastAsia" w:ascii="Times New Roman" w:hAnsi="Times New Roman"/>
                <w:color w:val="0000FF"/>
                <w:kern w:val="2"/>
                <w:sz w:val="24"/>
                <w:szCs w:val="24"/>
                <w:highlight w:val="green"/>
                <w:lang w:val="en-US" w:eastAsia="zh-CN" w:bidi="ar-SA"/>
              </w:rPr>
            </w:pPr>
            <w:bookmarkStart w:id="44" w:name="EB110f3319b2a24461addf04066205c10c"/>
            <w:r>
              <w:rPr>
                <w:rFonts w:hint="eastAsia" w:ascii="Times New Roman" w:hAnsi="Times New Roman"/>
                <w:color w:val="0000FF"/>
                <w:kern w:val="2"/>
                <w:sz w:val="24"/>
                <w:szCs w:val="24"/>
                <w:highlight w:val="white"/>
                <w:lang w:val="en-US" w:eastAsia="zh-CN" w:bidi="ar-SA"/>
              </w:rPr>
              <w:t>/</w:t>
            </w:r>
            <w:bookmarkEnd w:id="44"/>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hint="eastAsia" w:ascii="Times New Roman" w:hAnsi="Times New Roman"/>
                <w:color w:val="0000FF"/>
                <w:kern w:val="2"/>
                <w:sz w:val="24"/>
                <w:szCs w:val="24"/>
                <w:highlight w:val="green"/>
                <w:lang w:val="en-US" w:eastAsia="zh-CN" w:bidi="ar-SA"/>
              </w:rPr>
            </w:pPr>
            <w:bookmarkStart w:id="45" w:name="EBf8f0d4f6a92d4e9d992b0a7f8468a2a4"/>
            <w:r>
              <w:rPr>
                <w:rFonts w:hint="eastAsia" w:ascii="Times New Roman" w:hAnsi="Times New Roman"/>
                <w:color w:val="0000FF"/>
                <w:kern w:val="2"/>
                <w:sz w:val="24"/>
                <w:szCs w:val="24"/>
                <w:highlight w:val="white"/>
                <w:lang w:val="en-US" w:eastAsia="zh-CN" w:bidi="ar-SA"/>
              </w:rPr>
              <w:t>/</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hint="eastAsia" w:ascii="Times New Roman" w:hAnsi="Times New Roman"/>
                <w:color w:val="0000FF"/>
                <w:kern w:val="2"/>
                <w:sz w:val="24"/>
                <w:szCs w:val="24"/>
                <w:highlight w:val="green"/>
                <w:lang w:val="en-US" w:eastAsia="zh-CN" w:bidi="ar-SA"/>
              </w:rPr>
            </w:pPr>
            <w:bookmarkStart w:id="46" w:name="EB1d60f60ff4a64f28a49cd632a9103758"/>
            <w:r>
              <w:rPr>
                <w:rFonts w:hint="eastAsia" w:ascii="Times New Roman" w:hAnsi="Times New Roman"/>
                <w:color w:val="0000FF"/>
                <w:kern w:val="2"/>
                <w:sz w:val="24"/>
                <w:szCs w:val="24"/>
                <w:highlight w:val="white"/>
                <w:lang w:val="en-US" w:eastAsia="zh-CN" w:bidi="ar-SA"/>
              </w:rPr>
              <w:t>/</w:t>
            </w:r>
            <w:bookmarkEnd w:id="46"/>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hint="eastAsia" w:ascii="Times New Roman" w:hAnsi="Times New Roman"/>
                <w:color w:val="0000FF"/>
                <w:kern w:val="2"/>
                <w:sz w:val="24"/>
                <w:szCs w:val="24"/>
                <w:highlight w:val="green"/>
                <w:lang w:val="en-US" w:eastAsia="zh-CN" w:bidi="ar-SA"/>
              </w:rPr>
            </w:pPr>
            <w:bookmarkStart w:id="47" w:name="EB6771398be4f04b6f94b061ecac135e3d"/>
            <w:r>
              <w:rPr>
                <w:rFonts w:hint="eastAsia" w:ascii="Times New Roman" w:hAnsi="Times New Roman"/>
                <w:color w:val="0000FF"/>
                <w:kern w:val="2"/>
                <w:sz w:val="24"/>
                <w:szCs w:val="24"/>
                <w:highlight w:val="white"/>
                <w:lang w:val="en-US" w:eastAsia="zh-CN" w:bidi="ar-SA"/>
              </w:rPr>
              <w:t>/</w:t>
            </w:r>
            <w:bookmarkEnd w:id="47"/>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hint="eastAsia" w:ascii="Times New Roman" w:hAnsi="Times New Roman"/>
                <w:color w:val="0000FF"/>
                <w:kern w:val="2"/>
                <w:sz w:val="24"/>
                <w:szCs w:val="24"/>
                <w:highlight w:val="green"/>
                <w:lang w:val="en-US" w:eastAsia="zh-CN" w:bidi="ar-SA"/>
              </w:rPr>
            </w:pPr>
            <w:bookmarkStart w:id="48" w:name="EBed09592567d34cf6b720675d36427a62"/>
            <w:r>
              <w:rPr>
                <w:rFonts w:hint="eastAsia" w:ascii="Times New Roman" w:hAnsi="Times New Roman"/>
                <w:color w:val="0000FF"/>
                <w:kern w:val="2"/>
                <w:sz w:val="24"/>
                <w:szCs w:val="24"/>
                <w:highlight w:val="white"/>
                <w:lang w:val="en-US" w:eastAsia="zh-CN" w:bidi="ar-SA"/>
              </w:rPr>
              <w:t>/</w:t>
            </w:r>
            <w:bookmarkEnd w:id="48"/>
          </w:p>
        </w:tc>
      </w:tr>
    </w:tbl>
    <w:p>
      <w:pPr>
        <w:rPr>
          <w:rFonts w:hint="eastAsia"/>
          <w:color w:val="000080"/>
          <w:sz w:val="20"/>
          <w:highlight w:val="cyan"/>
        </w:rPr>
      </w:pPr>
      <w:bookmarkStart w:id="49" w:name="EB69251e24f8aa4e7d827b36601e0b37b5"/>
      <w:r>
        <w:rPr>
          <w:rFonts w:hint="eastAsia"/>
          <w:color w:val="000080"/>
          <w:sz w:val="20"/>
          <w:highlight w:val="white"/>
        </w:rPr>
        <w:t xml:space="preserve"> </w:t>
      </w:r>
      <w:bookmarkEnd w:id="49"/>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r>
        <w:rPr>
          <w:rFonts w:ascii="Times New Roman" w:hAnsi="Times New Roman" w:eastAsia="黑体"/>
          <w:sz w:val="24"/>
          <w:szCs w:val="24"/>
        </w:rPr>
        <w:t>附件2：评标办法</w:t>
      </w:r>
    </w:p>
    <w:p>
      <w:pPr>
        <w:adjustRightInd w:val="0"/>
        <w:spacing w:before="240" w:after="60" w:line="420" w:lineRule="atLeast"/>
        <w:jc w:val="center"/>
        <w:textAlignment w:val="baseline"/>
        <w:outlineLvl w:val="0"/>
        <w:rPr>
          <w:rFonts w:ascii="Arial" w:hAnsi="Arial"/>
          <w:b/>
          <w:kern w:val="0"/>
          <w:sz w:val="32"/>
          <w:szCs w:val="20"/>
        </w:rPr>
      </w:pPr>
      <w:bookmarkStart w:id="50" w:name="_Toc20149128"/>
      <w:bookmarkStart w:id="51" w:name="_Toc234832942"/>
      <w:bookmarkStart w:id="52" w:name="_Toc509993881"/>
      <w:bookmarkStart w:id="53" w:name="_Toc256000004"/>
      <w:bookmarkStart w:id="54" w:name="_Toc17549189"/>
      <w:bookmarkStart w:id="55" w:name="_Toc30402381"/>
      <w:r>
        <w:rPr>
          <w:rFonts w:ascii="Arial" w:hAnsi="Arial"/>
          <w:b/>
          <w:kern w:val="0"/>
          <w:sz w:val="32"/>
          <w:szCs w:val="20"/>
          <w:highlight w:val="white"/>
        </w:rPr>
        <w:t>评标办法</w:t>
      </w:r>
      <w:r>
        <w:rPr>
          <w:rFonts w:ascii="Arial" w:hAnsi="Arial"/>
          <w:b/>
          <w:kern w:val="0"/>
          <w:sz w:val="32"/>
          <w:szCs w:val="20"/>
          <w:vertAlign w:val="superscript"/>
        </w:rPr>
        <w:footnoteReference w:id="0"/>
      </w:r>
      <w:bookmarkEnd w:id="50"/>
      <w:bookmarkEnd w:id="51"/>
      <w:bookmarkEnd w:id="52"/>
      <w:bookmarkEnd w:id="53"/>
      <w:bookmarkEnd w:id="54"/>
      <w:bookmarkEnd w:id="55"/>
    </w:p>
    <w:p>
      <w:pPr>
        <w:keepNext/>
        <w:keepLines/>
        <w:spacing w:before="480" w:after="240" w:line="380" w:lineRule="atLeast"/>
        <w:outlineLvl w:val="1"/>
        <w:rPr>
          <w:rFonts w:ascii="Times New Roman" w:hAnsi="Times New Roman" w:eastAsia="黑体"/>
          <w:bCs/>
          <w:color w:val="000000"/>
          <w:kern w:val="44"/>
          <w:sz w:val="24"/>
          <w:szCs w:val="24"/>
        </w:rPr>
      </w:pPr>
      <w:bookmarkStart w:id="56" w:name="_Toc17549190"/>
      <w:bookmarkStart w:id="57" w:name="_Toc509993882"/>
      <w:bookmarkStart w:id="58" w:name="_Toc234832943"/>
      <w:r>
        <w:rPr>
          <w:rFonts w:ascii="Times New Roman" w:hAnsi="Times New Roman" w:eastAsia="黑体"/>
          <w:bCs/>
          <w:color w:val="000000"/>
          <w:kern w:val="44"/>
          <w:sz w:val="24"/>
          <w:szCs w:val="24"/>
          <w:highlight w:val="white"/>
        </w:rPr>
        <w:t>评标办法前附表</w:t>
      </w:r>
      <w:r>
        <w:rPr>
          <w:rFonts w:ascii="Times New Roman" w:hAnsi="Times New Roman" w:eastAsia="黑体"/>
          <w:b/>
          <w:bCs/>
          <w:color w:val="000000"/>
          <w:kern w:val="44"/>
          <w:sz w:val="28"/>
          <w:szCs w:val="28"/>
          <w:vertAlign w:val="superscript"/>
        </w:rPr>
        <w:footnoteReference w:id="1"/>
      </w:r>
      <w:bookmarkEnd w:id="56"/>
      <w:bookmarkEnd w:id="57"/>
      <w:bookmarkEnd w:id="58"/>
    </w:p>
    <w:tbl>
      <w:tblPr>
        <w:tblStyle w:val="7"/>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pPr>
              <w:spacing w:line="380" w:lineRule="atLeast"/>
              <w:jc w:val="center"/>
              <w:rPr>
                <w:rFonts w:ascii="Times New Roman" w:hAnsi="Times New Roman"/>
                <w:b/>
                <w:color w:val="000000"/>
                <w:szCs w:val="21"/>
              </w:rPr>
            </w:pPr>
            <w:r>
              <w:rPr>
                <w:rFonts w:ascii="Times New Roman" w:hAnsi="Times New Roman"/>
                <w:b/>
                <w:color w:val="000000"/>
                <w:szCs w:val="21"/>
                <w:highlight w:val="white"/>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rFonts w:ascii="Times New Roman" w:hAnsi="Times New Roman"/>
                <w:b/>
                <w:color w:val="000000"/>
                <w:spacing w:val="4"/>
                <w:szCs w:val="21"/>
              </w:rPr>
            </w:pPr>
            <w:r>
              <w:rPr>
                <w:rFonts w:ascii="Times New Roman" w:hAnsi="Times New Roman"/>
                <w:b/>
                <w:color w:val="000000"/>
                <w:spacing w:val="4"/>
                <w:szCs w:val="21"/>
                <w:highlight w:val="whit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380" w:lineRule="atLeast"/>
              <w:jc w:val="center"/>
              <w:rPr>
                <w:rFonts w:ascii="Times New Roman" w:hAnsi="Times New Roman"/>
                <w:color w:val="000000"/>
                <w:szCs w:val="21"/>
              </w:rPr>
            </w:pPr>
            <w:r>
              <w:rPr>
                <w:rFonts w:ascii="Times New Roman" w:hAnsi="Times New Roman"/>
                <w:color w:val="000000"/>
                <w:szCs w:val="21"/>
                <w:highlight w:val="white"/>
              </w:rPr>
              <w:t>1</w:t>
            </w:r>
          </w:p>
        </w:tc>
        <w:tc>
          <w:tcPr>
            <w:tcW w:w="1280" w:type="dxa"/>
            <w:tcBorders>
              <w:top w:val="single" w:color="auto" w:sz="4" w:space="0"/>
              <w:bottom w:val="single" w:color="auto" w:sz="4" w:space="0"/>
              <w:right w:val="single" w:color="auto" w:sz="4" w:space="0"/>
            </w:tcBorders>
            <w:vAlign w:val="center"/>
          </w:tcPr>
          <w:p>
            <w:pPr>
              <w:spacing w:line="380" w:lineRule="atLeast"/>
              <w:jc w:val="center"/>
              <w:rPr>
                <w:rFonts w:ascii="Times New Roman" w:hAnsi="Times New Roman"/>
                <w:color w:val="000000"/>
                <w:szCs w:val="21"/>
              </w:rPr>
            </w:pPr>
            <w:r>
              <w:rPr>
                <w:rFonts w:ascii="Times New Roman" w:hAnsi="Times New Roman"/>
                <w:color w:val="000000"/>
                <w:szCs w:val="21"/>
                <w:highlight w:val="white"/>
              </w:rPr>
              <w:t>评标方法</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20" w:firstLineChars="200"/>
              <w:rPr>
                <w:rFonts w:ascii="Times New Roman" w:hAnsi="Times New Roman"/>
                <w:color w:val="000000"/>
                <w:szCs w:val="21"/>
              </w:rPr>
            </w:pPr>
            <w:r>
              <w:rPr>
                <w:rFonts w:ascii="Times New Roman" w:hAnsi="Times New Roman"/>
                <w:color w:val="000000"/>
                <w:szCs w:val="21"/>
                <w:highlight w:val="white"/>
              </w:rPr>
              <w:t>综合评分相等时，评标委员会依次按照以下优先顺序推荐中标候选人或确定中标人：</w:t>
            </w:r>
          </w:p>
          <w:p>
            <w:pPr>
              <w:spacing w:line="360" w:lineRule="atLeast"/>
              <w:ind w:firstLine="420" w:firstLineChars="200"/>
              <w:rPr>
                <w:rFonts w:ascii="Times New Roman" w:hAnsi="Times New Roman"/>
                <w:color w:val="000000"/>
                <w:szCs w:val="21"/>
              </w:rPr>
            </w:pPr>
            <w:r>
              <w:rPr>
                <w:rFonts w:ascii="Times New Roman" w:hAnsi="Times New Roman"/>
                <w:color w:val="000000"/>
                <w:szCs w:val="21"/>
                <w:highlight w:val="white"/>
              </w:rPr>
              <w:t>（1）评标价低的投标人优先；</w:t>
            </w:r>
          </w:p>
          <w:p>
            <w:pPr>
              <w:spacing w:line="360" w:lineRule="atLeast"/>
              <w:ind w:firstLine="420" w:firstLineChars="200"/>
              <w:rPr>
                <w:rFonts w:ascii="Times New Roman" w:hAnsi="Times New Roman" w:eastAsia="黑体"/>
                <w:color w:val="000000"/>
                <w:szCs w:val="21"/>
              </w:rPr>
            </w:pPr>
            <w:r>
              <w:rPr>
                <w:rFonts w:ascii="Times New Roman" w:hAnsi="Times New Roman" w:eastAsia="黑体"/>
                <w:color w:val="000000"/>
                <w:szCs w:val="21"/>
                <w:highlight w:val="white"/>
              </w:rPr>
              <w:t>（2）被湖南省交通运输厅评为最近1年较高信用等级的投标人优先；</w:t>
            </w:r>
          </w:p>
          <w:p>
            <w:pPr>
              <w:spacing w:line="360" w:lineRule="atLeast"/>
              <w:ind w:firstLine="420" w:firstLineChars="200"/>
              <w:rPr>
                <w:rFonts w:ascii="Times New Roman" w:hAnsi="Times New Roman"/>
                <w:color w:val="000000"/>
                <w:szCs w:val="21"/>
              </w:rPr>
            </w:pPr>
            <w:r>
              <w:rPr>
                <w:rFonts w:ascii="Times New Roman" w:hAnsi="Times New Roman"/>
                <w:color w:val="000000"/>
                <w:szCs w:val="21"/>
                <w:highlight w:val="white"/>
              </w:rPr>
              <w:t>（3）商务和技术得分较高的投标人优先；</w:t>
            </w:r>
          </w:p>
          <w:p>
            <w:pPr>
              <w:spacing w:line="360" w:lineRule="atLeast"/>
              <w:ind w:firstLine="420" w:firstLineChars="200"/>
              <w:rPr>
                <w:rFonts w:ascii="Times New Roman" w:hAnsi="Times New Roman"/>
                <w:b/>
                <w:color w:val="000000"/>
                <w:szCs w:val="21"/>
              </w:rPr>
            </w:pPr>
            <w:r>
              <w:rPr>
                <w:rFonts w:ascii="Times New Roman" w:hAnsi="Times New Roman" w:eastAsia="黑体"/>
                <w:color w:val="000000"/>
                <w:szCs w:val="21"/>
                <w:highlight w:val="white"/>
              </w:rPr>
              <w:t>（4）随机摇号确定排序。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1" w:type="dxa"/>
            <w:gridSpan w:val="3"/>
            <w:tcBorders>
              <w:top w:val="single" w:color="auto" w:sz="4" w:space="0"/>
              <w:left w:val="nil"/>
              <w:bottom w:val="nil"/>
              <w:right w:val="nil"/>
            </w:tcBorders>
            <w:vAlign w:val="center"/>
          </w:tcPr>
          <w:p>
            <w:pPr>
              <w:rPr>
                <w:highlight w:val="red"/>
              </w:rPr>
            </w:pPr>
            <w:bookmarkStart w:id="59" w:name="EB18e56fd9d09c408c87d36a9122cde04e"/>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334"/>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kern w:val="0"/>
                    </w:rPr>
                  </w:pPr>
                  <w:r>
                    <w:rPr>
                      <w:rFonts w:ascii="宋体" w:hAnsi="宋体" w:cs="宋体"/>
                      <w:kern w:val="0"/>
                    </w:rPr>
                    <w:t>2.1.1</w:t>
                  </w:r>
                </w:p>
                <w:p>
                  <w:pPr>
                    <w:jc w:val="center"/>
                    <w:rPr>
                      <w:rFonts w:ascii="宋体" w:hAnsi="宋体" w:cs="宋体"/>
                    </w:rPr>
                  </w:pPr>
                  <w:r>
                    <w:rPr>
                      <w:rFonts w:ascii="宋体" w:hAnsi="宋体" w:cs="宋体"/>
                      <w:kern w:val="0"/>
                    </w:rPr>
                    <w:t>2.1.3</w:t>
                  </w:r>
                </w:p>
              </w:tc>
              <w:tc>
                <w:tcPr>
                  <w:tcW w:w="13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kern w:val="0"/>
                    </w:rPr>
                    <w:t>形式评审与响应性评审标准</w:t>
                  </w:r>
                </w:p>
              </w:tc>
              <w:tc>
                <w:tcPr>
                  <w:tcW w:w="600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left"/>
                    <w:rPr>
                      <w:rFonts w:ascii="宋体" w:hAnsi="宋体" w:cs="宋体"/>
                      <w:kern w:val="0"/>
                    </w:rPr>
                  </w:pPr>
                  <w:r>
                    <w:rPr>
                      <w:rFonts w:ascii="宋体" w:hAnsi="宋体" w:cs="宋体"/>
                      <w:kern w:val="0"/>
                    </w:rPr>
                    <w:t>第一个信封（商务及技术文件）评审标准：</w:t>
                  </w:r>
                </w:p>
                <w:p>
                  <w:pPr>
                    <w:jc w:val="left"/>
                    <w:rPr>
                      <w:rFonts w:ascii="宋体" w:hAnsi="宋体" w:cs="宋体"/>
                      <w:kern w:val="0"/>
                    </w:rPr>
                  </w:pPr>
                  <w:r>
                    <w:rPr>
                      <w:rFonts w:ascii="宋体" w:hAnsi="宋体" w:cs="宋体"/>
                      <w:kern w:val="0"/>
                    </w:rPr>
                    <w:t>(1)开标形式评审：</w:t>
                  </w:r>
                </w:p>
                <w:p>
                  <w:pPr>
                    <w:jc w:val="left"/>
                    <w:rPr>
                      <w:rFonts w:ascii="宋体" w:hAnsi="宋体" w:cs="宋体"/>
                      <w:kern w:val="0"/>
                    </w:rPr>
                  </w:pPr>
                  <w:r>
                    <w:rPr>
                      <w:rFonts w:ascii="宋体" w:hAnsi="宋体" w:cs="宋体"/>
                      <w:kern w:val="0"/>
                    </w:rPr>
                    <w:t>a. 开标后投标人投标函所列标段与招标标段一致；</w:t>
                  </w:r>
                </w:p>
                <w:p>
                  <w:pPr>
                    <w:jc w:val="left"/>
                    <w:rPr>
                      <w:rFonts w:ascii="宋体" w:hAnsi="宋体" w:cs="宋体"/>
                      <w:kern w:val="0"/>
                    </w:rPr>
                  </w:pPr>
                  <w:r>
                    <w:rPr>
                      <w:rFonts w:ascii="宋体" w:hAnsi="宋体" w:cs="宋体"/>
                      <w:kern w:val="0"/>
                    </w:rPr>
                    <w:t>b. 投标人在规定的时间内解密投标文件第一信封(商务和技术 文件)；</w:t>
                  </w:r>
                </w:p>
                <w:p>
                  <w:pPr>
                    <w:jc w:val="left"/>
                    <w:rPr>
                      <w:rFonts w:ascii="宋体" w:hAnsi="宋体" w:cs="宋体"/>
                      <w:kern w:val="0"/>
                    </w:rPr>
                  </w:pPr>
                  <w:r>
                    <w:rPr>
                      <w:rFonts w:ascii="宋体" w:hAnsi="宋体" w:cs="宋体"/>
                      <w:kern w:val="0"/>
                    </w:rPr>
                    <w:t>c. 不同投标人的投标文件编制识别码不一致(若一致则视为投 标人相互串通投标)；</w:t>
                  </w:r>
                </w:p>
                <w:p>
                  <w:pPr>
                    <w:jc w:val="left"/>
                    <w:rPr>
                      <w:rFonts w:ascii="宋体" w:hAnsi="宋体" w:cs="宋体"/>
                      <w:kern w:val="0"/>
                    </w:rPr>
                  </w:pPr>
                  <w:r>
                    <w:rPr>
                      <w:rFonts w:ascii="宋体" w:hAnsi="宋体" w:cs="宋体"/>
                      <w:kern w:val="0"/>
                    </w:rPr>
                    <w:t>d.不同投标人提交电子投标文件 IP 地址不相同(若相同时能合 理说明)；</w:t>
                  </w:r>
                </w:p>
                <w:p>
                  <w:pPr>
                    <w:jc w:val="left"/>
                    <w:rPr>
                      <w:rFonts w:ascii="宋体" w:hAnsi="宋体" w:cs="宋体"/>
                      <w:kern w:val="0"/>
                    </w:rPr>
                  </w:pPr>
                  <w:r>
                    <w:rPr>
                      <w:rFonts w:ascii="宋体" w:hAnsi="宋体" w:cs="宋体"/>
                      <w:kern w:val="0"/>
                    </w:rPr>
                    <w:t>e.不同投标人提交电子投标文件的 IP 地址不在某一特定区域 (若相同时能合理说明)；</w:t>
                  </w:r>
                </w:p>
                <w:p>
                  <w:pPr>
                    <w:jc w:val="left"/>
                    <w:rPr>
                      <w:rFonts w:ascii="宋体" w:hAnsi="宋体" w:cs="宋体"/>
                      <w:kern w:val="0"/>
                    </w:rPr>
                  </w:pPr>
                  <w:r>
                    <w:rPr>
                      <w:rFonts w:ascii="宋体" w:hAnsi="宋体" w:cs="宋体"/>
                      <w:kern w:val="0"/>
                    </w:rPr>
                    <w:t>f.电子投标文件硬件信息不相同(若相同时能合理说明)。</w:t>
                  </w:r>
                </w:p>
                <w:p>
                  <w:pPr>
                    <w:jc w:val="left"/>
                    <w:rPr>
                      <w:rFonts w:ascii="宋体" w:hAnsi="宋体" w:cs="宋体"/>
                      <w:kern w:val="0"/>
                    </w:rPr>
                  </w:pPr>
                  <w:r>
                    <w:rPr>
                      <w:rFonts w:ascii="宋体" w:hAnsi="宋体" w:cs="宋体"/>
                      <w:kern w:val="0"/>
                    </w:rPr>
                    <w:t>(2)投标文件按照招标文件规定的格式、内容填写， 字迹清晰可辨:</w:t>
                  </w:r>
                </w:p>
                <w:p>
                  <w:pPr>
                    <w:jc w:val="left"/>
                    <w:rPr>
                      <w:rFonts w:ascii="宋体" w:hAnsi="宋体" w:cs="宋体"/>
                      <w:kern w:val="0"/>
                    </w:rPr>
                  </w:pPr>
                  <w:r>
                    <w:rPr>
                      <w:rFonts w:ascii="宋体" w:hAnsi="宋体" w:cs="宋体"/>
                      <w:kern w:val="0"/>
                    </w:rPr>
                    <w:t>a.投标函按招标文件规定填报了项目名称、标段号、补遗书编 号(如有) 、勘察服务期限、工程质量要求、安全目标及环保目 标；</w:t>
                  </w:r>
                </w:p>
                <w:p>
                  <w:pPr>
                    <w:jc w:val="left"/>
                    <w:rPr>
                      <w:rFonts w:ascii="宋体" w:hAnsi="宋体" w:cs="宋体"/>
                      <w:kern w:val="0"/>
                    </w:rPr>
                  </w:pPr>
                  <w:r>
                    <w:rPr>
                      <w:rFonts w:ascii="宋体" w:hAnsi="宋体" w:cs="宋体"/>
                      <w:kern w:val="0"/>
                    </w:rPr>
                    <w:t>b.投标文件组成齐全完整，内容均按规定填写。</w:t>
                  </w:r>
                </w:p>
                <w:p>
                  <w:pPr>
                    <w:jc w:val="left"/>
                    <w:rPr>
                      <w:rFonts w:ascii="宋体" w:hAnsi="宋体" w:cs="宋体"/>
                      <w:kern w:val="0"/>
                    </w:rPr>
                  </w:pPr>
                  <w:r>
                    <w:rPr>
                      <w:rFonts w:ascii="宋体" w:hAnsi="宋体" w:cs="宋体"/>
                      <w:kern w:val="0"/>
                    </w:rPr>
                    <w:t>(3)投标文件上法定代表人的签章、投标人的单位章盖章齐全，符合投标人须知第3.7.3项的规定。</w:t>
                  </w:r>
                </w:p>
                <w:p>
                  <w:pPr>
                    <w:jc w:val="left"/>
                    <w:rPr>
                      <w:rFonts w:ascii="宋体" w:hAnsi="宋体" w:cs="宋体"/>
                      <w:kern w:val="0"/>
                    </w:rPr>
                  </w:pPr>
                </w:p>
                <w:p>
                  <w:pPr>
                    <w:jc w:val="left"/>
                    <w:rPr>
                      <w:rFonts w:ascii="宋体" w:hAnsi="宋体" w:cs="宋体"/>
                      <w:kern w:val="0"/>
                    </w:rPr>
                  </w:pPr>
                  <w:r>
                    <w:rPr>
                      <w:rFonts w:ascii="宋体" w:hAnsi="宋体" w:cs="宋体"/>
                      <w:kern w:val="0"/>
                    </w:rPr>
                    <w:t>(4)投标人按照招标文件的规定提供了投标保证金:</w:t>
                  </w:r>
                </w:p>
                <w:p>
                  <w:pPr>
                    <w:jc w:val="left"/>
                    <w:rPr>
                      <w:rFonts w:ascii="宋体" w:hAnsi="宋体" w:cs="宋体"/>
                      <w:kern w:val="0"/>
                    </w:rPr>
                  </w:pPr>
                  <w:r>
                    <w:rPr>
                      <w:rFonts w:ascii="宋体" w:hAnsi="宋体" w:cs="宋体"/>
                      <w:kern w:val="0"/>
                    </w:rPr>
                    <w:t>a.投标保证金金额符合招标文件规定的金额，且投标保证金有 效期与投标有效期一致；</w:t>
                  </w:r>
                </w:p>
                <w:p>
                  <w:pPr>
                    <w:jc w:val="left"/>
                    <w:rPr>
                      <w:rFonts w:ascii="宋体" w:hAnsi="宋体" w:cs="宋体"/>
                      <w:kern w:val="0"/>
                    </w:rPr>
                  </w:pPr>
                  <w:r>
                    <w:rPr>
                      <w:rFonts w:ascii="宋体" w:hAnsi="宋体" w:cs="宋体"/>
                      <w:kern w:val="0"/>
                    </w:rPr>
                    <w:t>b.若投标保证金采用现金或支票形式提交，投标人应在递交投 标文件截止时间之前，将投标保证金由投标人的基本账户一次 性转入招标人指定账户；</w:t>
                  </w:r>
                </w:p>
                <w:p>
                  <w:pPr>
                    <w:jc w:val="left"/>
                    <w:rPr>
                      <w:rFonts w:ascii="宋体" w:hAnsi="宋体" w:cs="宋体"/>
                      <w:kern w:val="0"/>
                    </w:rPr>
                  </w:pPr>
                  <w:r>
                    <w:rPr>
                      <w:rFonts w:ascii="宋体" w:hAnsi="宋体" w:cs="宋体"/>
                      <w:kern w:val="0"/>
                    </w:rPr>
                    <w:t>c.若投标保证金采用银行保函形式提交，银行保函的格式、开具保函的银行及时效均满足招标文件要求，且在递交投标文件 截止时间之前向招标人提交了银行保函和银行查询授权书原件。若保函仅加盖银行业务公章，提交了银行出具的同等法律 效力证明的原件。</w:t>
                  </w:r>
                </w:p>
                <w:p>
                  <w:pPr>
                    <w:jc w:val="left"/>
                    <w:rPr>
                      <w:rFonts w:ascii="宋体" w:hAnsi="宋体" w:cs="宋体"/>
                      <w:kern w:val="0"/>
                    </w:rPr>
                  </w:pPr>
                  <w:r>
                    <w:rPr>
                      <w:rFonts w:ascii="宋体" w:hAnsi="宋体" w:cs="宋体"/>
                      <w:kern w:val="0"/>
                    </w:rPr>
                    <w:t>(5)投标人法定代表人授权委托代理人签署投标文件的，提交了授权委托书，且授权人和被授权人均在授权委托书上签名。</w:t>
                  </w:r>
                </w:p>
                <w:p>
                  <w:pPr>
                    <w:jc w:val="left"/>
                    <w:rPr>
                      <w:rFonts w:ascii="宋体" w:hAnsi="宋体" w:cs="宋体"/>
                      <w:kern w:val="0"/>
                    </w:rPr>
                  </w:pPr>
                </w:p>
                <w:p>
                  <w:pPr>
                    <w:jc w:val="left"/>
                    <w:rPr>
                      <w:rFonts w:ascii="宋体" w:hAnsi="宋体" w:cs="宋体"/>
                      <w:kern w:val="0"/>
                    </w:rPr>
                  </w:pPr>
                  <w:r>
                    <w:rPr>
                      <w:rFonts w:ascii="宋体" w:hAnsi="宋体" w:cs="宋体"/>
                      <w:kern w:val="0"/>
                    </w:rPr>
                    <w:t>(6)投标人法定代表人亲自签署投标文件的，提供了法定代表人身份证明，且法定代表人在法定代表人身份证明上签名。</w:t>
                  </w:r>
                </w:p>
                <w:p>
                  <w:pPr>
                    <w:jc w:val="left"/>
                    <w:rPr>
                      <w:rFonts w:ascii="宋体" w:hAnsi="宋体" w:cs="宋体"/>
                      <w:kern w:val="0"/>
                    </w:rPr>
                  </w:pPr>
                </w:p>
                <w:p>
                  <w:pPr>
                    <w:jc w:val="left"/>
                    <w:rPr>
                      <w:rFonts w:ascii="宋体" w:hAnsi="宋体" w:cs="宋体"/>
                      <w:kern w:val="0"/>
                    </w:rPr>
                  </w:pPr>
                  <w:r>
                    <w:rPr>
                      <w:rFonts w:ascii="宋体" w:hAnsi="宋体" w:cs="宋体"/>
                      <w:kern w:val="0"/>
                    </w:rPr>
                    <w:t>(7)同一投标人未提交两个以上不同的投标文件，但招标文件要 求提交备选投标的除外。</w:t>
                  </w:r>
                </w:p>
                <w:p>
                  <w:pPr>
                    <w:jc w:val="left"/>
                    <w:rPr>
                      <w:rFonts w:ascii="宋体" w:hAnsi="宋体" w:cs="宋体"/>
                      <w:kern w:val="0"/>
                    </w:rPr>
                  </w:pPr>
                </w:p>
                <w:p>
                  <w:pPr>
                    <w:jc w:val="left"/>
                    <w:rPr>
                      <w:rFonts w:ascii="宋体" w:hAnsi="宋体" w:cs="宋体"/>
                      <w:kern w:val="0"/>
                    </w:rPr>
                  </w:pPr>
                  <w:r>
                    <w:rPr>
                      <w:rFonts w:ascii="宋体" w:hAnsi="宋体" w:cs="宋体"/>
                      <w:kern w:val="0"/>
                    </w:rPr>
                    <w:t>(8)投标文件中未出现有关投标报价的内容。</w:t>
                  </w:r>
                </w:p>
                <w:p>
                  <w:pPr>
                    <w:jc w:val="left"/>
                    <w:rPr>
                      <w:rFonts w:ascii="宋体" w:hAnsi="宋体" w:cs="宋体"/>
                      <w:kern w:val="0"/>
                    </w:rPr>
                  </w:pPr>
                </w:p>
                <w:p>
                  <w:pPr>
                    <w:jc w:val="left"/>
                    <w:rPr>
                      <w:rFonts w:ascii="宋体" w:hAnsi="宋体" w:cs="宋体"/>
                      <w:kern w:val="0"/>
                    </w:rPr>
                  </w:pPr>
                  <w:r>
                    <w:rPr>
                      <w:rFonts w:ascii="宋体" w:hAnsi="宋体" w:cs="宋体"/>
                      <w:kern w:val="0"/>
                    </w:rPr>
                    <w:t>(9)投标文件载明的招标项目完成期限符合招标文件规定。</w:t>
                  </w:r>
                </w:p>
                <w:p>
                  <w:pPr>
                    <w:jc w:val="left"/>
                    <w:rPr>
                      <w:rFonts w:ascii="宋体" w:hAnsi="宋体" w:cs="宋体"/>
                      <w:kern w:val="0"/>
                    </w:rPr>
                  </w:pPr>
                </w:p>
                <w:p>
                  <w:pPr>
                    <w:jc w:val="left"/>
                    <w:rPr>
                      <w:rFonts w:ascii="宋体" w:hAnsi="宋体" w:cs="宋体"/>
                      <w:kern w:val="0"/>
                    </w:rPr>
                  </w:pPr>
                  <w:r>
                    <w:rPr>
                      <w:rFonts w:ascii="宋体" w:hAnsi="宋体" w:cs="宋体"/>
                      <w:kern w:val="0"/>
                    </w:rPr>
                    <w:t>(10)投标文件对招标文件的实质性要求和条件作出响应。</w:t>
                  </w:r>
                </w:p>
                <w:p>
                  <w:pPr>
                    <w:jc w:val="left"/>
                    <w:rPr>
                      <w:rFonts w:ascii="宋体" w:hAnsi="宋体" w:cs="宋体"/>
                      <w:kern w:val="0"/>
                    </w:rPr>
                  </w:pPr>
                </w:p>
                <w:p>
                  <w:pPr>
                    <w:jc w:val="left"/>
                    <w:rPr>
                      <w:rFonts w:ascii="宋体" w:hAnsi="宋体" w:cs="宋体"/>
                      <w:kern w:val="0"/>
                    </w:rPr>
                  </w:pPr>
                  <w:r>
                    <w:rPr>
                      <w:rFonts w:ascii="宋体" w:hAnsi="宋体" w:cs="宋体"/>
                      <w:kern w:val="0"/>
                    </w:rPr>
                    <w:t>(11)权利义务符合招标文件规定：</w:t>
                  </w:r>
                </w:p>
                <w:p>
                  <w:pPr>
                    <w:jc w:val="left"/>
                    <w:rPr>
                      <w:rFonts w:ascii="宋体" w:hAnsi="宋体" w:cs="宋体"/>
                      <w:kern w:val="0"/>
                    </w:rPr>
                  </w:pPr>
                  <w:r>
                    <w:rPr>
                      <w:rFonts w:ascii="宋体" w:hAnsi="宋体" w:cs="宋体"/>
                      <w:kern w:val="0"/>
                    </w:rPr>
                    <w:t>a.投标人应接受招标文件规定的风险划分原则， 未提出新的风 险</w:t>
                  </w:r>
                </w:p>
                <w:p>
                  <w:pPr>
                    <w:jc w:val="left"/>
                    <w:rPr>
                      <w:rFonts w:ascii="宋体" w:hAnsi="宋体" w:cs="宋体"/>
                      <w:kern w:val="0"/>
                    </w:rPr>
                  </w:pPr>
                  <w:r>
                    <w:rPr>
                      <w:rFonts w:ascii="宋体" w:hAnsi="宋体" w:cs="宋体"/>
                      <w:kern w:val="0"/>
                    </w:rPr>
                    <w:t>划分办法；</w:t>
                  </w:r>
                </w:p>
                <w:p>
                  <w:pPr>
                    <w:jc w:val="left"/>
                    <w:rPr>
                      <w:rFonts w:ascii="宋体" w:hAnsi="宋体" w:cs="宋体"/>
                      <w:kern w:val="0"/>
                    </w:rPr>
                  </w:pPr>
                  <w:r>
                    <w:rPr>
                      <w:rFonts w:ascii="宋体" w:hAnsi="宋体" w:cs="宋体"/>
                      <w:kern w:val="0"/>
                    </w:rPr>
                    <w:t>b.投标人未增加委托人的责任范围，或减少投标人义务； c.投标人未提出不同的支付办法；</w:t>
                  </w:r>
                </w:p>
                <w:p>
                  <w:pPr>
                    <w:jc w:val="left"/>
                    <w:rPr>
                      <w:rFonts w:ascii="宋体" w:hAnsi="宋体" w:cs="宋体"/>
                      <w:kern w:val="0"/>
                    </w:rPr>
                  </w:pPr>
                  <w:r>
                    <w:rPr>
                      <w:rFonts w:ascii="宋体" w:hAnsi="宋体" w:cs="宋体"/>
                      <w:kern w:val="0"/>
                    </w:rPr>
                    <w:t>d.投标人对合同纠纷、事故处理办法未提出异议；</w:t>
                  </w:r>
                </w:p>
                <w:p>
                  <w:pPr>
                    <w:jc w:val="left"/>
                    <w:rPr>
                      <w:rFonts w:ascii="宋体" w:hAnsi="宋体" w:cs="宋体"/>
                      <w:kern w:val="0"/>
                    </w:rPr>
                  </w:pPr>
                  <w:r>
                    <w:rPr>
                      <w:rFonts w:ascii="宋体" w:hAnsi="宋体" w:cs="宋体"/>
                      <w:kern w:val="0"/>
                    </w:rPr>
                    <w:t>e.投标人在投标活动中无欺诈行为；</w:t>
                  </w:r>
                </w:p>
                <w:p>
                  <w:pPr>
                    <w:jc w:val="left"/>
                    <w:rPr>
                      <w:rFonts w:ascii="宋体" w:hAnsi="宋体" w:cs="宋体"/>
                      <w:kern w:val="0"/>
                    </w:rPr>
                  </w:pPr>
                  <w:r>
                    <w:rPr>
                      <w:rFonts w:ascii="宋体" w:hAnsi="宋体" w:cs="宋体"/>
                      <w:kern w:val="0"/>
                    </w:rPr>
                    <w:t>f.投标人未对合同条款有重要保留。</w:t>
                  </w:r>
                </w:p>
                <w:p>
                  <w:pPr>
                    <w:jc w:val="left"/>
                    <w:rPr>
                      <w:rFonts w:ascii="宋体" w:hAnsi="宋体" w:cs="宋体"/>
                    </w:rPr>
                  </w:pPr>
                  <w:r>
                    <w:rPr>
                      <w:rFonts w:ascii="宋体" w:hAnsi="宋体" w:eastAsia="宋体" w:cs="宋体"/>
                      <w:b w:val="0"/>
                      <w:kern w:val="2"/>
                      <w:sz w:val="21"/>
                      <w:szCs w:val="22"/>
                      <w:lang w:val="en-US" w:eastAsia="zh-CN" w:bidi="ar-SA"/>
                    </w:rPr>
                    <w:t>(12)投标人参与投标的标段数不超过可投标标段数和（或）本次相应招标工程类别的标段总数。</w:t>
                  </w:r>
                </w:p>
              </w:tc>
            </w:tr>
            <w:bookmarkEnd w:id="59"/>
          </w:tbl>
          <w:p>
            <w:pPr>
              <w:rPr>
                <w:color w:val="000080"/>
                <w:sz w:val="20"/>
                <w:highlight w:val="white"/>
              </w:rPr>
            </w:pPr>
          </w:p>
          <w:p>
            <w:pPr>
              <w:rPr>
                <w:highlight w:val="red"/>
              </w:rPr>
            </w:pPr>
            <w:bookmarkStart w:id="60" w:name="EB49a68601c16a4c3496c5dd5b499d40af"/>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333"/>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2.1.1</w:t>
                  </w:r>
                </w:p>
                <w:p>
                  <w:pPr>
                    <w:jc w:val="center"/>
                    <w:rPr>
                      <w:rFonts w:ascii="宋体" w:hAnsi="宋体" w:cs="宋体"/>
                    </w:rPr>
                  </w:pPr>
                  <w:r>
                    <w:rPr>
                      <w:rFonts w:ascii="宋体" w:hAnsi="宋体" w:cs="宋体"/>
                    </w:rPr>
                    <w:t>2.1.3</w:t>
                  </w:r>
                </w:p>
              </w:tc>
              <w:tc>
                <w:tcPr>
                  <w:tcW w:w="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形式评审与响应性评审标准</w:t>
                  </w:r>
                </w:p>
              </w:tc>
              <w:tc>
                <w:tcPr>
                  <w:tcW w:w="36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left"/>
                    <w:rPr>
                      <w:rFonts w:ascii="宋体" w:hAnsi="宋体" w:cs="宋体"/>
                    </w:rPr>
                  </w:pPr>
                  <w:r>
                    <w:rPr>
                      <w:rFonts w:ascii="宋体" w:hAnsi="宋体" w:cs="宋体"/>
                    </w:rPr>
                    <w:t>第二个信封（报价文件）评审标准：</w:t>
                  </w:r>
                </w:p>
                <w:p>
                  <w:pPr>
                    <w:jc w:val="left"/>
                    <w:rPr>
                      <w:rFonts w:ascii="宋体" w:hAnsi="宋体" w:cs="宋体"/>
                    </w:rPr>
                  </w:pPr>
                  <w:r>
                    <w:rPr>
                      <w:rFonts w:ascii="宋体" w:hAnsi="宋体" w:cs="宋体"/>
                    </w:rPr>
                    <w:t>(1)开标形式性评审：</w:t>
                  </w:r>
                </w:p>
                <w:p>
                  <w:pPr>
                    <w:jc w:val="left"/>
                    <w:rPr>
                      <w:rFonts w:ascii="宋体" w:hAnsi="宋体" w:cs="宋体"/>
                    </w:rPr>
                  </w:pPr>
                  <w:r>
                    <w:rPr>
                      <w:rFonts w:ascii="宋体" w:hAnsi="宋体" w:cs="宋体"/>
                    </w:rPr>
                    <w:t>a.投标函上填写投标总价；</w:t>
                  </w:r>
                </w:p>
                <w:p>
                  <w:pPr>
                    <w:jc w:val="left"/>
                    <w:rPr>
                      <w:rFonts w:ascii="宋体" w:hAnsi="宋体" w:cs="宋体"/>
                    </w:rPr>
                  </w:pPr>
                  <w:r>
                    <w:rPr>
                      <w:rFonts w:ascii="宋体" w:hAnsi="宋体" w:cs="宋体"/>
                    </w:rPr>
                    <w:t>b.投标人投标函所列标段与招标标段一致；</w:t>
                  </w:r>
                </w:p>
                <w:p>
                  <w:pPr>
                    <w:jc w:val="left"/>
                    <w:rPr>
                      <w:rFonts w:ascii="宋体" w:hAnsi="宋体" w:cs="宋体"/>
                    </w:rPr>
                  </w:pPr>
                  <w:r>
                    <w:rPr>
                      <w:rFonts w:ascii="宋体" w:hAnsi="宋体" w:cs="宋体"/>
                    </w:rPr>
                    <w:t>c.投标报价未超出招标人公布的相应部分最高投标限价(如有)；</w:t>
                  </w:r>
                </w:p>
                <w:p>
                  <w:pPr>
                    <w:jc w:val="left"/>
                    <w:rPr>
                      <w:rFonts w:ascii="宋体" w:hAnsi="宋体" w:cs="宋体"/>
                    </w:rPr>
                  </w:pPr>
                  <w:r>
                    <w:rPr>
                      <w:rFonts w:ascii="宋体" w:hAnsi="宋体" w:cs="宋体"/>
                    </w:rPr>
                    <w:t>d. 投标人在规定时间内进行解密投标文件第二信封(报价文件)；</w:t>
                  </w:r>
                </w:p>
                <w:p>
                  <w:pPr>
                    <w:jc w:val="left"/>
                    <w:rPr>
                      <w:rFonts w:ascii="宋体" w:hAnsi="宋体" w:cs="宋体"/>
                    </w:rPr>
                  </w:pPr>
                  <w:r>
                    <w:rPr>
                      <w:rFonts w:ascii="宋体" w:hAnsi="宋体" w:cs="宋体"/>
                    </w:rPr>
                    <w:t>e.不同投标人的电子投标文件编制识别码不一致(若一致则视投 标人相互串通投标)；</w:t>
                  </w:r>
                </w:p>
                <w:p>
                  <w:pPr>
                    <w:jc w:val="left"/>
                    <w:rPr>
                      <w:rFonts w:ascii="宋体" w:hAnsi="宋体" w:cs="宋体"/>
                    </w:rPr>
                  </w:pPr>
                  <w:r>
                    <w:rPr>
                      <w:rFonts w:ascii="宋体" w:hAnsi="宋体" w:cs="宋体"/>
                    </w:rPr>
                    <w:t>f.不同投标人提交电子投标文件 IP 地址不相同(若相同时能合理说明)；</w:t>
                  </w:r>
                </w:p>
                <w:p>
                  <w:pPr>
                    <w:jc w:val="left"/>
                    <w:rPr>
                      <w:rFonts w:ascii="宋体" w:hAnsi="宋体" w:cs="宋体"/>
                    </w:rPr>
                  </w:pPr>
                  <w:r>
                    <w:rPr>
                      <w:rFonts w:ascii="宋体" w:hAnsi="宋体" w:cs="宋体"/>
                    </w:rPr>
                    <w:t>g.不同投标人提交电子投标文件的 IP 地址不在某一特定区域 (若相同时能合理说明)；</w:t>
                  </w:r>
                </w:p>
                <w:p>
                  <w:pPr>
                    <w:jc w:val="left"/>
                    <w:rPr>
                      <w:rFonts w:ascii="宋体" w:hAnsi="宋体" w:cs="宋体"/>
                    </w:rPr>
                  </w:pPr>
                  <w:r>
                    <w:rPr>
                      <w:rFonts w:ascii="宋体" w:hAnsi="宋体" w:cs="宋体"/>
                    </w:rPr>
                    <w:t>h.电子投标文件硬件信息不相同(若相同时能合理说明)。</w:t>
                  </w:r>
                </w:p>
                <w:p>
                  <w:pPr>
                    <w:jc w:val="left"/>
                    <w:rPr>
                      <w:rFonts w:ascii="宋体" w:hAnsi="宋体" w:cs="宋体"/>
                    </w:rPr>
                  </w:pPr>
                  <w:r>
                    <w:rPr>
                      <w:rFonts w:ascii="宋体" w:hAnsi="宋体" w:cs="宋体"/>
                    </w:rPr>
                    <w:t>(2)投标文件按照招标文件规定的格式、内容填写，字迹清晰可辨，内容齐全完整：</w:t>
                  </w:r>
                </w:p>
                <w:p>
                  <w:pPr>
                    <w:jc w:val="left"/>
                    <w:rPr>
                      <w:rFonts w:ascii="宋体" w:hAnsi="宋体" w:cs="宋体"/>
                    </w:rPr>
                  </w:pPr>
                  <w:r>
                    <w:rPr>
                      <w:rFonts w:ascii="宋体" w:hAnsi="宋体" w:cs="宋体"/>
                    </w:rPr>
                    <w:t>a.投标函按招标文件规定填报了项目名称、标段号、补遗书编 号(如有) 、投标价(包括大写金额和小写金额)；</w:t>
                  </w:r>
                </w:p>
                <w:p>
                  <w:pPr>
                    <w:jc w:val="left"/>
                    <w:rPr>
                      <w:rFonts w:ascii="宋体" w:hAnsi="宋体" w:cs="宋体"/>
                    </w:rPr>
                  </w:pPr>
                  <w:r>
                    <w:rPr>
                      <w:rFonts w:ascii="宋体" w:hAnsi="宋体" w:cs="宋体"/>
                    </w:rPr>
                    <w:t>b.已标价报价清单说明文字与招标文件规定一致，未进行实质 性修改和删减；</w:t>
                  </w:r>
                </w:p>
                <w:p>
                  <w:pPr>
                    <w:jc w:val="left"/>
                    <w:rPr>
                      <w:rFonts w:ascii="宋体" w:hAnsi="宋体" w:cs="宋体"/>
                    </w:rPr>
                  </w:pPr>
                  <w:r>
                    <w:rPr>
                      <w:rFonts w:ascii="宋体" w:hAnsi="宋体" w:cs="宋体"/>
                    </w:rPr>
                    <w:t>c.投标文件组成齐全完整，内容均按规定填写。</w:t>
                  </w:r>
                </w:p>
                <w:p>
                  <w:pPr>
                    <w:jc w:val="left"/>
                    <w:rPr>
                      <w:rFonts w:ascii="宋体" w:hAnsi="宋体" w:cs="宋体"/>
                    </w:rPr>
                  </w:pPr>
                  <w:r>
                    <w:rPr>
                      <w:rFonts w:ascii="宋体" w:hAnsi="宋体" w:cs="宋体"/>
                    </w:rPr>
                    <w:t>(3)投标文件上法定代表人的签章、投标人的单位章盖章齐全，符合投标人须知第3.7.3项的规定。</w:t>
                  </w:r>
                </w:p>
                <w:p>
                  <w:pPr>
                    <w:jc w:val="left"/>
                    <w:rPr>
                      <w:rFonts w:ascii="宋体" w:hAnsi="宋体" w:cs="宋体"/>
                    </w:rPr>
                  </w:pPr>
                </w:p>
                <w:p>
                  <w:pPr>
                    <w:jc w:val="left"/>
                    <w:rPr>
                      <w:rFonts w:ascii="宋体" w:hAnsi="宋体" w:cs="宋体"/>
                    </w:rPr>
                  </w:pPr>
                  <w:r>
                    <w:rPr>
                      <w:rFonts w:ascii="宋体" w:hAnsi="宋体" w:cs="宋体"/>
                    </w:rPr>
                    <w:t>(4)投标报价未超过招标文件设定的相应部分的最高投标限价 (如有)。</w:t>
                  </w:r>
                </w:p>
                <w:p>
                  <w:pPr>
                    <w:jc w:val="left"/>
                    <w:rPr>
                      <w:rFonts w:ascii="宋体" w:hAnsi="宋体" w:cs="宋体"/>
                    </w:rPr>
                  </w:pPr>
                </w:p>
                <w:p>
                  <w:pPr>
                    <w:jc w:val="left"/>
                    <w:rPr>
                      <w:rFonts w:ascii="宋体" w:hAnsi="宋体" w:cs="宋体"/>
                    </w:rPr>
                  </w:pPr>
                  <w:r>
                    <w:rPr>
                      <w:rFonts w:ascii="宋体" w:hAnsi="宋体" w:cs="宋体"/>
                    </w:rPr>
                    <w:t>(5)投标报价的大写金额能够确定具体数值。</w:t>
                  </w:r>
                </w:p>
                <w:p>
                  <w:pPr>
                    <w:jc w:val="left"/>
                    <w:rPr>
                      <w:rFonts w:ascii="宋体" w:hAnsi="宋体" w:cs="宋体"/>
                    </w:rPr>
                  </w:pPr>
                </w:p>
                <w:p>
                  <w:pPr>
                    <w:jc w:val="left"/>
                    <w:rPr>
                      <w:rFonts w:ascii="宋体" w:hAnsi="宋体" w:cs="宋体"/>
                    </w:rPr>
                  </w:pPr>
                  <w:r>
                    <w:rPr>
                      <w:rFonts w:ascii="宋体" w:hAnsi="宋体" w:cs="宋体"/>
                    </w:rPr>
                    <w:t>(6)同一投标人未提交两个以上不同的投标报价，但招标文件要求提交备选投标的除外。</w:t>
                  </w:r>
                </w:p>
                <w:p>
                  <w:pPr>
                    <w:jc w:val="left"/>
                    <w:rPr>
                      <w:rFonts w:ascii="宋体" w:hAnsi="宋体" w:cs="宋体"/>
                    </w:rPr>
                  </w:pPr>
                </w:p>
                <w:p>
                  <w:pPr>
                    <w:jc w:val="left"/>
                    <w:rPr>
                      <w:rFonts w:ascii="宋体" w:hAnsi="宋体" w:cs="宋体"/>
                    </w:rPr>
                  </w:pPr>
                </w:p>
              </w:tc>
            </w:tr>
            <w:bookmarkEnd w:id="60"/>
          </w:tbl>
          <w:p>
            <w:pPr>
              <w:rPr>
                <w:color w:val="000080"/>
                <w:sz w:val="20"/>
                <w:highlight w:val="white"/>
              </w:rPr>
            </w:pPr>
          </w:p>
          <w:p>
            <w:pPr>
              <w:rPr>
                <w:highlight w:val="red"/>
              </w:rPr>
            </w:pPr>
            <w:bookmarkStart w:id="61" w:name="EB76f3d8ec73854c61b9114512c45e61dd"/>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333"/>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条款号</w:t>
                  </w:r>
                </w:p>
              </w:tc>
              <w:tc>
                <w:tcPr>
                  <w:tcW w:w="36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2.1.2</w:t>
                  </w:r>
                </w:p>
              </w:tc>
              <w:tc>
                <w:tcPr>
                  <w:tcW w:w="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资格评审标准</w:t>
                  </w:r>
                </w:p>
              </w:tc>
              <w:tc>
                <w:tcPr>
                  <w:tcW w:w="36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left"/>
                    <w:rPr>
                      <w:rFonts w:ascii="宋体" w:hAnsi="宋体" w:cs="宋体"/>
                    </w:rPr>
                  </w:pPr>
                  <w:r>
                    <w:rPr>
                      <w:rFonts w:ascii="宋体" w:hAnsi="宋体" w:cs="宋体"/>
                    </w:rPr>
                    <w:t>(1)投标人具备有效的营业执照、组织机构代码证、勘察资质证书、设计资质证书和基本账户开户许可证明材料</w:t>
                  </w:r>
                </w:p>
                <w:p>
                  <w:pPr>
                    <w:jc w:val="left"/>
                    <w:rPr>
                      <w:rFonts w:ascii="宋体" w:hAnsi="宋体" w:cs="宋体"/>
                    </w:rPr>
                  </w:pPr>
                  <w:r>
                    <w:rPr>
                      <w:rFonts w:ascii="宋体" w:hAnsi="宋体" w:cs="宋体"/>
                    </w:rPr>
                    <w:t>(2)投标人的资质等级符合招标文件规定</w:t>
                  </w:r>
                </w:p>
                <w:p>
                  <w:pPr>
                    <w:jc w:val="left"/>
                    <w:rPr>
                      <w:rFonts w:ascii="宋体" w:hAnsi="宋体" w:cs="宋体"/>
                    </w:rPr>
                  </w:pPr>
                  <w:r>
                    <w:rPr>
                      <w:rFonts w:ascii="宋体" w:hAnsi="宋体" w:cs="宋体"/>
                    </w:rPr>
                    <w:t>(3)投标人的类似项目业绩符合招标文件规定</w:t>
                  </w:r>
                </w:p>
                <w:p>
                  <w:pPr>
                    <w:jc w:val="left"/>
                    <w:rPr>
                      <w:rFonts w:ascii="宋体" w:hAnsi="宋体" w:cs="宋体"/>
                    </w:rPr>
                  </w:pPr>
                  <w:r>
                    <w:rPr>
                      <w:rFonts w:ascii="宋体" w:hAnsi="宋体" w:cs="宋体"/>
                    </w:rPr>
                    <w:t>(4)投标人的信誉符合招标文件规定</w:t>
                  </w:r>
                </w:p>
                <w:p>
                  <w:pPr>
                    <w:jc w:val="left"/>
                    <w:rPr>
                      <w:rFonts w:ascii="宋体" w:hAnsi="宋体" w:cs="宋体"/>
                    </w:rPr>
                  </w:pPr>
                  <w:r>
                    <w:rPr>
                      <w:rFonts w:ascii="宋体" w:hAnsi="宋体" w:cs="宋体"/>
                    </w:rPr>
                    <w:t>(5)投标人的项目负责人资格符合招标文件规定</w:t>
                  </w:r>
                </w:p>
                <w:p>
                  <w:pPr>
                    <w:jc w:val="left"/>
                    <w:rPr>
                      <w:rFonts w:ascii="宋体" w:hAnsi="宋体" w:cs="宋体"/>
                    </w:rPr>
                  </w:pPr>
                  <w:r>
                    <w:rPr>
                      <w:rFonts w:ascii="宋体" w:hAnsi="宋体" w:cs="宋体"/>
                    </w:rPr>
                    <w:t>(6)投标人的其他要求符合招标文件规定</w:t>
                  </w:r>
                </w:p>
                <w:p>
                  <w:pPr>
                    <w:jc w:val="left"/>
                    <w:rPr>
                      <w:rFonts w:ascii="宋体" w:hAnsi="宋体" w:cs="宋体"/>
                    </w:rPr>
                  </w:pPr>
                  <w:r>
                    <w:rPr>
                      <w:rFonts w:ascii="宋体" w:hAnsi="宋体" w:cs="宋体"/>
                    </w:rPr>
                    <w:t>(7)投标人不存在第二章“投标人须知”第1.4.3项或第1.4.4项规定的任何一种情形</w:t>
                  </w:r>
                </w:p>
                <w:p>
                  <w:pPr>
                    <w:jc w:val="left"/>
                    <w:rPr>
                      <w:rFonts w:ascii="宋体" w:hAnsi="宋体" w:cs="宋体"/>
                    </w:rPr>
                  </w:pPr>
                  <w:r>
                    <w:rPr>
                      <w:rFonts w:ascii="宋体" w:hAnsi="宋体" w:cs="宋体"/>
                    </w:rPr>
                    <w:t>(8)投标人符合第二章“投标人须知”第1.4.5项规定</w:t>
                  </w:r>
                </w:p>
                <w:p>
                  <w:pPr>
                    <w:jc w:val="left"/>
                    <w:rPr>
                      <w:rFonts w:ascii="宋体" w:hAnsi="宋体" w:cs="宋体"/>
                    </w:rPr>
                  </w:pPr>
                </w:p>
              </w:tc>
            </w:tr>
            <w:bookmarkEnd w:id="61"/>
          </w:tbl>
          <w:p>
            <w:pPr>
              <w:rPr>
                <w:color w:val="000080"/>
                <w:sz w:val="20"/>
                <w:highlight w:val="white"/>
              </w:rPr>
            </w:pPr>
          </w:p>
        </w:tc>
      </w:tr>
    </w:tbl>
    <w:p>
      <w:pPr>
        <w:rPr>
          <w:rFonts w:ascii="Times New Roman" w:hAnsi="Times New Roman"/>
          <w:color w:val="000000"/>
          <w:szCs w:val="24"/>
          <w:highlight w:val="red"/>
        </w:rPr>
      </w:pPr>
      <w:bookmarkStart w:id="62" w:name="EBe0cc0e1eedfa4cbfbd7a286747e1f76c"/>
    </w:p>
    <w:tbl>
      <w:tblPr>
        <w:tblStyle w:val="7"/>
        <w:tblW w:w="53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03"/>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23"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ascii="宋体" w:hAnsi="宋体" w:cs="宋体"/>
                <w:b/>
                <w:spacing w:val="0"/>
              </w:rPr>
            </w:pPr>
            <w:r>
              <w:rPr>
                <w:rFonts w:ascii="宋体" w:hAnsi="宋体" w:cs="宋体"/>
                <w:b/>
                <w:spacing w:val="22"/>
                <w:kern w:val="0"/>
              </w:rPr>
              <w:t>条款</w:t>
            </w:r>
            <w:r>
              <w:rPr>
                <w:rFonts w:ascii="宋体" w:hAnsi="宋体" w:cs="宋体"/>
                <w:b/>
                <w:spacing w:val="0"/>
                <w:kern w:val="0"/>
              </w:rPr>
              <w:t>号</w:t>
            </w:r>
          </w:p>
        </w:tc>
        <w:tc>
          <w:tcPr>
            <w:tcW w:w="995"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ascii="宋体" w:hAnsi="宋体" w:cs="宋体"/>
                <w:b/>
                <w:spacing w:val="0"/>
              </w:rPr>
            </w:pPr>
            <w:r>
              <w:rPr>
                <w:rFonts w:ascii="宋体" w:hAnsi="宋体" w:cs="宋体"/>
                <w:b/>
                <w:spacing w:val="122"/>
              </w:rPr>
              <w:t>条款内</w:t>
            </w:r>
            <w:r>
              <w:rPr>
                <w:rFonts w:ascii="宋体" w:hAnsi="宋体" w:cs="宋体"/>
                <w:b/>
                <w:spacing w:val="0"/>
              </w:rPr>
              <w:t>容</w:t>
            </w:r>
          </w:p>
        </w:tc>
        <w:tc>
          <w:tcPr>
            <w:tcW w:w="3480"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hint="default" w:ascii="宋体" w:hAnsi="宋体" w:eastAsia="宋体" w:cs="宋体"/>
                <w:b/>
                <w:spacing w:val="0"/>
                <w:lang w:val="en-US" w:eastAsia="zh-CN"/>
              </w:rPr>
            </w:pPr>
            <w:r>
              <w:rPr>
                <w:rFonts w:hint="eastAsia" w:ascii="宋体" w:hAnsi="宋体" w:cs="宋体"/>
                <w:b/>
                <w:spacing w:val="872"/>
                <w:lang w:val="en-US" w:eastAsia="zh-CN"/>
              </w:rPr>
              <w:t>编制内</w:t>
            </w:r>
            <w:r>
              <w:rPr>
                <w:rFonts w:hint="eastAsia" w:ascii="宋体" w:hAnsi="宋体" w:cs="宋体"/>
                <w:b/>
                <w:spacing w:val="0"/>
                <w:lang w:val="en-US" w:eastAsia="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523"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ascii="宋体" w:hAnsi="宋体" w:cs="宋体"/>
                <w:spacing w:val="0"/>
              </w:rPr>
            </w:pPr>
            <w:r>
              <w:rPr>
                <w:rFonts w:ascii="宋体" w:hAnsi="宋体" w:cs="宋体"/>
                <w:spacing w:val="49"/>
              </w:rPr>
              <w:t>2.2.</w:t>
            </w:r>
            <w:r>
              <w:rPr>
                <w:rFonts w:ascii="宋体" w:hAnsi="宋体" w:cs="宋体"/>
                <w:spacing w:val="0"/>
              </w:rPr>
              <w:t>1</w:t>
            </w:r>
          </w:p>
        </w:tc>
        <w:tc>
          <w:tcPr>
            <w:tcW w:w="995"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ascii="宋体" w:hAnsi="宋体" w:cs="宋体"/>
                <w:spacing w:val="0"/>
              </w:rPr>
            </w:pPr>
            <w:r>
              <w:rPr>
                <w:rFonts w:ascii="宋体" w:hAnsi="宋体" w:cs="宋体"/>
                <w:spacing w:val="122"/>
              </w:rPr>
              <w:t>分值构</w:t>
            </w:r>
            <w:r>
              <w:rPr>
                <w:rFonts w:ascii="宋体" w:hAnsi="宋体" w:cs="宋体"/>
                <w:spacing w:val="0"/>
              </w:rPr>
              <w:t>成</w:t>
            </w:r>
          </w:p>
          <w:p>
            <w:pPr>
              <w:jc w:val="center"/>
              <w:rPr>
                <w:rFonts w:ascii="宋体" w:hAnsi="宋体" w:cs="宋体"/>
                <w:spacing w:val="0"/>
              </w:rPr>
            </w:pPr>
            <w:r>
              <w:rPr>
                <w:rFonts w:ascii="宋体" w:hAnsi="宋体" w:cs="宋体"/>
                <w:spacing w:val="0"/>
              </w:rPr>
              <w:t>（总分100.0分）</w:t>
            </w:r>
          </w:p>
        </w:tc>
        <w:tc>
          <w:tcPr>
            <w:tcW w:w="3480"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left"/>
              <w:rPr>
                <w:rFonts w:ascii="宋体" w:hAnsi="宋体" w:cs="宋体"/>
                <w:spacing w:val="0"/>
              </w:rPr>
            </w:pPr>
            <w:r>
              <w:rPr>
                <w:rFonts w:ascii="宋体" w:hAnsi="宋体" w:cs="宋体"/>
                <w:spacing w:val="41"/>
              </w:rPr>
              <w:t>第一个信封（商务及技术文件）评分分值构成</w:t>
            </w:r>
            <w:r>
              <w:rPr>
                <w:rFonts w:ascii="宋体" w:hAnsi="宋体" w:cs="宋体"/>
                <w:spacing w:val="0"/>
              </w:rPr>
              <w:t>：</w:t>
            </w:r>
          </w:p>
          <w:p>
            <w:pPr>
              <w:jc w:val="left"/>
              <w:rPr>
                <w:rFonts w:ascii="宋体" w:hAnsi="宋体" w:cs="宋体"/>
                <w:spacing w:val="0"/>
              </w:rPr>
            </w:pPr>
            <w:r>
              <w:rPr>
                <w:rFonts w:ascii="宋体" w:hAnsi="宋体" w:cs="宋体"/>
                <w:spacing w:val="0"/>
              </w:rPr>
              <w:t>技术建议书：45.0分</w:t>
            </w:r>
          </w:p>
          <w:p>
            <w:pPr>
              <w:jc w:val="left"/>
              <w:rPr>
                <w:rFonts w:ascii="宋体" w:hAnsi="宋体" w:cs="宋体"/>
                <w:spacing w:val="0"/>
              </w:rPr>
            </w:pPr>
            <w:r>
              <w:rPr>
                <w:rFonts w:ascii="宋体" w:hAnsi="宋体" w:cs="宋体"/>
                <w:spacing w:val="0"/>
              </w:rPr>
              <w:t>主要人员：20.0分</w:t>
            </w:r>
          </w:p>
          <w:p>
            <w:pPr>
              <w:jc w:val="left"/>
              <w:rPr>
                <w:rFonts w:ascii="宋体" w:hAnsi="宋体" w:cs="宋体"/>
                <w:spacing w:val="0"/>
              </w:rPr>
            </w:pPr>
            <w:r>
              <w:rPr>
                <w:rFonts w:ascii="宋体" w:hAnsi="宋体" w:cs="宋体"/>
                <w:spacing w:val="0"/>
              </w:rPr>
              <w:t>业绩 ：20分</w:t>
            </w:r>
          </w:p>
          <w:p>
            <w:pPr>
              <w:jc w:val="left"/>
              <w:rPr>
                <w:rFonts w:ascii="宋体" w:hAnsi="宋体" w:cs="宋体"/>
                <w:spacing w:val="0"/>
              </w:rPr>
            </w:pPr>
            <w:r>
              <w:rPr>
                <w:rFonts w:ascii="宋体" w:hAnsi="宋体" w:cs="宋体"/>
                <w:spacing w:val="0"/>
              </w:rPr>
              <w:t>履约信誉 ：5分</w:t>
            </w:r>
          </w:p>
          <w:p>
            <w:pPr>
              <w:jc w:val="left"/>
              <w:rPr>
                <w:rFonts w:ascii="宋体" w:hAnsi="宋体" w:cs="宋体"/>
                <w:spacing w:val="0"/>
              </w:rPr>
            </w:pPr>
            <w:r>
              <w:rPr>
                <w:rFonts w:ascii="宋体" w:hAnsi="宋体" w:cs="宋体"/>
                <w:spacing w:val="0"/>
              </w:rPr>
              <w:t>……</w:t>
            </w:r>
          </w:p>
          <w:p>
            <w:pPr>
              <w:jc w:val="left"/>
              <w:rPr>
                <w:rFonts w:ascii="宋体" w:hAnsi="宋体" w:cs="宋体"/>
                <w:spacing w:val="0"/>
              </w:rPr>
            </w:pPr>
            <w:r>
              <w:rPr>
                <w:rFonts w:ascii="宋体" w:hAnsi="宋体" w:cs="宋体"/>
                <w:spacing w:val="0"/>
              </w:rPr>
              <w:t>第二个信封（报价文件）评分分值构成：</w:t>
            </w:r>
          </w:p>
          <w:p>
            <w:pPr>
              <w:jc w:val="left"/>
              <w:rPr>
                <w:rFonts w:ascii="宋体" w:hAnsi="宋体" w:cs="宋体"/>
                <w:spacing w:val="0"/>
              </w:rPr>
            </w:pPr>
            <w:r>
              <w:rPr>
                <w:rFonts w:ascii="宋体" w:hAnsi="宋体" w:cs="宋体"/>
                <w:spacing w:val="0"/>
              </w:rPr>
              <w:t>评标价 ：10.0 分</w:t>
            </w:r>
          </w:p>
        </w:tc>
      </w:tr>
      <w:bookmarkEnd w:id="62"/>
    </w:tbl>
    <w:p>
      <w:pPr>
        <w:rPr>
          <w:rFonts w:ascii="Times New Roman" w:hAnsi="Times New Roman"/>
          <w:color w:val="000080"/>
          <w:sz w:val="20"/>
          <w:szCs w:val="24"/>
          <w:highlight w:val="white"/>
        </w:rPr>
      </w:pPr>
    </w:p>
    <w:tbl>
      <w:tblPr>
        <w:tblStyle w:val="7"/>
        <w:tblW w:w="89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
        <w:gridCol w:w="1512"/>
        <w:gridCol w:w="65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bottom w:val="single" w:color="auto" w:sz="4" w:space="0"/>
              <w:right w:val="single" w:color="auto" w:sz="4" w:space="0"/>
            </w:tcBorders>
            <w:vAlign w:val="center"/>
          </w:tcPr>
          <w:p>
            <w:pPr>
              <w:spacing w:line="340" w:lineRule="atLeast"/>
              <w:jc w:val="center"/>
              <w:rPr>
                <w:rFonts w:ascii="Times New Roman" w:hAnsi="Times New Roman"/>
                <w:color w:val="000000"/>
                <w:szCs w:val="21"/>
              </w:rPr>
            </w:pPr>
            <w:r>
              <w:rPr>
                <w:rFonts w:ascii="Times New Roman" w:hAnsi="Times New Roman"/>
                <w:color w:val="000000"/>
                <w:szCs w:val="21"/>
                <w:highlight w:val="white"/>
              </w:rPr>
              <w:t>2.2.2</w:t>
            </w:r>
          </w:p>
        </w:tc>
        <w:tc>
          <w:tcPr>
            <w:tcW w:w="1512" w:type="dxa"/>
            <w:tcBorders>
              <w:top w:val="single" w:color="auto" w:sz="4" w:space="0"/>
              <w:bottom w:val="single" w:color="auto" w:sz="4" w:space="0"/>
              <w:right w:val="single" w:color="auto" w:sz="4" w:space="0"/>
            </w:tcBorders>
            <w:vAlign w:val="center"/>
          </w:tcPr>
          <w:p>
            <w:pPr>
              <w:spacing w:line="340" w:lineRule="atLeast"/>
              <w:jc w:val="center"/>
              <w:rPr>
                <w:rFonts w:ascii="Times New Roman" w:hAnsi="Times New Roman"/>
                <w:color w:val="000000"/>
                <w:szCs w:val="21"/>
              </w:rPr>
            </w:pPr>
            <w:r>
              <w:rPr>
                <w:rFonts w:ascii="Times New Roman" w:hAnsi="Times New Roman"/>
                <w:color w:val="000000"/>
                <w:szCs w:val="21"/>
                <w:highlight w:val="white"/>
              </w:rPr>
              <w:t>评标基准价计算方法</w:t>
            </w:r>
          </w:p>
        </w:tc>
        <w:tc>
          <w:tcPr>
            <w:tcW w:w="6585" w:type="dxa"/>
            <w:tcBorders>
              <w:top w:val="single" w:color="auto" w:sz="4" w:space="0"/>
              <w:left w:val="single" w:color="auto" w:sz="4" w:space="0"/>
              <w:bottom w:val="single" w:color="auto" w:sz="4" w:space="0"/>
              <w:right w:val="single" w:color="auto" w:sz="4" w:space="0"/>
            </w:tcBorders>
            <w:vAlign w:val="center"/>
          </w:tcPr>
          <w:p>
            <w:pPr>
              <w:spacing w:line="360" w:lineRule="atLeast"/>
              <w:jc w:val="left"/>
              <w:rPr>
                <w:rFonts w:ascii="Times New Roman" w:hAnsi="Times New Roman" w:eastAsia="黑体"/>
                <w:color w:val="000000"/>
                <w:szCs w:val="21"/>
                <w:highlight w:val="red"/>
              </w:rPr>
            </w:pPr>
            <w:bookmarkStart w:id="63" w:name="EBbb53cf9ac159432f9083724c0bed65db"/>
          </w:p>
          <w:p>
            <w:pPr>
              <w:rPr>
                <w:rFonts w:ascii="宋体" w:hAnsi="宋体" w:cs="宋体"/>
              </w:rPr>
            </w:pPr>
            <w:r>
              <w:rPr>
                <w:rFonts w:ascii="宋体" w:hAnsi="宋体" w:cs="宋体"/>
              </w:rPr>
              <w:t>评标基准价计算方法：</w:t>
            </w:r>
          </w:p>
          <w:p>
            <w:pPr>
              <w:rPr>
                <w:rFonts w:ascii="宋体" w:hAnsi="宋体" w:cs="宋体"/>
              </w:rPr>
            </w:pPr>
            <w:r>
              <w:rPr>
                <w:rFonts w:ascii="宋体" w:hAnsi="宋体" w:cs="宋体"/>
              </w:rPr>
              <w:t>在开标现场，招标人将当场计算并宣布评标基准价。</w:t>
            </w:r>
          </w:p>
          <w:p>
            <w:pPr>
              <w:rPr>
                <w:rFonts w:ascii="宋体" w:hAnsi="宋体" w:cs="宋体"/>
              </w:rPr>
            </w:pPr>
            <w:r>
              <w:rPr>
                <w:rFonts w:ascii="宋体" w:hAnsi="宋体" w:cs="宋体"/>
              </w:rPr>
              <w:t>(1)评标价的确定：评标价=投标函文字报价</w:t>
            </w:r>
          </w:p>
          <w:p>
            <w:pPr>
              <w:rPr>
                <w:rFonts w:ascii="宋体" w:hAnsi="宋体" w:cs="宋体"/>
              </w:rPr>
            </w:pPr>
            <w:r>
              <w:rPr>
                <w:rFonts w:ascii="宋体" w:hAnsi="宋体" w:cs="宋体"/>
              </w:rPr>
              <w:t>(2)评标价平均值的计算：</w:t>
            </w:r>
          </w:p>
          <w:p>
            <w:pPr>
              <w:rPr>
                <w:rFonts w:ascii="宋体" w:hAnsi="宋体" w:cs="宋体"/>
              </w:rPr>
            </w:pPr>
            <w:r>
              <w:rPr>
                <w:rFonts w:ascii="宋体" w:hAnsi="宋体" w:cs="宋体"/>
              </w:rPr>
              <w:t>□方案一：按第一个信封（商务及技术文件）评审得分由高到低的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pPr>
              <w:rPr>
                <w:rFonts w:ascii="宋体" w:hAnsi="宋体" w:cs="宋体"/>
              </w:rPr>
            </w:pPr>
            <w:r>
              <w:rPr>
                <w:rFonts w:hint="eastAsia" w:ascii="MS Gothic" w:hAnsi="MS Gothic" w:eastAsia="MS Gothic" w:cs="MS Gothic"/>
              </w:rPr>
              <w:t>☑</w:t>
            </w:r>
            <w:r>
              <w:rPr>
                <w:rFonts w:ascii="宋体" w:hAnsi="宋体" w:cs="宋体"/>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rPr>
                <w:rFonts w:ascii="宋体" w:hAnsi="宋体" w:cs="宋体"/>
              </w:rPr>
            </w:pPr>
          </w:p>
          <w:bookmarkEnd w:id="63"/>
          <w:p>
            <w:pPr>
              <w:spacing w:line="360" w:lineRule="atLeast"/>
              <w:jc w:val="left"/>
              <w:rPr>
                <w:rFonts w:ascii="Times New Roman" w:hAnsi="Times New Roman" w:eastAsia="黑体"/>
                <w:color w:val="000080"/>
                <w:sz w:val="20"/>
                <w:szCs w:val="21"/>
                <w:highlight w:val="white"/>
              </w:rPr>
            </w:pPr>
          </w:p>
          <w:p>
            <w:pPr>
              <w:spacing w:line="360" w:lineRule="atLeast"/>
              <w:jc w:val="left"/>
              <w:rPr>
                <w:rFonts w:ascii="Times New Roman" w:hAnsi="Times New Roman" w:eastAsia="黑体"/>
                <w:color w:val="000000"/>
                <w:szCs w:val="21"/>
              </w:rPr>
            </w:pPr>
            <w:r>
              <w:rPr>
                <w:rFonts w:ascii="Times New Roman" w:hAnsi="Times New Roman" w:eastAsia="黑体"/>
                <w:color w:val="000000"/>
                <w:szCs w:val="21"/>
                <w:highlight w:val="white"/>
              </w:rPr>
              <w:t>(3)评标基准价的确定:</w:t>
            </w:r>
          </w:p>
          <w:p>
            <w:pPr>
              <w:spacing w:line="360" w:lineRule="atLeast"/>
              <w:jc w:val="left"/>
              <w:rPr>
                <w:rFonts w:ascii="Times New Roman" w:hAnsi="Times New Roman" w:eastAsia="黑体"/>
                <w:color w:val="000000"/>
                <w:szCs w:val="21"/>
                <w:highlight w:val="red"/>
              </w:rPr>
            </w:pPr>
            <w:bookmarkStart w:id="64" w:name="EBafb35252eca845389af89473b8ca1aef"/>
            <w:r>
              <w:rPr>
                <w:rFonts w:hint="eastAsia" w:ascii="Times New Roman" w:hAnsi="Times New Roman" w:eastAsia="黑体"/>
                <w:color w:val="000080"/>
                <w:sz w:val="20"/>
                <w:szCs w:val="21"/>
                <w:highlight w:val="white"/>
              </w:rPr>
              <w:t>评标基准价=（最高投标限价×0.6+评标价平均值×0.4） ×（1-下浮系数）</w:t>
            </w:r>
            <w:bookmarkEnd w:id="64"/>
          </w:p>
          <w:p>
            <w:pPr>
              <w:spacing w:line="360" w:lineRule="atLeast"/>
              <w:jc w:val="left"/>
              <w:rPr>
                <w:rFonts w:ascii="Times New Roman" w:hAnsi="Times New Roman" w:eastAsia="黑体"/>
                <w:color w:val="000000"/>
                <w:szCs w:val="21"/>
              </w:rPr>
            </w:pPr>
            <w:r>
              <w:rPr>
                <w:rFonts w:ascii="Times New Roman" w:hAnsi="Times New Roman" w:eastAsia="黑体"/>
                <w:color w:val="000000"/>
                <w:szCs w:val="21"/>
                <w:highlight w:val="white"/>
              </w:rPr>
              <w:t>下浮系数将从1%~5%中选取5个数，步距不小于0.5%，设置等差数列，并在开标时随机抽取。</w:t>
            </w:r>
            <w:r>
              <w:rPr>
                <w:rFonts w:ascii="Times New Roman" w:hAnsi="Times New Roman" w:eastAsia="黑体"/>
                <w:color w:val="000000"/>
                <w:szCs w:val="21"/>
                <w:vertAlign w:val="superscript"/>
              </w:rPr>
              <w:footnoteReference w:id="2"/>
            </w:r>
          </w:p>
          <w:p>
            <w:pPr>
              <w:spacing w:line="360" w:lineRule="atLeast"/>
              <w:jc w:val="left"/>
              <w:rPr>
                <w:rFonts w:ascii="Times New Roman" w:hAnsi="Times New Roman" w:eastAsia="黑体"/>
                <w:color w:val="000000"/>
                <w:szCs w:val="21"/>
              </w:rPr>
            </w:pPr>
            <w:r>
              <w:rPr>
                <w:rFonts w:ascii="Times New Roman" w:hAnsi="Times New Roman" w:eastAsia="黑体"/>
                <w:color w:val="000000"/>
                <w:szCs w:val="21"/>
                <w:highlight w:val="white"/>
              </w:rPr>
              <w:t>如果投标人认为某一标段的评标基准价计算有误， 有权在开标现场提出，经当场核实确认之后，可重新宣布评标基准价。</w:t>
            </w:r>
          </w:p>
          <w:p>
            <w:pPr>
              <w:spacing w:line="340" w:lineRule="atLeast"/>
              <w:rPr>
                <w:rFonts w:ascii="Times New Roman" w:hAnsi="Times New Roman" w:eastAsia="黑体"/>
                <w:color w:val="000000"/>
                <w:szCs w:val="21"/>
              </w:rPr>
            </w:pPr>
            <w:r>
              <w:rPr>
                <w:rFonts w:ascii="Times New Roman" w:hAnsi="Times New Roman" w:eastAsia="黑体"/>
                <w:color w:val="000000"/>
                <w:szCs w:val="21"/>
                <w:highlight w:val="whit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right w:val="single" w:color="auto" w:sz="4" w:space="0"/>
            </w:tcBorders>
            <w:vAlign w:val="center"/>
          </w:tcPr>
          <w:p>
            <w:pPr>
              <w:spacing w:line="340" w:lineRule="atLeast"/>
              <w:jc w:val="center"/>
              <w:rPr>
                <w:rFonts w:ascii="Times New Roman" w:hAnsi="Times New Roman"/>
                <w:color w:val="000000"/>
                <w:szCs w:val="21"/>
              </w:rPr>
            </w:pPr>
            <w:r>
              <w:rPr>
                <w:rFonts w:ascii="Times New Roman" w:hAnsi="Times New Roman"/>
                <w:color w:val="000000"/>
                <w:szCs w:val="21"/>
                <w:highlight w:val="white"/>
              </w:rPr>
              <w:t>2.2.3</w:t>
            </w:r>
          </w:p>
        </w:tc>
        <w:tc>
          <w:tcPr>
            <w:tcW w:w="1512" w:type="dxa"/>
            <w:tcBorders>
              <w:top w:val="single" w:color="auto" w:sz="4" w:space="0"/>
              <w:right w:val="single" w:color="auto" w:sz="4" w:space="0"/>
            </w:tcBorders>
            <w:vAlign w:val="center"/>
          </w:tcPr>
          <w:p>
            <w:pPr>
              <w:spacing w:line="360" w:lineRule="exact"/>
              <w:jc w:val="center"/>
              <w:rPr>
                <w:rFonts w:ascii="Times New Roman" w:hAnsi="Times New Roman"/>
                <w:color w:val="000000"/>
                <w:szCs w:val="21"/>
              </w:rPr>
            </w:pPr>
            <w:r>
              <w:rPr>
                <w:rFonts w:ascii="Times New Roman" w:hAnsi="Times New Roman"/>
                <w:color w:val="000000"/>
                <w:szCs w:val="21"/>
                <w:highlight w:val="white"/>
              </w:rPr>
              <w:t>评标价的偏差率计算公式</w:t>
            </w:r>
          </w:p>
        </w:tc>
        <w:tc>
          <w:tcPr>
            <w:tcW w:w="6585" w:type="dxa"/>
            <w:tcBorders>
              <w:top w:val="single" w:color="auto" w:sz="4" w:space="0"/>
              <w:left w:val="single" w:color="auto" w:sz="4" w:space="0"/>
              <w:right w:val="single" w:color="auto" w:sz="4" w:space="0"/>
            </w:tcBorders>
            <w:vAlign w:val="center"/>
          </w:tcPr>
          <w:p>
            <w:pPr>
              <w:spacing w:line="340" w:lineRule="atLeast"/>
              <w:ind w:firstLine="420" w:firstLineChars="200"/>
              <w:rPr>
                <w:rFonts w:ascii="Times New Roman" w:hAnsi="Times New Roman" w:eastAsia="黑体"/>
                <w:b/>
                <w:color w:val="000000"/>
                <w:szCs w:val="21"/>
              </w:rPr>
            </w:pPr>
            <w:r>
              <w:rPr>
                <w:rFonts w:ascii="Times New Roman" w:hAnsi="Times New Roman" w:eastAsia="黑体"/>
                <w:color w:val="000000"/>
                <w:szCs w:val="21"/>
                <w:highlight w:val="white"/>
              </w:rPr>
              <w:t>偏差率=100% ×（投标人评标价－评标基准价）/评标基准价</w:t>
            </w:r>
          </w:p>
        </w:tc>
      </w:tr>
    </w:tbl>
    <w:p>
      <w:pPr>
        <w:ind w:right="1526"/>
        <w:rPr>
          <w:rFonts w:ascii="Times New Roman" w:hAnsi="Times New Roman"/>
          <w:color w:val="000000"/>
          <w:szCs w:val="24"/>
          <w:highlight w:val="red"/>
        </w:rPr>
      </w:pPr>
      <w:bookmarkStart w:id="65" w:name="EBf10eba42b5014ed2b1d69ec9ca4bdb7c"/>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516"/>
        <w:gridCol w:w="516"/>
        <w:gridCol w:w="696"/>
        <w:gridCol w:w="1743"/>
        <w:gridCol w:w="505"/>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kern w:val="0"/>
              </w:rPr>
              <w:t>条款号</w:t>
            </w:r>
          </w:p>
        </w:tc>
        <w:tc>
          <w:tcPr>
            <w:tcW w:w="0" w:type="auto"/>
            <w:gridSpan w:val="5"/>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评审因素</w:t>
            </w:r>
          </w:p>
        </w:tc>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评分因素</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评分因素</w:t>
            </w:r>
          </w:p>
          <w:p>
            <w:pPr>
              <w:jc w:val="center"/>
              <w:rPr>
                <w:rFonts w:ascii="宋体" w:hAnsi="宋体" w:cs="宋体"/>
              </w:rPr>
            </w:pPr>
            <w:r>
              <w:rPr>
                <w:rFonts w:ascii="宋体" w:hAnsi="宋体" w:cs="宋体"/>
              </w:rPr>
              <w:t>权重分值</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各评分因素细分项</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分值</w:t>
            </w: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2.2.4（1）</w:t>
            </w:r>
          </w:p>
        </w:tc>
        <w:tc>
          <w:tcPr>
            <w:tcW w:w="0" w:type="auto"/>
            <w:gridSpan w:val="2"/>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技术建议书</w:t>
            </w:r>
          </w:p>
        </w:tc>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45.0分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对招标项目的理解和总体设计思路</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7分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满足工程基本要求，得5.6分；切实可行且合理科学的，酌情加分，本项最高得7分。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招标项目勘察设计的特点、关键技术问题的认识及其对策措施</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12分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满足工程基本要求，得9.6分；切实可行且合理科学的，酌情加分，本项最高得12分。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对前一阶段工作技术结论及技术方案的不同看法及建议</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14分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满足工程基本要求，得11.2分；切实可行且合理科学的，酌情加分，本项最高得14分。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勘察设计工作量及计划安排</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3分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勘察设计的质量保证措施、进度保证措施、安全保证措施</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3分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后续服务的安排及保证措施</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3分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合理化建议</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3分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2.2.4（2）</w:t>
            </w:r>
          </w:p>
        </w:tc>
        <w:tc>
          <w:tcPr>
            <w:tcW w:w="0" w:type="auto"/>
            <w:gridSpan w:val="2"/>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主要人员</w:t>
            </w:r>
          </w:p>
        </w:tc>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20.0分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项目负责人任职资格与业绩</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15分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1、满足附录4资格审查条件（项目负责人最低要求）的，得12分；</w:t>
            </w:r>
          </w:p>
          <w:p>
            <w:pPr>
              <w:jc w:val="center"/>
              <w:rPr>
                <w:rFonts w:ascii="宋体" w:hAnsi="宋体" w:cs="宋体"/>
              </w:rPr>
            </w:pPr>
            <w:r>
              <w:rPr>
                <w:rFonts w:ascii="宋体" w:hAnsi="宋体" w:cs="宋体"/>
              </w:rPr>
              <w:t>2、在此基础上，最近5年（递交投标文件截止之日前一日回溯5年）内，每增加1个满足附录4资格审查条件（项目负责人最低要求）业绩的加1.5分，最多加3分。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隧道机电工程设计分项负责人任职资格与业绩</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5分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1、满足附录5资格审查条件（分项负责人最低要求）的，得4分；</w:t>
            </w:r>
          </w:p>
          <w:p>
            <w:pPr>
              <w:jc w:val="center"/>
              <w:rPr>
                <w:rFonts w:ascii="宋体" w:hAnsi="宋体" w:cs="宋体"/>
              </w:rPr>
            </w:pPr>
            <w:r>
              <w:rPr>
                <w:rFonts w:ascii="宋体" w:hAnsi="宋体" w:cs="宋体"/>
              </w:rPr>
              <w:t>2、在此基础上，最近5年（递交投标文件截止之日前一日回溯5年）内，每增加1个满足附录5资格审查条件（分项负责人最低要求）业绩的加0.5分，最多加1分。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2.2.4（3）</w:t>
            </w:r>
          </w:p>
        </w:tc>
        <w:tc>
          <w:tcPr>
            <w:tcW w:w="0" w:type="auto"/>
            <w:gridSpan w:val="2"/>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评标价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10.0分</w:t>
            </w:r>
          </w:p>
        </w:tc>
        <w:tc>
          <w:tcPr>
            <w:tcW w:w="0" w:type="auto"/>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评标价得分计算公式示例：</w:t>
            </w:r>
          </w:p>
          <w:p>
            <w:pPr>
              <w:jc w:val="center"/>
              <w:rPr>
                <w:rFonts w:ascii="宋体" w:hAnsi="宋体" w:cs="宋体"/>
              </w:rPr>
            </w:pPr>
            <w:r>
              <w:rPr>
                <w:rFonts w:ascii="宋体" w:hAnsi="宋体" w:cs="宋体"/>
              </w:rPr>
              <w:t>（1）如果投标人的评标价＞评标基准价，则评标价得分＝F－偏差率×100× E1；</w:t>
            </w:r>
          </w:p>
          <w:p>
            <w:pPr>
              <w:jc w:val="center"/>
              <w:rPr>
                <w:rFonts w:ascii="宋体" w:hAnsi="宋体" w:cs="宋体"/>
              </w:rPr>
            </w:pPr>
            <w:r>
              <w:rPr>
                <w:rFonts w:ascii="宋体" w:hAnsi="宋体" w:cs="宋体"/>
              </w:rPr>
              <w:t>（2）如果投标人的评标价≤评标基准价，则评标价得分＝F＋偏差率× 100× E2。</w:t>
            </w:r>
          </w:p>
          <w:p>
            <w:pPr>
              <w:jc w:val="center"/>
              <w:rPr>
                <w:rFonts w:ascii="宋体" w:hAnsi="宋体" w:cs="宋体"/>
              </w:rPr>
            </w:pPr>
            <w:r>
              <w:rPr>
                <w:rFonts w:ascii="宋体" w:hAnsi="宋体" w:cs="宋体"/>
              </w:rPr>
              <w:t>其中：F是评标价所占的权重分值，E1是评标价每高于评标基准价一个百分点的扣分值，E2是评标价每低于评标基准价一个百分点的扣分值。</w:t>
            </w:r>
          </w:p>
          <w:p>
            <w:pPr>
              <w:jc w:val="center"/>
              <w:rPr>
                <w:rFonts w:ascii="宋体" w:hAnsi="宋体" w:cs="宋体"/>
              </w:rPr>
            </w:pPr>
            <w:r>
              <w:rPr>
                <w:rFonts w:ascii="宋体" w:hAnsi="宋体" w:cs="宋体"/>
              </w:rPr>
              <w:t>E1=0.2, E2=0.1</w:t>
            </w:r>
          </w:p>
          <w:p>
            <w:pPr>
              <w:jc w:val="center"/>
              <w:rPr>
                <w:rFonts w:ascii="宋体" w:hAnsi="宋体" w:cs="宋体"/>
              </w:rPr>
            </w:pPr>
            <w:r>
              <w:rPr>
                <w:rFonts w:ascii="宋体" w:hAnsi="宋体" w:cs="宋体"/>
              </w:rPr>
              <w:t>（3）评标价平均值的计算：采用方案二。</w:t>
            </w:r>
          </w:p>
          <w:p>
            <w:pPr>
              <w:jc w:val="center"/>
              <w:rPr>
                <w:rFonts w:ascii="宋体" w:hAnsi="宋体" w:cs="宋体"/>
              </w:rPr>
            </w:pPr>
            <w:r>
              <w:rPr>
                <w:rFonts w:ascii="宋体" w:hAnsi="宋体" w:cs="宋体"/>
              </w:rPr>
              <w:t>（4）评标基准价的确定：评标基准价=（最高投标限价×0.6+评标价平均值×0.4）×（1-下浮系数）。</w:t>
            </w:r>
          </w:p>
          <w:p>
            <w:pPr>
              <w:jc w:val="center"/>
              <w:rPr>
                <w:rFonts w:ascii="宋体" w:hAnsi="宋体" w:cs="宋体"/>
              </w:rPr>
            </w:pPr>
            <w:r>
              <w:rPr>
                <w:rFonts w:ascii="宋体" w:hAnsi="宋体" w:cs="宋体"/>
              </w:rPr>
              <w:t>（5）下浮系数将在第二信封开标前从 1%、1.5%、2%、2.5%、3%五值中随机抽取。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2.2.4（4）</w:t>
            </w:r>
          </w:p>
        </w:tc>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其他因素</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业绩</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20分</w:t>
            </w:r>
          </w:p>
        </w:tc>
        <w:tc>
          <w:tcPr>
            <w:tcW w:w="0" w:type="auto"/>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1、满足附录2资格审查条件（业绩最低要求）得16分；</w:t>
            </w:r>
          </w:p>
          <w:p>
            <w:pPr>
              <w:jc w:val="center"/>
              <w:rPr>
                <w:rFonts w:ascii="宋体" w:hAnsi="宋体" w:cs="宋体"/>
              </w:rPr>
            </w:pPr>
            <w:r>
              <w:rPr>
                <w:rFonts w:ascii="宋体" w:hAnsi="宋体" w:cs="宋体"/>
              </w:rPr>
              <w:t>2、在此基础上，最近5年（递交投标文件截止之日前一日回溯5年）内：</w:t>
            </w:r>
          </w:p>
          <w:p>
            <w:pPr>
              <w:jc w:val="center"/>
              <w:rPr>
                <w:rFonts w:ascii="宋体" w:hAnsi="宋体" w:cs="宋体"/>
              </w:rPr>
            </w:pPr>
            <w:r>
              <w:rPr>
                <w:rFonts w:ascii="宋体" w:hAnsi="宋体" w:cs="宋体"/>
              </w:rPr>
              <w:t>每增加1个合同价不低于</w:t>
            </w:r>
            <w:r>
              <w:rPr>
                <w:rFonts w:hint="eastAsia" w:ascii="宋体" w:hAnsi="宋体" w:cs="宋体"/>
                <w:lang w:val="en-US" w:eastAsia="zh-CN"/>
              </w:rPr>
              <w:t>118</w:t>
            </w:r>
            <w:bookmarkStart w:id="85" w:name="_GoBack"/>
            <w:bookmarkEnd w:id="85"/>
            <w:r>
              <w:rPr>
                <w:rFonts w:ascii="宋体" w:hAnsi="宋体" w:cs="宋体"/>
              </w:rPr>
              <w:t>万元的高速公路新建或改扩建或养护工程的初步设计或施工图设计（设计内容须包含机电工程）业绩加2分，最多加4分。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履约信誉</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5分</w:t>
            </w:r>
          </w:p>
        </w:tc>
        <w:tc>
          <w:tcPr>
            <w:tcW w:w="0" w:type="auto"/>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信用评价（5分）：</w:t>
            </w:r>
          </w:p>
          <w:p>
            <w:pPr>
              <w:jc w:val="center"/>
              <w:rPr>
                <w:rFonts w:ascii="宋体" w:hAnsi="宋体" w:cs="宋体"/>
              </w:rPr>
            </w:pPr>
            <w:r>
              <w:rPr>
                <w:rFonts w:ascii="宋体" w:hAnsi="宋体" w:cs="宋体"/>
              </w:rPr>
              <w:t>年度</w:t>
            </w:r>
          </w:p>
          <w:p>
            <w:pPr>
              <w:jc w:val="center"/>
              <w:rPr>
                <w:rFonts w:ascii="宋体" w:hAnsi="宋体" w:cs="宋体"/>
              </w:rPr>
            </w:pPr>
            <w:r>
              <w:rPr>
                <w:rFonts w:ascii="宋体" w:hAnsi="宋体" w:cs="宋体"/>
              </w:rPr>
              <w:t>信用等级</w:t>
            </w:r>
            <w:r>
              <w:rPr>
                <w:rFonts w:ascii="宋体" w:hAnsi="宋体" w:cs="宋体"/>
              </w:rPr>
              <w:tab/>
            </w:r>
            <w:r>
              <w:rPr>
                <w:rFonts w:ascii="宋体" w:hAnsi="宋体" w:cs="宋体"/>
              </w:rPr>
              <w:t>最近第一年/分</w:t>
            </w:r>
            <w:r>
              <w:rPr>
                <w:rFonts w:ascii="宋体" w:hAnsi="宋体" w:cs="宋体"/>
              </w:rPr>
              <w:tab/>
            </w:r>
            <w:r>
              <w:rPr>
                <w:rFonts w:ascii="宋体" w:hAnsi="宋体" w:cs="宋体"/>
              </w:rPr>
              <w:t>最近第二年/分</w:t>
            </w:r>
            <w:r>
              <w:rPr>
                <w:rFonts w:ascii="宋体" w:hAnsi="宋体" w:cs="宋体"/>
              </w:rPr>
              <w:tab/>
            </w:r>
            <w:r>
              <w:rPr>
                <w:rFonts w:ascii="宋体" w:hAnsi="宋体" w:cs="宋体"/>
              </w:rPr>
              <w:t>最近第三年/分</w:t>
            </w:r>
          </w:p>
          <w:p>
            <w:pPr>
              <w:jc w:val="center"/>
              <w:rPr>
                <w:rFonts w:ascii="宋体" w:hAnsi="宋体" w:cs="宋体"/>
              </w:rPr>
            </w:pPr>
            <w:r>
              <w:rPr>
                <w:rFonts w:ascii="宋体" w:hAnsi="宋体" w:cs="宋体"/>
              </w:rPr>
              <w:t>AA</w:t>
            </w:r>
            <w:r>
              <w:rPr>
                <w:rFonts w:ascii="宋体" w:hAnsi="宋体" w:cs="宋体"/>
              </w:rPr>
              <w:tab/>
            </w:r>
            <w:r>
              <w:rPr>
                <w:rFonts w:ascii="宋体" w:hAnsi="宋体" w:cs="宋体"/>
              </w:rPr>
              <w:t xml:space="preserve">     2.5       </w:t>
            </w:r>
            <w:r>
              <w:rPr>
                <w:rFonts w:ascii="宋体" w:hAnsi="宋体" w:cs="宋体"/>
              </w:rPr>
              <w:tab/>
            </w:r>
            <w:r>
              <w:rPr>
                <w:rFonts w:ascii="宋体" w:hAnsi="宋体" w:cs="宋体"/>
              </w:rPr>
              <w:t xml:space="preserve">  1.5    </w:t>
            </w:r>
            <w:r>
              <w:rPr>
                <w:rFonts w:ascii="宋体" w:hAnsi="宋体" w:cs="宋体"/>
              </w:rPr>
              <w:tab/>
            </w:r>
            <w:r>
              <w:rPr>
                <w:rFonts w:ascii="宋体" w:hAnsi="宋体" w:cs="宋体"/>
              </w:rPr>
              <w:t>1.0</w:t>
            </w:r>
          </w:p>
          <w:p>
            <w:pPr>
              <w:jc w:val="center"/>
              <w:rPr>
                <w:rFonts w:ascii="宋体" w:hAnsi="宋体" w:cs="宋体"/>
              </w:rPr>
            </w:pPr>
            <w:r>
              <w:rPr>
                <w:rFonts w:ascii="宋体" w:hAnsi="宋体" w:cs="宋体"/>
              </w:rPr>
              <w:t>A</w:t>
            </w:r>
            <w:r>
              <w:rPr>
                <w:rFonts w:ascii="宋体" w:hAnsi="宋体" w:cs="宋体"/>
              </w:rPr>
              <w:tab/>
            </w:r>
            <w:r>
              <w:rPr>
                <w:rFonts w:ascii="宋体" w:hAnsi="宋体" w:cs="宋体"/>
              </w:rPr>
              <w:t xml:space="preserve">   1.75       </w:t>
            </w:r>
            <w:r>
              <w:rPr>
                <w:rFonts w:ascii="宋体" w:hAnsi="宋体" w:cs="宋体"/>
              </w:rPr>
              <w:tab/>
            </w:r>
            <w:r>
              <w:rPr>
                <w:rFonts w:ascii="宋体" w:hAnsi="宋体" w:cs="宋体"/>
              </w:rPr>
              <w:t xml:space="preserve">1.05  </w:t>
            </w:r>
            <w:r>
              <w:rPr>
                <w:rFonts w:ascii="宋体" w:hAnsi="宋体" w:cs="宋体"/>
              </w:rPr>
              <w:tab/>
            </w:r>
            <w:r>
              <w:rPr>
                <w:rFonts w:ascii="宋体" w:hAnsi="宋体" w:cs="宋体"/>
              </w:rPr>
              <w:t>0.7</w:t>
            </w:r>
          </w:p>
          <w:p>
            <w:pPr>
              <w:jc w:val="center"/>
              <w:rPr>
                <w:rFonts w:ascii="宋体" w:hAnsi="宋体" w:cs="宋体"/>
              </w:rPr>
            </w:pPr>
            <w:r>
              <w:rPr>
                <w:rFonts w:ascii="宋体" w:hAnsi="宋体" w:cs="宋体"/>
              </w:rPr>
              <w:t>B</w:t>
            </w:r>
            <w:r>
              <w:rPr>
                <w:rFonts w:ascii="宋体" w:hAnsi="宋体" w:cs="宋体"/>
              </w:rPr>
              <w:tab/>
            </w:r>
            <w:r>
              <w:rPr>
                <w:rFonts w:ascii="宋体" w:hAnsi="宋体" w:cs="宋体"/>
              </w:rPr>
              <w:t>0</w:t>
            </w:r>
          </w:p>
          <w:p>
            <w:pPr>
              <w:jc w:val="center"/>
              <w:rPr>
                <w:rFonts w:ascii="宋体" w:hAnsi="宋体" w:cs="宋体"/>
              </w:rPr>
            </w:pPr>
            <w:r>
              <w:rPr>
                <w:rFonts w:ascii="宋体" w:hAnsi="宋体" w:cs="宋体"/>
              </w:rPr>
              <w:t>C</w:t>
            </w:r>
            <w:r>
              <w:rPr>
                <w:rFonts w:ascii="宋体" w:hAnsi="宋体" w:cs="宋体"/>
              </w:rPr>
              <w:tab/>
            </w:r>
            <w:r>
              <w:rPr>
                <w:rFonts w:ascii="宋体" w:hAnsi="宋体" w:cs="宋体"/>
              </w:rPr>
              <w:t>0</w:t>
            </w:r>
          </w:p>
          <w:p>
            <w:pPr>
              <w:jc w:val="center"/>
              <w:rPr>
                <w:rFonts w:ascii="宋体" w:hAnsi="宋体" w:cs="宋体"/>
              </w:rPr>
            </w:pPr>
            <w:r>
              <w:rPr>
                <w:rFonts w:ascii="宋体" w:hAnsi="宋体" w:cs="宋体"/>
              </w:rPr>
              <w:t xml:space="preserve">注： </w:t>
            </w:r>
          </w:p>
          <w:p>
            <w:pPr>
              <w:jc w:val="center"/>
              <w:rPr>
                <w:rFonts w:ascii="宋体" w:hAnsi="宋体" w:cs="宋体"/>
              </w:rPr>
            </w:pPr>
            <w:r>
              <w:rPr>
                <w:rFonts w:ascii="宋体" w:hAnsi="宋体" w:cs="宋体"/>
              </w:rPr>
              <w:t>（1）</w:t>
            </w:r>
            <w:r>
              <w:rPr>
                <w:rFonts w:hint="eastAsia" w:ascii="宋体" w:hAnsi="宋体" w:eastAsia="宋体" w:cs="宋体"/>
                <w:kern w:val="0"/>
                <w:sz w:val="21"/>
                <w:szCs w:val="21"/>
              </w:rPr>
              <w:t>信用等级2019年和2020年度以湖南省交通运输厅发布的公路工程设计企业信用评价结果为准，2021年度以湖南省交通运输厅发布的湖南省养护从业单位信用评价结果（技术服务类）为准</w:t>
            </w:r>
            <w:r>
              <w:rPr>
                <w:rFonts w:ascii="宋体" w:hAnsi="宋体" w:cs="宋体"/>
              </w:rPr>
              <w:t>，企业信用加分分值按湖南省交通运输厅近三年发布的企业信用评价结果进行权值分配，企业近三年均无湖南省交通运输厅发布企业信用等级的，按交通运输部近三年发布的信用等级结果进行权值分配</w:t>
            </w:r>
            <w:r>
              <w:rPr>
                <w:rFonts w:hint="eastAsia" w:ascii="宋体" w:hAnsi="宋体" w:cs="宋体"/>
                <w:lang w:eastAsia="zh-CN"/>
              </w:rPr>
              <w:t>【</w:t>
            </w:r>
            <w:r>
              <w:rPr>
                <w:rFonts w:ascii="宋体" w:hAnsi="宋体" w:cs="宋体"/>
              </w:rPr>
              <w:t>指近三年任意一年具有湖南省交通运输厅发布的企业信用评价结果的，则近三年只能按湖南省交通运输厅发布的企业信用评价结果进行权值分配，交通运输部发布的企业信用评价结果不适用；近三年均无湖南省交通运输厅发布的企业信用评价结果的，才按交通运输部发布的企业信用评价结果进行权值分配</w:t>
            </w:r>
            <w:r>
              <w:rPr>
                <w:rFonts w:hint="eastAsia" w:ascii="宋体" w:hAnsi="宋体" w:cs="宋体"/>
                <w:lang w:eastAsia="zh-CN"/>
              </w:rPr>
              <w:t>】</w:t>
            </w:r>
            <w:r>
              <w:rPr>
                <w:rFonts w:ascii="宋体" w:hAnsi="宋体" w:cs="宋体"/>
              </w:rPr>
              <w:t>(其中交通运输部发布的信用评价结果为AA级的企业，按照A级计算当年信用评价得分；交通运输部发布的信用评价结果为A级、B 级的企业，仍然按照A级、B 级计算当年信用评价得分），当年在湖南省发布的公路工程设计企业或湖南省养护从业单位信用评价结果（技术服务类）中无信用评价等级的，其当年的信用评价得分按上一年度发布的公路工程设计企业或湖南省养护从业单位信用评价结果（技术服务类）的信用等级结果进行评分（其中上一年度发布的信用评价结果为AA级的企业，按照A级计算当年信用评价得分；上一年度发布的信用评价结果为A级、B 级的企业，仍然按照A级、B 级计算当年信用评价得分）；上一年度发布的公路工程设计企业或湖南省养护从业单位信用评价结果（技术服务类）也没有信用等级结果的，其当年的信用评价得分按0分计。</w:t>
            </w:r>
          </w:p>
          <w:p>
            <w:pPr>
              <w:jc w:val="center"/>
              <w:rPr>
                <w:rFonts w:ascii="宋体" w:hAnsi="宋体" w:cs="宋体"/>
              </w:rPr>
            </w:pPr>
            <w:r>
              <w:rPr>
                <w:rFonts w:ascii="宋体" w:hAnsi="宋体" w:cs="宋体"/>
              </w:rPr>
              <w:t>（2）最近第一年的信用等级评价结果以投标文件递交截止之日前最新发布的文件结果为准；若发布的最近第一年的信用等级和投标人填报的最近第一年的信用等级不一致时，以最新发布的信用评价文件为准。</w:t>
            </w:r>
          </w:p>
        </w:tc>
      </w:tr>
      <w:bookmarkEnd w:id="65"/>
    </w:tbl>
    <w:p>
      <w:pPr>
        <w:ind w:right="1526"/>
        <w:rPr>
          <w:rFonts w:ascii="Times New Roman" w:hAnsi="Times New Roman"/>
          <w:color w:val="000080"/>
          <w:sz w:val="20"/>
          <w:szCs w:val="24"/>
          <w:highlight w:val="white"/>
        </w:rPr>
      </w:pPr>
    </w:p>
    <w:p>
      <w:pPr>
        <w:keepNext/>
        <w:keepLines/>
        <w:spacing w:before="360" w:after="240" w:line="240" w:lineRule="atLeast"/>
        <w:outlineLvl w:val="1"/>
      </w:pPr>
      <w:r>
        <w:rPr>
          <w:b/>
          <w:sz w:val="27"/>
          <w:szCs w:val="27"/>
          <w:highlight w:val="white"/>
        </w:rPr>
        <w:br w:type="page"/>
      </w:r>
      <w:bookmarkStart w:id="66" w:name="_Toc17549191"/>
      <w:bookmarkStart w:id="67" w:name="_Toc509993883"/>
      <w:bookmarkStart w:id="68" w:name="_Toc234832944"/>
      <w:r>
        <w:rPr>
          <w:rFonts w:ascii="Times New Roman" w:hAnsi="Times New Roman" w:eastAsia="黑体"/>
          <w:bCs/>
          <w:color w:val="000000"/>
          <w:kern w:val="44"/>
          <w:sz w:val="28"/>
          <w:szCs w:val="28"/>
          <w:highlight w:val="white"/>
        </w:rPr>
        <w:t>1. 评标方法</w:t>
      </w:r>
      <w:bookmarkEnd w:id="66"/>
      <w:bookmarkEnd w:id="67"/>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keepLines/>
        <w:spacing w:before="360" w:after="240" w:line="240" w:lineRule="atLeast"/>
        <w:outlineLvl w:val="1"/>
        <w:rPr>
          <w:rFonts w:ascii="Times New Roman" w:hAnsi="Times New Roman" w:eastAsia="黑体"/>
          <w:bCs/>
          <w:color w:val="000000"/>
          <w:kern w:val="44"/>
          <w:sz w:val="28"/>
          <w:szCs w:val="28"/>
        </w:rPr>
      </w:pPr>
      <w:bookmarkStart w:id="69" w:name="_Toc17549192"/>
      <w:bookmarkStart w:id="70" w:name="_Toc509993884"/>
      <w:r>
        <w:rPr>
          <w:rFonts w:ascii="Times New Roman" w:hAnsi="Times New Roman" w:eastAsia="黑体"/>
          <w:bCs/>
          <w:color w:val="000000"/>
          <w:kern w:val="44"/>
          <w:sz w:val="28"/>
          <w:szCs w:val="28"/>
          <w:highlight w:val="white"/>
        </w:rPr>
        <w:t>2. 评审标准</w:t>
      </w:r>
      <w:bookmarkEnd w:id="69"/>
      <w:bookmarkEnd w:id="70"/>
    </w:p>
    <w:p>
      <w:pPr>
        <w:keepNext/>
        <w:keepLines/>
        <w:spacing w:before="240" w:after="240" w:line="240" w:lineRule="atLeast"/>
        <w:outlineLvl w:val="2"/>
        <w:rPr>
          <w:rFonts w:ascii="Times New Roman" w:hAnsi="Times New Roman" w:eastAsia="黑体"/>
          <w:bCs/>
          <w:color w:val="000000"/>
          <w:kern w:val="44"/>
          <w:sz w:val="24"/>
          <w:szCs w:val="24"/>
        </w:rPr>
      </w:pPr>
      <w:bookmarkStart w:id="71" w:name="_Toc509993885"/>
      <w:r>
        <w:rPr>
          <w:rFonts w:ascii="Times New Roman" w:hAnsi="Times New Roman" w:eastAsia="黑体"/>
          <w:bCs/>
          <w:color w:val="000000"/>
          <w:kern w:val="44"/>
          <w:sz w:val="24"/>
          <w:szCs w:val="24"/>
          <w:highlight w:val="white"/>
        </w:rPr>
        <w:t>2.1 初步评审标准</w:t>
      </w:r>
      <w:bookmarkEnd w:id="71"/>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2.1.1 形式评审标准：见评标办法前附表。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2.1.2 资格评审标准：见评标办法前附表。（适用于未进行资格预审的）</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2.1.2 资格评审标准：见资格预审文件第三章“资格审查办法”详细审查标准。（适用于已进行资格预审的）</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2.1.3 响应性评审标准：见评标办法前附表。</w:t>
      </w:r>
    </w:p>
    <w:p>
      <w:pPr>
        <w:keepNext/>
        <w:keepLines/>
        <w:spacing w:before="240" w:after="240" w:line="240" w:lineRule="atLeast"/>
        <w:outlineLvl w:val="2"/>
        <w:rPr>
          <w:rFonts w:ascii="Times New Roman" w:hAnsi="Times New Roman" w:eastAsia="黑体"/>
          <w:bCs/>
          <w:color w:val="000000"/>
          <w:kern w:val="44"/>
          <w:sz w:val="24"/>
          <w:szCs w:val="24"/>
        </w:rPr>
      </w:pPr>
      <w:bookmarkStart w:id="72" w:name="_Toc509993886"/>
      <w:r>
        <w:rPr>
          <w:rFonts w:ascii="Times New Roman" w:hAnsi="Times New Roman" w:eastAsia="黑体"/>
          <w:bCs/>
          <w:color w:val="000000"/>
          <w:kern w:val="44"/>
          <w:sz w:val="24"/>
          <w:szCs w:val="24"/>
          <w:highlight w:val="white"/>
        </w:rPr>
        <w:t>2.2 分值构成与评分标准</w:t>
      </w:r>
      <w:bookmarkEnd w:id="72"/>
    </w:p>
    <w:p>
      <w:pPr>
        <w:tabs>
          <w:tab w:val="left" w:pos="360"/>
        </w:tabs>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2.2.1 </w:t>
      </w:r>
      <w:r>
        <w:rPr>
          <w:rFonts w:ascii="Times New Roman" w:hAnsi="Times New Roman" w:eastAsia="黑体"/>
          <w:color w:val="000000"/>
          <w:sz w:val="24"/>
          <w:szCs w:val="24"/>
          <w:highlight w:val="white"/>
        </w:rPr>
        <w:t>分值构成</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（1）技术建议书：见评标办法前附表；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（2）主要人员：见评标办法前附表；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（3）评标价：见评标办法前附表；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（4）其他评分因素：见评标办法前附表。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2.2.2 </w:t>
      </w:r>
      <w:r>
        <w:rPr>
          <w:rFonts w:ascii="Times New Roman" w:hAnsi="Times New Roman" w:eastAsia="黑体"/>
          <w:color w:val="000000"/>
          <w:sz w:val="24"/>
          <w:szCs w:val="24"/>
          <w:highlight w:val="white"/>
        </w:rPr>
        <w:t>评标基准价计算</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评标基准价计算方法：见评标办法前附表。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2.2.3 </w:t>
      </w:r>
      <w:r>
        <w:rPr>
          <w:rFonts w:ascii="Times New Roman" w:hAnsi="Times New Roman" w:eastAsia="黑体"/>
          <w:color w:val="000000"/>
          <w:sz w:val="24"/>
          <w:szCs w:val="24"/>
          <w:highlight w:val="white"/>
        </w:rPr>
        <w:t>评标价的偏差率计算</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评标价的偏差率计算公式：见评标办法前附表。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2.2.4 </w:t>
      </w:r>
      <w:r>
        <w:rPr>
          <w:rFonts w:ascii="Times New Roman" w:hAnsi="Times New Roman" w:eastAsia="黑体"/>
          <w:color w:val="000000"/>
          <w:sz w:val="24"/>
          <w:szCs w:val="24"/>
          <w:highlight w:val="white"/>
        </w:rPr>
        <w:t>评分标准</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（1）技术建议书评分标准：见评标办法前附表；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（2）主要人员评分标准：见评标办法前附表；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（3）评标价评分标准：见评标办法前附表；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（4）其他因素评分标准：见评标办法前附表。</w:t>
      </w:r>
    </w:p>
    <w:p>
      <w:pPr>
        <w:keepNext/>
        <w:keepLines/>
        <w:spacing w:before="360" w:after="240" w:line="240" w:lineRule="atLeast"/>
        <w:outlineLvl w:val="1"/>
        <w:rPr>
          <w:rFonts w:ascii="Times New Roman" w:hAnsi="Times New Roman" w:eastAsia="黑体"/>
          <w:bCs/>
          <w:color w:val="000000"/>
          <w:kern w:val="44"/>
          <w:sz w:val="28"/>
          <w:szCs w:val="28"/>
        </w:rPr>
      </w:pPr>
      <w:bookmarkStart w:id="73" w:name="_Toc17549193"/>
      <w:bookmarkStart w:id="74" w:name="_Toc509993887"/>
      <w:r>
        <w:rPr>
          <w:rFonts w:ascii="Times New Roman" w:hAnsi="Times New Roman" w:eastAsia="黑体"/>
          <w:bCs/>
          <w:color w:val="000000"/>
          <w:kern w:val="44"/>
          <w:sz w:val="28"/>
          <w:szCs w:val="28"/>
          <w:highlight w:val="white"/>
        </w:rPr>
        <w:t>3. 评标程序</w:t>
      </w:r>
      <w:bookmarkEnd w:id="73"/>
      <w:bookmarkEnd w:id="74"/>
    </w:p>
    <w:p>
      <w:pPr>
        <w:keepNext/>
        <w:keepLines/>
        <w:spacing w:before="240" w:after="240" w:line="240" w:lineRule="atLeast"/>
        <w:outlineLvl w:val="2"/>
        <w:rPr>
          <w:rFonts w:ascii="Times New Roman" w:hAnsi="Times New Roman" w:eastAsia="黑体"/>
          <w:bCs/>
          <w:color w:val="000000"/>
          <w:kern w:val="44"/>
          <w:sz w:val="24"/>
          <w:szCs w:val="24"/>
        </w:rPr>
      </w:pPr>
      <w:bookmarkStart w:id="75" w:name="_Toc509993888"/>
      <w:r>
        <w:rPr>
          <w:rFonts w:ascii="Times New Roman" w:hAnsi="Times New Roman" w:eastAsia="黑体"/>
          <w:bCs/>
          <w:color w:val="000000"/>
          <w:kern w:val="44"/>
          <w:sz w:val="24"/>
          <w:szCs w:val="24"/>
          <w:highlight w:val="white"/>
        </w:rPr>
        <w:t>3.1 第一个信封初步评审</w:t>
      </w:r>
      <w:bookmarkEnd w:id="75"/>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keepNext/>
        <w:keepLines/>
        <w:spacing w:before="240" w:after="240" w:line="240" w:lineRule="atLeast"/>
        <w:outlineLvl w:val="2"/>
        <w:rPr>
          <w:rFonts w:ascii="Times New Roman" w:hAnsi="Times New Roman" w:eastAsia="黑体"/>
          <w:bCs/>
          <w:color w:val="000000"/>
          <w:kern w:val="44"/>
          <w:sz w:val="24"/>
          <w:szCs w:val="24"/>
        </w:rPr>
      </w:pPr>
      <w:bookmarkStart w:id="76" w:name="_Toc509993889"/>
      <w:r>
        <w:rPr>
          <w:rFonts w:ascii="Times New Roman" w:hAnsi="Times New Roman" w:eastAsia="黑体"/>
          <w:bCs/>
          <w:color w:val="000000"/>
          <w:kern w:val="44"/>
          <w:sz w:val="24"/>
          <w:szCs w:val="24"/>
          <w:highlight w:val="white"/>
        </w:rPr>
        <w:t>3.2 第一个信封详细评审</w:t>
      </w:r>
      <w:bookmarkEnd w:id="76"/>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3.2.1 评标委员会按本章第2.2款规定的量化因素和分值进行打分，并计算出各投标人的商务和技术得分。</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（1）按本章第2.2.4项（1）目规定的评审因素和分值对技术建议书部分计算出得分A；</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（2）按本章第2.2.4项（2）目规定的评审因素和分值对主要人员部分计算出得分B；</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（3）按本章第2.2.4项（4）目规定的评审因素和分值对其他部分计算出得分D。</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3.2.2 投标人的商务和技术得分分值计算保留小数点后两位，小数点后第三位“四舍五入”。</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3.2.3 投标人的商务和技术得分=A+B+D。 </w:t>
      </w:r>
    </w:p>
    <w:p>
      <w:pPr>
        <w:keepNext/>
        <w:keepLines/>
        <w:spacing w:before="240" w:after="240" w:line="240" w:lineRule="atLeast"/>
        <w:outlineLvl w:val="2"/>
        <w:rPr>
          <w:rFonts w:ascii="Times New Roman" w:hAnsi="Times New Roman" w:eastAsia="黑体"/>
          <w:bCs/>
          <w:color w:val="000000"/>
          <w:kern w:val="44"/>
          <w:sz w:val="24"/>
          <w:szCs w:val="24"/>
        </w:rPr>
      </w:pPr>
      <w:bookmarkStart w:id="77" w:name="_Toc509993890"/>
      <w:r>
        <w:rPr>
          <w:rFonts w:ascii="Times New Roman" w:hAnsi="Times New Roman" w:eastAsia="黑体"/>
          <w:bCs/>
          <w:color w:val="000000"/>
          <w:kern w:val="44"/>
          <w:sz w:val="24"/>
          <w:szCs w:val="24"/>
          <w:highlight w:val="white"/>
        </w:rPr>
        <w:t>3.3 第二个信封开标</w:t>
      </w:r>
      <w:bookmarkEnd w:id="77"/>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第一个信封（商务及技术文件）评审结束后，招标人将按照第二章“投标人须知”第5.1款规定的时间和地点对通过投标文件第一个信封（商务及技术文件）评审的投标文件第二个信封（报价文件）进行开标。</w:t>
      </w:r>
    </w:p>
    <w:p>
      <w:pPr>
        <w:keepNext/>
        <w:keepLines/>
        <w:spacing w:before="240" w:after="240" w:line="240" w:lineRule="atLeast"/>
        <w:outlineLvl w:val="2"/>
        <w:rPr>
          <w:rFonts w:ascii="Times New Roman" w:hAnsi="Times New Roman" w:eastAsia="黑体"/>
          <w:bCs/>
          <w:color w:val="000000"/>
          <w:kern w:val="44"/>
          <w:sz w:val="24"/>
          <w:szCs w:val="24"/>
        </w:rPr>
      </w:pPr>
      <w:bookmarkStart w:id="78" w:name="_Toc509993891"/>
      <w:r>
        <w:rPr>
          <w:rFonts w:ascii="Times New Roman" w:hAnsi="Times New Roman" w:eastAsia="黑体"/>
          <w:bCs/>
          <w:color w:val="000000"/>
          <w:kern w:val="44"/>
          <w:sz w:val="24"/>
          <w:szCs w:val="24"/>
          <w:highlight w:val="white"/>
        </w:rPr>
        <w:t>3.4 第二个信封初步评审</w:t>
      </w:r>
      <w:bookmarkEnd w:id="78"/>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3.4.1 评标委员会依据本章第2.1.1项、第2.1.3项规定的评审标准对投标文件第二个信封（报价文件）进行初步评审。有一项不符合评审标准的，评标委员会应否决其投标。</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3.4.2 投标报价有算术错误的，评标委员会按以下原则对投标报价进行修正，修正的价格经投标人书面确认后具有约束力。投标人不接受修正价格的，评标委员会应否决其投标。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（1）投标文件中的大写金额与小写金额不一致的，以大写金额为准；</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（2）总价金额与依据单价计算出的结果不一致的，以单价金额为准修正总价，但单价金额小数点有明显错误的除外；</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（3）当单价与数量相乘不等于合价时，以单价计算为准，如果单价有明显的小数点位置差错，应以标出的合价为准，同时对单价予以修正；</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（4）当各子目的合价累计不等于总价时，应以各子目合价累计数为准，修正总价。</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3.4.3 修正后的最终投标报价若超过最高投标限价（如有），评标委员会应否决其投标。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3.4.4 修正后的最终投标报价仅作为签订合同的一个依据，不参与评标价得分的计算。</w:t>
      </w:r>
    </w:p>
    <w:p>
      <w:pPr>
        <w:keepNext/>
        <w:keepLines/>
        <w:spacing w:before="240" w:after="240" w:line="240" w:lineRule="atLeast"/>
        <w:outlineLvl w:val="2"/>
        <w:rPr>
          <w:rFonts w:ascii="Times New Roman" w:hAnsi="Times New Roman" w:eastAsia="黑体"/>
          <w:bCs/>
          <w:color w:val="000000"/>
          <w:kern w:val="44"/>
          <w:sz w:val="24"/>
          <w:szCs w:val="24"/>
        </w:rPr>
      </w:pPr>
      <w:bookmarkStart w:id="79" w:name="_Toc509993892"/>
      <w:r>
        <w:rPr>
          <w:rFonts w:ascii="Times New Roman" w:hAnsi="Times New Roman" w:eastAsia="黑体"/>
          <w:bCs/>
          <w:color w:val="000000"/>
          <w:kern w:val="44"/>
          <w:sz w:val="24"/>
          <w:szCs w:val="24"/>
          <w:highlight w:val="white"/>
        </w:rPr>
        <w:t>3.5 第二个信封详细评审</w:t>
      </w:r>
      <w:bookmarkEnd w:id="79"/>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3.5.1 评标委员会按本章第2.2.4项（3）目规定的评审因素和分值对评标价计算出得分C。评标价得分分值计算保留小数点后两位，小数点后第三位“四舍五入”。</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3.5.2 投标人综合得分=投标人的商务和技术得分+C。</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keepNext/>
        <w:keepLines/>
        <w:spacing w:before="240" w:after="240" w:line="240" w:lineRule="atLeast"/>
        <w:outlineLvl w:val="2"/>
        <w:rPr>
          <w:rFonts w:ascii="Times New Roman" w:hAnsi="Times New Roman" w:eastAsia="黑体"/>
          <w:bCs/>
          <w:color w:val="000000"/>
          <w:kern w:val="44"/>
          <w:sz w:val="24"/>
          <w:szCs w:val="24"/>
        </w:rPr>
      </w:pPr>
      <w:bookmarkStart w:id="80" w:name="_Toc509993893"/>
      <w:r>
        <w:rPr>
          <w:rFonts w:ascii="Times New Roman" w:hAnsi="Times New Roman" w:eastAsia="黑体"/>
          <w:bCs/>
          <w:color w:val="000000"/>
          <w:kern w:val="44"/>
          <w:sz w:val="24"/>
          <w:szCs w:val="24"/>
          <w:highlight w:val="white"/>
        </w:rPr>
        <w:t>3.6 投标文件相关信息的核查</w:t>
      </w:r>
      <w:bookmarkEnd w:id="80"/>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（1）有下列情形之一的，属于投标人相互串通投标：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a.投标人之间协商投标报价等投标文件的实质性内容；</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b.投标人之间约定中标人；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c.投标人之间约定部分投标人放弃投标或中标；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d.属于同一集团、协会、商会等组织成员的投标人按照该组织要求协同投标；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e.投标人之间为谋取中标或排斥特定投标人而采取的其他联合行动。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（2）有下列情形之一的，视为投标人相互串通投标：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a.不同投标人的投标文件由同一单位或个人编制；</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b.不同投标人委托同一单位或个人办理投标事宜；</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c.不同投标人的投标文件载明的项目管理成员为同一人；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d.不同投标人的投标文件异常一致或投标报价呈规律性差异；</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e.不同投标人的投标文件相互混装；</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f.不同投标人的投标保证金从同一单位或个人的账户转出</w:t>
      </w:r>
      <w:r>
        <w:rPr>
          <w:rFonts w:hint="eastAsia" w:ascii="Times New Roman" w:hAnsi="Times New Roman"/>
          <w:color w:val="000000"/>
          <w:sz w:val="24"/>
          <w:szCs w:val="24"/>
          <w:highlight w:val="white"/>
        </w:rPr>
        <w:t>；</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g.不同投标人提交电子投标文件IP地址相同且无法合理说明的；</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h.不同投标人提交电子投标文件的IP地址在某一特定区域且无法合理说明的；</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i.电子投标文件硬件信息相同且无法合理说明的。</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（3）有下列情形之一的，属于招标人与投标人串通投标：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a.招标人在开标前开启投标文件并将有关信息泄露给其他投标人;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b.招标人直接或间接向投标人泄露标底、评标委员会成员等信息；</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c.招标人明示或暗示投标人压低或抬高投标报价；</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d.招标人授意投标人撤换、修改投标文件；</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e.招标人明示或暗示投标人为特定投标人中标提供方便；</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f.招标人与投标人为谋求特定投标人中标而采取的其他串通行为。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（4）投标人有下列情形之一的，属于弄虚作假的行为：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a.使用通过受让或租借等方式获取的资格、资质证书投标；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b.使用伪造、变造的许可证件；</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c.提供虚假的业绩；</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d.提供虚假的项目负责人或主要技术人员简历、劳动关系证明；</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e.提供虚假的信用状况；</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f.其他弄虚作假的行为。</w:t>
      </w:r>
    </w:p>
    <w:p>
      <w:pPr>
        <w:keepNext/>
        <w:keepLines/>
        <w:spacing w:before="240" w:after="240" w:line="400" w:lineRule="atLeast"/>
        <w:outlineLvl w:val="2"/>
        <w:rPr>
          <w:rFonts w:ascii="Times New Roman" w:hAnsi="Times New Roman" w:eastAsia="黑体"/>
          <w:bCs/>
          <w:color w:val="000000"/>
          <w:kern w:val="44"/>
          <w:sz w:val="24"/>
          <w:szCs w:val="24"/>
        </w:rPr>
      </w:pPr>
      <w:bookmarkStart w:id="81" w:name="_Toc509993894"/>
      <w:r>
        <w:rPr>
          <w:rFonts w:ascii="Times New Roman" w:hAnsi="Times New Roman" w:eastAsia="黑体"/>
          <w:bCs/>
          <w:color w:val="000000"/>
          <w:kern w:val="44"/>
          <w:sz w:val="24"/>
          <w:szCs w:val="24"/>
          <w:highlight w:val="white"/>
        </w:rPr>
        <w:t>3.7 投标文件的澄清和说明</w:t>
      </w:r>
      <w:bookmarkEnd w:id="81"/>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3.7.2 澄清和说明不得超出投标文件的范围或改变投标文件的实质性内容（算术性错误的修正除外）。投标人的书面澄清、说明属于投标文件的组成部分。</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3.7.3 评标委员会不得暗示或诱导投标人作出澄清、说明，对投标人提交的澄清、说明有疑问的，可以要求投标人进一步澄清或说明，直至满足评标委员会的要求。</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3.7.4 凡超出招标文件规定的或给发包人带来未曾要求的利益的变化、偏差或其他因素在评标时不予考虑。</w:t>
      </w:r>
    </w:p>
    <w:p>
      <w:pPr>
        <w:keepNext/>
        <w:keepLines/>
        <w:spacing w:before="240" w:after="240" w:line="400" w:lineRule="atLeast"/>
        <w:outlineLvl w:val="2"/>
        <w:rPr>
          <w:rFonts w:ascii="Times New Roman" w:hAnsi="Times New Roman" w:eastAsia="黑体"/>
          <w:bCs/>
          <w:color w:val="000000"/>
          <w:kern w:val="44"/>
          <w:sz w:val="24"/>
          <w:szCs w:val="24"/>
        </w:rPr>
      </w:pPr>
      <w:bookmarkStart w:id="82" w:name="_Toc509993895"/>
      <w:bookmarkStart w:id="83" w:name="_Toc501257170"/>
      <w:r>
        <w:rPr>
          <w:rFonts w:ascii="Times New Roman" w:hAnsi="Times New Roman" w:eastAsia="黑体"/>
          <w:bCs/>
          <w:color w:val="000000"/>
          <w:kern w:val="44"/>
          <w:sz w:val="24"/>
          <w:szCs w:val="24"/>
          <w:highlight w:val="white"/>
        </w:rPr>
        <w:t>3.8 不得否决投标的情形</w:t>
      </w:r>
      <w:bookmarkEnd w:id="82"/>
      <w:bookmarkEnd w:id="83"/>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投标文件存在第二章“投标人须知”第1.12.3项所列情形的，均视为细微偏差，评标委员会不得否决投标人的投标，应按照第二章“投标人须知”第1.12.4项规定的原则处理。</w:t>
      </w:r>
    </w:p>
    <w:p>
      <w:pPr>
        <w:keepNext/>
        <w:keepLines/>
        <w:spacing w:before="240" w:after="240" w:line="240" w:lineRule="atLeast"/>
        <w:outlineLvl w:val="2"/>
        <w:rPr>
          <w:rFonts w:ascii="Times New Roman" w:hAnsi="Times New Roman" w:eastAsia="黑体"/>
          <w:bCs/>
          <w:color w:val="000000"/>
          <w:kern w:val="44"/>
          <w:sz w:val="24"/>
          <w:szCs w:val="24"/>
        </w:rPr>
      </w:pPr>
      <w:bookmarkStart w:id="84" w:name="_Toc509993896"/>
      <w:r>
        <w:rPr>
          <w:rFonts w:ascii="Times New Roman" w:hAnsi="Times New Roman" w:eastAsia="黑体"/>
          <w:bCs/>
          <w:color w:val="000000"/>
          <w:kern w:val="44"/>
          <w:sz w:val="24"/>
          <w:szCs w:val="24"/>
          <w:highlight w:val="white"/>
        </w:rPr>
        <w:t>3.9 评标结果</w:t>
      </w:r>
      <w:bookmarkEnd w:id="84"/>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3.9.1 除第二章“投标人须知”前附表授权直接确定中标人外，评标委员会按照得分由高到低的顺序推荐中标候选人，并标明排序。</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3.9.2 评标委员会完成评标后，应向招标人提交书面评标报告。</w:t>
      </w:r>
      <w:bookmarkEnd w:id="68"/>
    </w:p>
    <w:p>
      <w:pPr>
        <w:spacing w:line="400" w:lineRule="atLeast"/>
        <w:ind w:firstLine="480" w:firstLineChars="200"/>
        <w:rPr>
          <w:rFonts w:ascii="Times New Roman" w:hAnsi="Times New Roman"/>
          <w:color w:val="000000"/>
          <w:sz w:val="24"/>
          <w:szCs w:val="24"/>
        </w:rPr>
      </w:pPr>
    </w:p>
    <w:p>
      <w:pPr>
        <w:spacing w:line="400" w:lineRule="atLeast"/>
        <w:ind w:firstLine="420" w:firstLineChars="200"/>
        <w:rPr>
          <w:rFonts w:ascii="Times New Roman" w:hAnsi="Times New Roman"/>
          <w:color w:val="000000"/>
          <w:szCs w:val="21"/>
        </w:rPr>
      </w:pPr>
    </w:p>
    <w:p>
      <w:pPr>
        <w:widowControl/>
        <w:jc w:val="left"/>
      </w:pPr>
    </w:p>
    <w:p>
      <w:pPr>
        <w:widowControl/>
        <w:jc w:val="left"/>
      </w:pPr>
    </w:p>
    <w:p>
      <w:pPr>
        <w:widowControl/>
        <w:jc w:val="left"/>
      </w:pPr>
      <w:r>
        <w:br w:type="page"/>
      </w:r>
    </w:p>
    <w:p>
      <w:pPr>
        <w:topLinePunct/>
        <w:spacing w:line="400" w:lineRule="atLeast"/>
        <w:outlineLvl w:val="1"/>
        <w:rPr>
          <w:rFonts w:ascii="Times New Roman" w:hAnsi="Times New Roman" w:eastAsia="黑体"/>
          <w:sz w:val="24"/>
          <w:szCs w:val="24"/>
        </w:rPr>
      </w:pPr>
      <w:r>
        <w:rPr>
          <w:rFonts w:ascii="Times New Roman" w:hAnsi="Times New Roman" w:eastAsia="黑体"/>
          <w:sz w:val="24"/>
          <w:szCs w:val="24"/>
        </w:rPr>
        <w:t>附件3：项目概况</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25"/>
        <w:textAlignment w:val="auto"/>
        <w:rPr>
          <w:rStyle w:val="8"/>
          <w:rFonts w:hint="eastAsia" w:ascii="黑体" w:hAnsi="黑体" w:eastAsia="黑体" w:cs="黑体"/>
          <w:sz w:val="24"/>
          <w:szCs w:val="24"/>
        </w:rPr>
      </w:pPr>
      <w:r>
        <w:rPr>
          <w:rStyle w:val="8"/>
          <w:rFonts w:hint="eastAsia" w:ascii="黑体" w:hAnsi="黑体" w:eastAsia="黑体" w:cs="黑体"/>
          <w:sz w:val="24"/>
          <w:szCs w:val="24"/>
          <w:lang w:val="en-US" w:eastAsia="zh-CN"/>
        </w:rPr>
        <w:t>1.</w:t>
      </w:r>
      <w:r>
        <w:rPr>
          <w:rStyle w:val="8"/>
          <w:rFonts w:hint="eastAsia" w:ascii="黑体" w:hAnsi="黑体" w:eastAsia="黑体" w:cs="黑体"/>
          <w:sz w:val="24"/>
          <w:szCs w:val="24"/>
          <w:lang w:eastAsia="zh-CN"/>
        </w:rPr>
        <w:t>项目</w:t>
      </w:r>
      <w:r>
        <w:rPr>
          <w:rStyle w:val="8"/>
          <w:rFonts w:hint="eastAsia" w:ascii="黑体" w:hAnsi="黑体" w:eastAsia="黑体" w:cs="黑体"/>
          <w:sz w:val="24"/>
          <w:szCs w:val="24"/>
        </w:rPr>
        <w:t>地点：湖南省境内。</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25"/>
        <w:textAlignment w:val="auto"/>
        <w:rPr>
          <w:rStyle w:val="8"/>
          <w:rFonts w:hint="eastAsia" w:ascii="黑体" w:hAnsi="黑体" w:eastAsia="黑体" w:cs="黑体"/>
          <w:sz w:val="24"/>
          <w:szCs w:val="24"/>
        </w:rPr>
      </w:pPr>
      <w:r>
        <w:rPr>
          <w:rStyle w:val="8"/>
          <w:rFonts w:hint="eastAsia" w:ascii="黑体" w:hAnsi="黑体" w:eastAsia="黑体" w:cs="黑体"/>
          <w:sz w:val="24"/>
          <w:szCs w:val="24"/>
          <w:lang w:val="en-US" w:eastAsia="zh-CN"/>
        </w:rPr>
        <w:t>2.</w:t>
      </w:r>
      <w:r>
        <w:rPr>
          <w:rStyle w:val="8"/>
          <w:rFonts w:hint="eastAsia" w:ascii="黑体" w:hAnsi="黑体" w:eastAsia="黑体" w:cs="黑体"/>
          <w:sz w:val="24"/>
          <w:szCs w:val="24"/>
        </w:rPr>
        <w:t>项目规模及招标范围：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Style w:val="8"/>
          <w:rFonts w:hint="eastAsia" w:ascii="黑体" w:hAnsi="黑体" w:eastAsia="黑体" w:cs="黑体"/>
          <w:kern w:val="2"/>
          <w:sz w:val="24"/>
          <w:szCs w:val="24"/>
          <w:highlight w:val="none"/>
          <w:lang w:val="en-US" w:eastAsia="zh-CN" w:bidi="ar-SA"/>
        </w:rPr>
      </w:pPr>
      <w:r>
        <w:rPr>
          <w:rStyle w:val="8"/>
          <w:rFonts w:hint="eastAsia" w:ascii="黑体" w:hAnsi="黑体" w:eastAsia="黑体" w:cs="黑体"/>
          <w:kern w:val="2"/>
          <w:sz w:val="24"/>
          <w:szCs w:val="24"/>
          <w:highlight w:val="none"/>
          <w:lang w:val="en-US" w:eastAsia="zh-CN" w:bidi="ar-SA"/>
        </w:rPr>
        <w:t>本次主要对集团公司所辖长沙、株洲、湘潭、岳阳、衡阳、永州、郴州、娄底、邵阳、怀化、常德、湘西、张家界和益阳14个运营分公司，及南岳（含东延线）、新溆、岳望和德安4个经营性路段</w:t>
      </w:r>
      <w:r>
        <w:rPr>
          <w:rStyle w:val="8"/>
          <w:rFonts w:hint="eastAsia" w:ascii="黑体" w:hAnsi="黑体" w:eastAsia="黑体" w:cs="黑体"/>
          <w:sz w:val="24"/>
          <w:szCs w:val="24"/>
          <w:highlight w:val="none"/>
        </w:rPr>
        <w:t>机电</w:t>
      </w:r>
      <w:r>
        <w:rPr>
          <w:rStyle w:val="8"/>
          <w:rFonts w:hint="eastAsia" w:ascii="黑体" w:hAnsi="黑体" w:eastAsia="黑体" w:cs="黑体"/>
          <w:sz w:val="24"/>
          <w:szCs w:val="24"/>
          <w:highlight w:val="none"/>
          <w:lang w:val="en-US" w:eastAsia="zh-CN"/>
        </w:rPr>
        <w:t>中修、专项、应急等</w:t>
      </w:r>
      <w:r>
        <w:rPr>
          <w:rStyle w:val="8"/>
          <w:rFonts w:hint="eastAsia" w:ascii="黑体" w:hAnsi="黑体" w:eastAsia="黑体" w:cs="黑体"/>
          <w:sz w:val="24"/>
          <w:szCs w:val="24"/>
          <w:highlight w:val="none"/>
        </w:rPr>
        <w:t>养护工程</w:t>
      </w:r>
      <w:r>
        <w:rPr>
          <w:rStyle w:val="8"/>
          <w:rFonts w:hint="eastAsia" w:ascii="黑体" w:hAnsi="黑体" w:eastAsia="黑体" w:cs="黑体"/>
          <w:sz w:val="24"/>
          <w:szCs w:val="24"/>
          <w:highlight w:val="none"/>
          <w:lang w:eastAsia="zh-CN"/>
        </w:rPr>
        <w:t>进行</w:t>
      </w:r>
      <w:r>
        <w:rPr>
          <w:rStyle w:val="8"/>
          <w:rFonts w:hint="eastAsia" w:ascii="黑体" w:hAnsi="黑体" w:eastAsia="黑体" w:cs="黑体"/>
          <w:sz w:val="24"/>
          <w:szCs w:val="24"/>
          <w:highlight w:val="none"/>
        </w:rPr>
        <w:t>设计</w:t>
      </w:r>
      <w:r>
        <w:rPr>
          <w:rStyle w:val="8"/>
          <w:rFonts w:hint="eastAsia" w:ascii="黑体" w:hAnsi="黑体" w:eastAsia="黑体" w:cs="黑体"/>
          <w:sz w:val="24"/>
          <w:szCs w:val="24"/>
          <w:highlight w:val="none"/>
          <w:lang w:eastAsia="zh-CN"/>
        </w:rPr>
        <w:t>招标</w:t>
      </w:r>
      <w:r>
        <w:rPr>
          <w:rStyle w:val="8"/>
          <w:rFonts w:hint="eastAsia" w:ascii="黑体" w:hAnsi="黑体" w:eastAsia="黑体" w:cs="黑体"/>
          <w:kern w:val="2"/>
          <w:sz w:val="24"/>
          <w:szCs w:val="24"/>
          <w:highlight w:val="none"/>
          <w:lang w:val="en-US" w:eastAsia="zh-CN" w:bidi="ar-SA"/>
        </w:rPr>
        <w:t>。其中，JDSJ001标段范围内高速公路通车的养护里程为1983.668公里，收费站124个，通车隧道157座（短隧道49座、中隧道51座、长隧道50座、特长隧道7座）；JDSJ002标段范围内高速公路通车的养护里程为2379.629公里，收费站130个，通车隧道212座（短隧道91座、中隧道46座、长隧道67座、特长隧道8座）；JDSJ003标段范围内高速公路通车的养护里程为1422.579公里，收费站77个，通车隧道230座（短隧道88座、中隧道89座、长隧道43座、特长隧道10座）；</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25"/>
        <w:textAlignment w:val="auto"/>
        <w:rPr>
          <w:rStyle w:val="8"/>
          <w:rFonts w:hint="eastAsia" w:ascii="黑体" w:hAnsi="黑体" w:eastAsia="黑体" w:cs="黑体"/>
          <w:sz w:val="24"/>
          <w:szCs w:val="24"/>
          <w:lang w:val="en-US" w:eastAsia="zh-CN"/>
        </w:rPr>
      </w:pPr>
      <w:r>
        <w:rPr>
          <w:rStyle w:val="8"/>
          <w:rFonts w:hint="eastAsia" w:ascii="黑体" w:hAnsi="黑体" w:eastAsia="黑体" w:cs="黑体"/>
          <w:sz w:val="24"/>
          <w:szCs w:val="24"/>
          <w:highlight w:val="none"/>
          <w:lang w:eastAsia="zh-CN"/>
        </w:rPr>
        <w:t>主要设计内容包括</w:t>
      </w:r>
      <w:r>
        <w:rPr>
          <w:rStyle w:val="8"/>
          <w:rFonts w:hint="eastAsia" w:ascii="黑体" w:hAnsi="黑体" w:eastAsia="黑体" w:cs="黑体"/>
          <w:sz w:val="24"/>
          <w:szCs w:val="24"/>
          <w:highlight w:val="none"/>
        </w:rPr>
        <w:t>：设计工作大纲制订、一阶段施工图设计文件编制、施工图预算文件编制、清单预算与工程量清单编制、招标上限价编制、机电养护工程</w:t>
      </w:r>
      <w:r>
        <w:rPr>
          <w:rStyle w:val="8"/>
          <w:rFonts w:hint="eastAsia" w:ascii="黑体" w:hAnsi="黑体" w:eastAsia="黑体" w:cs="黑体"/>
          <w:sz w:val="24"/>
          <w:szCs w:val="24"/>
          <w:highlight w:val="none"/>
          <w:lang w:val="en-US" w:eastAsia="zh-CN"/>
        </w:rPr>
        <w:t>招标文件（技术部分）及计量规则编制、</w:t>
      </w:r>
      <w:r>
        <w:rPr>
          <w:rStyle w:val="8"/>
          <w:rFonts w:hint="eastAsia" w:ascii="黑体" w:hAnsi="黑体" w:eastAsia="黑体" w:cs="黑体"/>
          <w:sz w:val="24"/>
          <w:szCs w:val="24"/>
          <w:highlight w:val="none"/>
        </w:rPr>
        <w:t>交通组织方案设计文件编制；配合相关主管部门审批、配合施工、提供相关技术交底、提供相关技术咨询服务和招标人要求的相关文件以及工程</w:t>
      </w:r>
      <w:r>
        <w:rPr>
          <w:rStyle w:val="8"/>
          <w:rFonts w:hint="eastAsia" w:ascii="黑体" w:hAnsi="黑体" w:eastAsia="黑体" w:cs="黑体"/>
          <w:sz w:val="24"/>
          <w:szCs w:val="24"/>
        </w:rPr>
        <w:t>完工后的竣工图审查、参加交（竣）工验收等。其中JDSJ</w:t>
      </w:r>
      <w:r>
        <w:rPr>
          <w:rStyle w:val="8"/>
          <w:rFonts w:hint="eastAsia" w:ascii="黑体" w:hAnsi="黑体" w:eastAsia="黑体" w:cs="黑体"/>
          <w:sz w:val="24"/>
          <w:szCs w:val="24"/>
          <w:lang w:val="en-US" w:eastAsia="zh-CN"/>
        </w:rPr>
        <w:t>00</w:t>
      </w:r>
      <w:r>
        <w:rPr>
          <w:rStyle w:val="8"/>
          <w:rFonts w:hint="eastAsia" w:ascii="黑体" w:hAnsi="黑体" w:eastAsia="黑体" w:cs="黑体"/>
          <w:sz w:val="24"/>
          <w:szCs w:val="24"/>
        </w:rPr>
        <w:t>3标段为设计牵头标段，本标段中标设计单位除负责本标段设计范围内路段的设计工作外，还负责所有标段的总体牵头工作（包括但不限于工作计划统一部署、设计规范统一工作、文件汇总工作）。</w:t>
      </w:r>
    </w:p>
    <w:p>
      <w:pPr>
        <w:pStyle w:val="5"/>
        <w:keepNext w:val="0"/>
        <w:keepLines w:val="0"/>
        <w:pageBreakBefore w:val="0"/>
        <w:widowControl w:val="0"/>
        <w:kinsoku/>
        <w:wordWrap/>
        <w:overflowPunct/>
        <w:topLinePunct w:val="0"/>
        <w:autoSpaceDE/>
        <w:autoSpaceDN/>
        <w:bidi w:val="0"/>
        <w:adjustRightInd/>
        <w:snapToGrid/>
        <w:spacing w:line="360" w:lineRule="auto"/>
        <w:ind w:left="480" w:leftChars="0"/>
        <w:textAlignment w:val="auto"/>
        <w:rPr>
          <w:rStyle w:val="8"/>
          <w:rFonts w:hint="eastAsia" w:ascii="黑体" w:hAnsi="黑体" w:eastAsia="黑体" w:cs="黑体"/>
          <w:kern w:val="0"/>
          <w:sz w:val="24"/>
          <w:szCs w:val="24"/>
          <w:highlight w:val="none"/>
          <w:lang w:val="en-US" w:eastAsia="zh-CN" w:bidi="ar"/>
        </w:rPr>
      </w:pPr>
      <w:r>
        <w:rPr>
          <w:rStyle w:val="8"/>
          <w:rFonts w:hint="eastAsia" w:ascii="黑体" w:hAnsi="黑体" w:eastAsia="黑体" w:cs="黑体"/>
          <w:kern w:val="0"/>
          <w:sz w:val="24"/>
          <w:szCs w:val="24"/>
          <w:highlight w:val="none"/>
          <w:lang w:val="en-US" w:eastAsia="zh-CN" w:bidi="ar"/>
        </w:rPr>
        <w:t>项目实施范围情况统计表：</w:t>
      </w:r>
    </w:p>
    <w:tbl>
      <w:tblPr>
        <w:tblStyle w:val="7"/>
        <w:tblW w:w="9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2175"/>
        <w:gridCol w:w="2070"/>
        <w:gridCol w:w="2070"/>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标段</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分公司名称</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养护里程（KM）</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收费站数</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隧道座数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kern w:val="2"/>
                <w:sz w:val="24"/>
                <w:szCs w:val="24"/>
                <w:highlight w:val="none"/>
                <w:lang w:val="en-US" w:eastAsia="zh-CN" w:bidi="ar-SA"/>
              </w:rPr>
              <w:t>JDSJ001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长沙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359.372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株洲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468.071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湘潭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129.721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岳阳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449.969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郴州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576.535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1983.668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kern w:val="2"/>
                <w:sz w:val="24"/>
                <w:szCs w:val="24"/>
                <w:highlight w:val="none"/>
                <w:lang w:val="en-US" w:eastAsia="zh-CN" w:bidi="ar-SA"/>
              </w:rPr>
              <w:t>JDSJ002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衡阳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562.813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永州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329.483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娄底</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378.899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邵阳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532.989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怀化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569.445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2373.629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kern w:val="2"/>
                <w:sz w:val="24"/>
                <w:szCs w:val="24"/>
                <w:highlight w:val="none"/>
                <w:lang w:val="en-US" w:eastAsia="zh-CN" w:bidi="ar-SA"/>
              </w:rPr>
              <w:t>JDSJ003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益阳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378.691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常德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288.773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湘西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563.831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张家界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191.284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1422.579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5779.876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599</w:t>
            </w:r>
          </w:p>
        </w:tc>
      </w:tr>
    </w:tbl>
    <w:p>
      <w:pPr>
        <w:pStyle w:val="6"/>
        <w:rPr>
          <w:rStyle w:val="8"/>
          <w:rFonts w:ascii="Calibri" w:hAnsi="Calibri" w:eastAsia="宋体" w:cs="Times New Roman"/>
        </w:rPr>
      </w:pPr>
    </w:p>
    <w:p>
      <w:pPr>
        <w:pStyle w:val="6"/>
        <w:rPr>
          <w:rStyle w:val="8"/>
          <w:rFonts w:hint="eastAsia" w:ascii="Calibri" w:hAnsi="Calibri" w:eastAsia="宋体" w:cs="Times New Roman"/>
          <w:color w:val="000080"/>
          <w:sz w:val="20"/>
          <w:highlight w:val="white"/>
        </w:rPr>
      </w:pPr>
      <w:r>
        <w:rPr>
          <w:rStyle w:val="8"/>
          <w:rFonts w:hint="eastAsia" w:ascii="Calibri" w:hAnsi="Calibri" w:eastAsia="宋体" w:cs="Times New Roman"/>
          <w:color w:val="000080"/>
          <w:sz w:val="20"/>
          <w:highlight w:val="white"/>
        </w:rPr>
        <w:t xml:space="preserve"> </w:t>
      </w:r>
    </w:p>
    <w:p>
      <w:pPr>
        <w:pStyle w:val="6"/>
        <w:rPr>
          <w:rStyle w:val="8"/>
          <w:rFonts w:ascii="Calibri" w:hAnsi="Calibri" w:eastAsia="宋体"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rPr>
          <w:rFonts w:ascii="宋体" w:hAnsi="宋体" w:cs="宋体"/>
          <w:kern w:val="0"/>
          <w:sz w:val="24"/>
          <w:szCs w:val="24"/>
        </w:rPr>
      </w:pPr>
      <w:r>
        <w:rPr>
          <w:rStyle w:val="9"/>
        </w:rPr>
        <w:footnoteRef/>
      </w:r>
      <w:r>
        <w:rPr>
          <w:highlight w:val="white"/>
        </w:rPr>
        <w:t xml:space="preserve"> </w:t>
      </w:r>
      <w:r>
        <w:rPr>
          <w:rFonts w:ascii="黑体" w:hAnsi="黑体" w:eastAsia="黑体"/>
          <w:kern w:val="0"/>
          <w:sz w:val="18"/>
          <w:szCs w:val="20"/>
          <w:highlight w:val="white"/>
        </w:rPr>
        <w:t>所有否决投标的条款标明*号。未标明*号的条款不得作为否决投标的条款。</w:t>
      </w:r>
    </w:p>
  </w:footnote>
  <w:footnote w:id="1">
    <w:p>
      <w:pPr>
        <w:pStyle w:val="4"/>
        <w:spacing w:line="300" w:lineRule="atLeast"/>
        <w:ind w:left="180" w:hanging="180" w:hangingChars="100"/>
      </w:pPr>
      <w:r>
        <w:rPr>
          <w:rStyle w:val="9"/>
        </w:rPr>
        <w:footnoteRef/>
      </w:r>
      <w:r>
        <w:rPr>
          <w:highlight w:val="white"/>
        </w:rPr>
        <w:t xml:space="preserve"> </w:t>
      </w:r>
      <w:r>
        <w:rPr>
          <w:rFonts w:ascii="黑体" w:hAnsi="黑体" w:eastAsia="黑体"/>
          <w:highlight w:val="white"/>
        </w:rPr>
        <w:t>“</w:t>
      </w:r>
      <w:r>
        <w:rPr>
          <w:rFonts w:hint="eastAsia" w:ascii="黑体" w:hAnsi="黑体" w:eastAsia="黑体"/>
          <w:highlight w:val="white"/>
        </w:rPr>
        <w:t>评标办法前附表</w:t>
      </w:r>
      <w:r>
        <w:rPr>
          <w:rFonts w:ascii="黑体" w:hAnsi="黑体" w:eastAsia="黑体"/>
          <w:highlight w:val="white"/>
        </w:rPr>
        <w:t>”</w:t>
      </w:r>
      <w:r>
        <w:rPr>
          <w:rFonts w:hint="eastAsia" w:ascii="黑体" w:hAnsi="黑体" w:eastAsia="黑体"/>
          <w:highlight w:val="white"/>
        </w:rPr>
        <w:t>用于明确评标的方法、因素、标准和程序。招标人应根据招标项目具体特点和实际需要，详细列明全部评审因素、标准，没有列明的因素和标准不得作为评标的依据。</w:t>
      </w:r>
    </w:p>
  </w:footnote>
  <w:footnote w:id="2">
    <w:p>
      <w:pPr>
        <w:pStyle w:val="4"/>
        <w:spacing w:line="280" w:lineRule="atLeast"/>
        <w:ind w:left="180" w:hanging="180" w:hangingChars="100"/>
        <w:rPr>
          <w:rFonts w:ascii="黑体" w:hAnsi="黑体" w:eastAsia="黑体"/>
        </w:rPr>
      </w:pPr>
      <w:r>
        <w:rPr>
          <w:rStyle w:val="9"/>
          <w:rFonts w:ascii="黑体" w:hAnsi="黑体" w:eastAsia="黑体"/>
        </w:rPr>
        <w:footnoteRef/>
      </w:r>
      <w:r>
        <w:rPr>
          <w:rFonts w:ascii="黑体" w:hAnsi="黑体" w:eastAsia="黑体"/>
          <w:highlight w:val="white"/>
        </w:rPr>
        <w:t xml:space="preserve"> </w:t>
      </w:r>
      <w:r>
        <w:rPr>
          <w:rFonts w:hint="eastAsia" w:ascii="黑体" w:hAnsi="黑体" w:eastAsia="黑体"/>
          <w:highlight w:val="white"/>
        </w:rPr>
        <w:t>具体数值由招标人依据项目特点和实际需要予以明确。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TBmM2I1ODVmZWYzNDk0MTE1Nzg4Y2UzMTI4YzIifQ=="/>
  </w:docVars>
  <w:rsids>
    <w:rsidRoot w:val="13906136"/>
    <w:rsid w:val="05A12A08"/>
    <w:rsid w:val="0BC82F9D"/>
    <w:rsid w:val="13906136"/>
    <w:rsid w:val="19403FC4"/>
    <w:rsid w:val="223E744B"/>
    <w:rsid w:val="2ADC7AEB"/>
    <w:rsid w:val="430E5025"/>
    <w:rsid w:val="6FAC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qFormat/>
    <w:uiPriority w:val="0"/>
    <w:pPr>
      <w:spacing w:before="260" w:after="260"/>
      <w:outlineLvl w:val="1"/>
    </w:pPr>
    <w:rPr>
      <w:rFonts w:ascii="宋体" w:hAnsi="宋体" w:eastAsia="黑体"/>
      <w:bCs/>
      <w:iCs/>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footnote text"/>
    <w:basedOn w:val="1"/>
    <w:semiHidden/>
    <w:unhideWhenUsed/>
    <w:qFormat/>
    <w:uiPriority w:val="99"/>
    <w:pPr>
      <w:snapToGrid w:val="0"/>
      <w:jc w:val="left"/>
    </w:pPr>
    <w:rPr>
      <w:sz w:val="18"/>
      <w:szCs w:val="18"/>
    </w:rPr>
  </w:style>
  <w:style w:type="paragraph" w:styleId="5">
    <w:name w:val="table of figures"/>
    <w:basedOn w:val="6"/>
    <w:next w:val="6"/>
    <w:qFormat/>
    <w:uiPriority w:val="99"/>
    <w:pPr>
      <w:spacing w:before="0" w:beforeAutospacing="0" w:after="0" w:afterAutospacing="0"/>
      <w:ind w:left="200" w:leftChars="200" w:right="0" w:hanging="200" w:hangingChars="200"/>
      <w:jc w:val="left"/>
    </w:pPr>
    <w:rPr>
      <w:rFonts w:hint="eastAsia" w:ascii="宋体" w:hAnsi="宋体" w:eastAsia="宋体" w:cs="宋体"/>
      <w:kern w:val="0"/>
      <w:sz w:val="24"/>
      <w:szCs w:val="24"/>
      <w:lang w:val="en-US" w:eastAsia="zh-CN" w:bidi="ar"/>
    </w:rPr>
  </w:style>
  <w:style w:type="paragraph" w:customStyle="1" w:styleId="6">
    <w:name w:val="正文_0"/>
    <w:qFormat/>
    <w:uiPriority w:val="0"/>
    <w:pPr>
      <w:widowControl w:val="0"/>
      <w:jc w:val="both"/>
    </w:pPr>
    <w:rPr>
      <w:rFonts w:ascii="Calibri" w:hAnsi="Calibri" w:eastAsia="宋体" w:cs="Times New Roman"/>
      <w:kern w:val="2"/>
      <w:sz w:val="21"/>
      <w:szCs w:val="22"/>
      <w:lang w:val="en-US" w:eastAsia="zh-CN" w:bidi="ar-SA"/>
    </w:rPr>
  </w:style>
  <w:style w:type="character" w:styleId="9">
    <w:name w:val="footnote reference"/>
    <w:qFormat/>
    <w:uiPriority w:val="0"/>
    <w:rPr>
      <w:vertAlign w:val="superscript"/>
    </w:rPr>
  </w:style>
  <w:style w:type="paragraph" w:customStyle="1" w:styleId="10">
    <w:name w:val="普通(网站) Char"/>
    <w:basedOn w:val="6"/>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10373</Words>
  <Characters>11241</Characters>
  <Lines>0</Lines>
  <Paragraphs>0</Paragraphs>
  <TotalTime>0</TotalTime>
  <ScaleCrop>false</ScaleCrop>
  <LinksUpToDate>false</LinksUpToDate>
  <CharactersWithSpaces>12567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2022-12-09T02:32:00Z</dcterms:created>
  <dc:creator>拾壹✨</dc:creator>
  <cp:lastModifiedBy>拾壹✨</cp:lastModifiedBy>
  <dcterms:modified xsi:type="dcterms:W3CDTF">2023-02-14T01:55:41Z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05A3A43F8EDE4F1090B213412405A074</vt:lpwstr>
  </property>
</Properties>
</file>