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yellow"/>
        </w:rPr>
      </w:pPr>
    </w:p>
    <w:p>
      <w:pPr>
        <w:pStyle w:val="2"/>
        <w:rPr>
          <w:bCs/>
          <w:sz w:val="28"/>
          <w:szCs w:val="28"/>
          <w:vertAlign w:val="superscript"/>
        </w:rPr>
      </w:pPr>
      <w:r>
        <w:rPr>
          <w:rFonts w:hint="eastAsia"/>
          <w:bCs/>
          <w:sz w:val="28"/>
          <w:szCs w:val="28"/>
          <w:highlight w:val="white"/>
        </w:rPr>
        <w:t xml:space="preserve">附录1  </w:t>
      </w:r>
      <w:bookmarkStart w:id="43" w:name="_GoBack"/>
      <w:r>
        <w:rPr>
          <w:rFonts w:hint="eastAsia"/>
          <w:bCs/>
          <w:sz w:val="28"/>
          <w:szCs w:val="28"/>
          <w:highlight w:val="white"/>
        </w:rPr>
        <w:t>资格审查条件</w:t>
      </w:r>
      <w:bookmarkEnd w:id="43"/>
      <w:r>
        <w:rPr>
          <w:rFonts w:hint="eastAsia"/>
          <w:bCs/>
          <w:sz w:val="28"/>
          <w:szCs w:val="28"/>
          <w:highlight w:val="white"/>
        </w:rPr>
        <w:t>（资质最低要求）</w:t>
      </w:r>
      <w:r>
        <w:rPr>
          <w:rFonts w:ascii="黑体" w:hAnsi="黑体" w:eastAsia="黑体" w:cs="黑体"/>
          <w:bCs/>
          <w:sz w:val="28"/>
          <w:szCs w:val="28"/>
          <w:highlight w:val="white"/>
          <w:vertAlign w:val="superscript"/>
        </w:rPr>
        <w:t>[1]</w:t>
      </w: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pPr>
              <w:widowControl w:val="0"/>
              <w:adjustRightInd w:val="0"/>
              <w:snapToGrid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pPr>
              <w:widowControl w:val="0"/>
              <w:jc w:val="both"/>
              <w:rPr>
                <w:kern w:val="2"/>
                <w:sz w:val="21"/>
                <w:szCs w:val="22"/>
                <w:highlight w:val="green"/>
                <w:lang w:val="en-US" w:eastAsia="zh-CN" w:bidi="ar-SA"/>
              </w:rPr>
            </w:pPr>
            <w:bookmarkStart w:id="0" w:name="EBce2a08591a724b5396983df23f274c7a"/>
            <w:r>
              <w:rPr>
                <w:rFonts w:hint="eastAsia"/>
                <w:color w:val="0000FF"/>
                <w:kern w:val="2"/>
                <w:sz w:val="21"/>
                <w:szCs w:val="22"/>
                <w:highlight w:val="white"/>
                <w:lang w:val="en-US" w:eastAsia="zh-CN" w:bidi="ar-SA"/>
              </w:rPr>
              <w:t xml:space="preserve">具备独立法人资格、持有有效的营业执照、安全生产许可证、省级交通运输主管部门颁发的公路养护工程一类甲级资质或同时具备中华人民共和国交通运输部监制省级交通运输主管部门颁发的路基路面养护甲级资质、桥梁养护甲级资质、交通安全设施养护资质不分等级。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注：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  投标人应根据招标文件第二章“投标人须知”第 3.5.1 项的要求在“投标人基本情况表”后附相关证明材料。</w:t>
            </w:r>
            <w:bookmarkEnd w:id="0"/>
          </w:p>
        </w:tc>
      </w:tr>
    </w:tbl>
    <w:p>
      <w:pPr>
        <w:rPr>
          <w:highlight w:val="cyan"/>
        </w:rPr>
      </w:pPr>
      <w:bookmarkStart w:id="1" w:name="EBf42cbb27ea85418089287bf971d83af7"/>
      <w:r>
        <w:rPr>
          <w:rFonts w:hint="eastAsia"/>
          <w:color w:val="000080"/>
          <w:sz w:val="20"/>
          <w:highlight w:val="white"/>
        </w:rPr>
        <w:t xml:space="preserve"> </w:t>
      </w:r>
      <w:bookmarkEnd w:id="1"/>
    </w:p>
    <w:p>
      <w:pPr>
        <w:rPr>
          <w:highlight w:val="yellow"/>
        </w:rPr>
      </w:pPr>
      <w:r>
        <w:rPr>
          <w:highlight w:val="white"/>
        </w:rPr>
        <w:br w:type="page"/>
      </w:r>
      <w:bookmarkStart w:id="2" w:name="EBc4e073749ad84890bbaf75e6ccb91ced"/>
      <w:r>
        <w:rPr>
          <w:rFonts w:hint="eastAsia"/>
          <w:color w:val="000080"/>
          <w:sz w:val="20"/>
          <w:highlight w:val="white"/>
        </w:rPr>
        <w:t xml:space="preserve"> </w:t>
      </w:r>
      <w:bookmarkEnd w:id="2"/>
      <w:bookmarkStart w:id="3" w:name="EB93782708c28b45f3ad223e65c11a6226"/>
      <w:r>
        <w:rPr>
          <w:rFonts w:hint="eastAsia"/>
          <w:color w:val="000080"/>
          <w:sz w:val="20"/>
          <w:highlight w:val="white"/>
        </w:rPr>
        <w:t xml:space="preserve"> </w:t>
      </w:r>
      <w:bookmarkEnd w:id="3"/>
    </w:p>
    <w:p>
      <w:pPr>
        <w:pStyle w:val="2"/>
        <w:rPr>
          <w:bCs/>
          <w:sz w:val="28"/>
          <w:szCs w:val="28"/>
        </w:rPr>
      </w:pPr>
      <w:r>
        <w:rPr>
          <w:bCs/>
          <w:sz w:val="28"/>
          <w:szCs w:val="28"/>
          <w:highlight w:val="white"/>
        </w:rPr>
        <w:t>附录2  资格审查条件（财务最低要求</w:t>
      </w:r>
      <w:r>
        <w:rPr>
          <w:rFonts w:hint="eastAsia"/>
          <w:bCs/>
          <w:sz w:val="28"/>
          <w:szCs w:val="28"/>
          <w:highlight w:val="white"/>
        </w:rPr>
        <w:t>）</w:t>
      </w:r>
      <w:r>
        <w:rPr>
          <w:bCs/>
          <w:sz w:val="28"/>
          <w:szCs w:val="28"/>
          <w:highlight w:val="white"/>
        </w:rPr>
        <w:t>[2]</w:t>
      </w: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pPr>
              <w:widowControl w:val="0"/>
              <w:adjustRightInd w:val="0"/>
              <w:snapToGrid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pPr>
              <w:widowControl w:val="0"/>
              <w:jc w:val="both"/>
              <w:rPr>
                <w:kern w:val="2"/>
                <w:sz w:val="21"/>
                <w:szCs w:val="22"/>
                <w:highlight w:val="green"/>
                <w:lang w:val="en-US" w:eastAsia="zh-CN" w:bidi="ar-SA"/>
              </w:rPr>
            </w:pPr>
            <w:bookmarkStart w:id="4" w:name="EB8c01b8a32d5f42daa3732d652d1afa40"/>
            <w:r>
              <w:rPr>
                <w:rFonts w:hint="eastAsia"/>
                <w:color w:val="0000FF"/>
                <w:kern w:val="2"/>
                <w:sz w:val="21"/>
                <w:szCs w:val="22"/>
                <w:highlight w:val="white"/>
                <w:lang w:val="en-US" w:eastAsia="zh-CN" w:bidi="ar-SA"/>
              </w:rPr>
              <w:t xml:space="preserve">1、最近一年资产负债率不大于75%。最近一年资产负债率若超过 75%的，需提供投标人开立基本账户银行出具的针对本标段的不少于最高限价10%的银行信贷证明，且时限应满足整个施工期需要。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  2、最近一年为盈利。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注：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  1、投标人应根据招标文件第二章“投标人须知”第 3.5.2 项的要求在“财务状况表”后附相关证明材料。                                                        </w:t>
            </w:r>
          </w:p>
          <w:p>
            <w:pPr>
              <w:widowControl w:val="0"/>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  2、最近一年指2021年。</w:t>
            </w:r>
            <w:bookmarkEnd w:id="4"/>
          </w:p>
        </w:tc>
      </w:tr>
    </w:tbl>
    <w:p>
      <w:pPr>
        <w:adjustRightInd w:val="0"/>
        <w:snapToGrid w:val="0"/>
        <w:spacing w:line="300" w:lineRule="exact"/>
        <w:rPr>
          <w:rFonts w:ascii="Times New Roman" w:hAnsi="Times New Roman" w:eastAsia="黑体"/>
          <w:szCs w:val="24"/>
          <w:highlight w:val="cyan"/>
        </w:rPr>
      </w:pPr>
      <w:bookmarkStart w:id="5" w:name="EBa805c4e20fc9446c978a8e2e8990318a"/>
      <w:r>
        <w:rPr>
          <w:rFonts w:hint="eastAsia" w:ascii="Times New Roman" w:hAnsi="Times New Roman" w:eastAsia="黑体"/>
          <w:color w:val="000080"/>
          <w:sz w:val="20"/>
          <w:szCs w:val="24"/>
          <w:highlight w:val="white"/>
        </w:rPr>
        <w:t xml:space="preserve"> </w:t>
      </w:r>
      <w:bookmarkEnd w:id="5"/>
    </w:p>
    <w:p>
      <w:pPr>
        <w:adjustRightInd w:val="0"/>
        <w:snapToGrid w:val="0"/>
        <w:spacing w:line="300" w:lineRule="exact"/>
        <w:rPr>
          <w:rFonts w:ascii="Times New Roman" w:hAnsi="Times New Roman"/>
          <w:szCs w:val="24"/>
        </w:rPr>
      </w:pPr>
      <w:r>
        <w:rPr>
          <w:rFonts w:ascii="Times New Roman" w:hAnsi="Times New Roman" w:eastAsia="黑体"/>
          <w:szCs w:val="24"/>
          <w:highlight w:val="white"/>
        </w:rPr>
        <w:br w:type="page"/>
      </w:r>
      <w:bookmarkStart w:id="6" w:name="EB6763c4cdc54c4032a7fd73a1d903ee50"/>
      <w:r>
        <w:rPr>
          <w:rFonts w:hint="eastAsia" w:ascii="Times New Roman" w:hAnsi="Times New Roman"/>
          <w:color w:val="000080"/>
          <w:sz w:val="20"/>
          <w:szCs w:val="24"/>
          <w:highlight w:val="white"/>
        </w:rPr>
        <w:t xml:space="preserve"> </w:t>
      </w:r>
      <w:bookmarkEnd w:id="6"/>
      <w:bookmarkStart w:id="7" w:name="EB77fcba15e05d48cbaf06dfb06f167d33"/>
      <w:r>
        <w:rPr>
          <w:rFonts w:hint="eastAsia" w:ascii="Times New Roman" w:hAnsi="Times New Roman"/>
          <w:color w:val="000080"/>
          <w:sz w:val="20"/>
          <w:szCs w:val="24"/>
          <w:highlight w:val="white"/>
        </w:rPr>
        <w:t xml:space="preserve"> </w:t>
      </w:r>
      <w:bookmarkEnd w:id="7"/>
      <w:bookmarkStart w:id="8" w:name="EBc219bab1fcae4db8b6c38c43abf06d62"/>
      <w:r>
        <w:rPr>
          <w:rFonts w:hint="eastAsia" w:ascii="Times New Roman" w:hAnsi="Times New Roman"/>
          <w:color w:val="000080"/>
          <w:sz w:val="20"/>
          <w:szCs w:val="24"/>
          <w:highlight w:val="white"/>
        </w:rPr>
        <w:t xml:space="preserve"> </w:t>
      </w:r>
      <w:bookmarkEnd w:id="8"/>
    </w:p>
    <w:p>
      <w:pPr>
        <w:pStyle w:val="2"/>
        <w:rPr>
          <w:sz w:val="28"/>
          <w:szCs w:val="28"/>
        </w:rPr>
      </w:pPr>
      <w:bookmarkStart w:id="9" w:name="EB8287e08482b84153a7b1729aa3cea2f4"/>
      <w:r>
        <w:rPr>
          <w:rFonts w:hint="eastAsia"/>
          <w:color w:val="0000FF"/>
          <w:sz w:val="28"/>
          <w:szCs w:val="28"/>
          <w:highlight w:val="white"/>
        </w:rPr>
        <w:t>□</w:t>
      </w:r>
      <w:bookmarkEnd w:id="9"/>
      <w:r>
        <w:rPr>
          <w:rFonts w:hint="eastAsia"/>
          <w:sz w:val="28"/>
          <w:szCs w:val="28"/>
          <w:highlight w:val="white"/>
        </w:rPr>
        <w:t>附录</w:t>
      </w:r>
      <w:r>
        <w:rPr>
          <w:sz w:val="28"/>
          <w:szCs w:val="28"/>
          <w:highlight w:val="white"/>
        </w:rPr>
        <w:t xml:space="preserve">3 </w:t>
      </w:r>
      <w:r>
        <w:rPr>
          <w:rFonts w:hint="eastAsia"/>
          <w:sz w:val="28"/>
          <w:szCs w:val="28"/>
          <w:highlight w:val="white"/>
        </w:rPr>
        <w:t>资格审查条件（业绩最低要求）</w:t>
      </w:r>
    </w:p>
    <w:p>
      <w:pPr>
        <w:jc w:val="center"/>
        <w:rPr>
          <w:szCs w:val="24"/>
        </w:rPr>
      </w:pPr>
      <w:r>
        <w:rPr>
          <w:rFonts w:hint="eastAsia"/>
          <w:highlight w:val="white"/>
        </w:rPr>
        <w:t>类型一：适用于高速公路</w:t>
      </w:r>
    </w:p>
    <w:tbl>
      <w:tblPr>
        <w:tblStyle w:val="5"/>
        <w:tblW w:w="4881" w:type="pct"/>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43"/>
        <w:gridCol w:w="69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7" w:hRule="atLeast"/>
          <w:tblHeader/>
        </w:trPr>
        <w:tc>
          <w:tcPr>
            <w:tcW w:w="807" w:type="pct"/>
            <w:tcBorders>
              <w:top w:val="single" w:color="auto" w:sz="1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类别</w:t>
            </w:r>
          </w:p>
        </w:tc>
        <w:tc>
          <w:tcPr>
            <w:tcW w:w="4193" w:type="pct"/>
            <w:tcBorders>
              <w:top w:val="single" w:color="auto" w:sz="12" w:space="0"/>
              <w:left w:val="single" w:color="auto" w:sz="4" w:space="0"/>
              <w:bottom w:val="single" w:color="auto" w:sz="2" w:space="0"/>
              <w:right w:val="single" w:color="auto" w:sz="12" w:space="0"/>
            </w:tcBorders>
            <w:noWrap w:val="0"/>
            <w:vAlign w:val="center"/>
          </w:tcPr>
          <w:p>
            <w:pPr>
              <w:widowControl w:val="0"/>
              <w:topLinePunct/>
              <w:spacing w:line="440" w:lineRule="exact"/>
              <w:jc w:val="center"/>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业绩要求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64"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lang w:val="en-US" w:eastAsia="zh-CN" w:bidi="ar-SA"/>
              </w:rPr>
            </w:pPr>
            <w:bookmarkStart w:id="10" w:name="EB0e74b3df8719408bad48111b132428d2"/>
            <w:r>
              <w:rPr>
                <w:rFonts w:hint="eastAsia" w:ascii="黑体" w:hAnsi="黑体" w:eastAsia="黑体"/>
                <w:color w:val="0000FF"/>
                <w:kern w:val="2"/>
                <w:sz w:val="21"/>
                <w:szCs w:val="21"/>
                <w:highlight w:val="white"/>
                <w:lang w:val="en-US" w:eastAsia="zh-CN" w:bidi="ar-SA"/>
              </w:rPr>
              <w:t>路面工程㊳</w:t>
            </w:r>
            <w:bookmarkEnd w:id="10"/>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11" w:name="EB94c4f667f1e44396b71b7bd1d1973d43"/>
            <w:r>
              <w:rPr>
                <w:rFonts w:hint="eastAsia" w:ascii="黑体" w:hAnsi="黑体" w:eastAsia="黑体"/>
                <w:color w:val="0000FF"/>
                <w:kern w:val="2"/>
                <w:sz w:val="21"/>
                <w:szCs w:val="21"/>
                <w:highlight w:val="white"/>
                <w:lang w:val="en-US" w:eastAsia="zh-CN" w:bidi="ar-SA"/>
              </w:rPr>
              <w:t xml:space="preserve">第5标段：                                            </w:t>
            </w:r>
          </w:p>
          <w:p>
            <w:pPr>
              <w:widowControl w:val="0"/>
              <w:topLinePunct/>
              <w:spacing w:line="440" w:lineRule="exact"/>
              <w:ind w:firstLine="420" w:firstLineChars="200"/>
              <w:jc w:val="left"/>
              <w:rPr>
                <w:rFonts w:hint="eastAsia" w:ascii="黑体" w:hAnsi="黑体" w:eastAsia="黑体"/>
                <w:color w:val="0000FF"/>
                <w:kern w:val="2"/>
                <w:sz w:val="21"/>
                <w:szCs w:val="21"/>
                <w:highlight w:val="white"/>
                <w:lang w:val="en-US" w:eastAsia="zh-CN" w:bidi="ar-SA"/>
              </w:rPr>
            </w:pPr>
            <w:r>
              <w:rPr>
                <w:rFonts w:hint="eastAsia" w:ascii="黑体" w:hAnsi="黑体" w:eastAsia="黑体"/>
                <w:color w:val="0000FF"/>
                <w:kern w:val="2"/>
                <w:sz w:val="21"/>
                <w:szCs w:val="21"/>
                <w:highlight w:val="white"/>
                <w:lang w:val="en-US" w:eastAsia="zh-CN" w:bidi="ar-SA"/>
              </w:rPr>
              <w:t xml:space="preserve">最近 5 年（递交投标文件截止之日前一日回溯 5 年）内，独立完工过 1 个合同段高速公路养护工程（大修或中修）项目，包含路基路面工程(沥青路面单层面积不低于80 万 m2 )、交通安全设施工程(护栏累计数量不低于90Km）、桥梁维修加固工程。                                        </w:t>
            </w:r>
          </w:p>
          <w:p>
            <w:pPr>
              <w:widowControl w:val="0"/>
              <w:topLinePunct/>
              <w:spacing w:line="440" w:lineRule="exact"/>
              <w:ind w:firstLine="420" w:firstLineChars="200"/>
              <w:jc w:val="left"/>
              <w:rPr>
                <w:rFonts w:hint="eastAsia" w:ascii="黑体" w:hAnsi="黑体" w:eastAsia="黑体"/>
                <w:color w:val="0000FF"/>
                <w:kern w:val="2"/>
                <w:sz w:val="21"/>
                <w:szCs w:val="21"/>
                <w:highlight w:val="white"/>
                <w:lang w:val="en-US" w:eastAsia="zh-CN" w:bidi="ar-SA"/>
              </w:rPr>
            </w:pPr>
            <w:r>
              <w:rPr>
                <w:rFonts w:hint="eastAsia" w:ascii="黑体" w:hAnsi="黑体" w:eastAsia="黑体"/>
                <w:color w:val="0000FF"/>
                <w:kern w:val="2"/>
                <w:sz w:val="21"/>
                <w:szCs w:val="21"/>
                <w:highlight w:val="white"/>
                <w:lang w:val="en-US" w:eastAsia="zh-CN" w:bidi="ar-SA"/>
              </w:rPr>
              <w:t xml:space="preserve">                                            </w:t>
            </w:r>
          </w:p>
          <w:p>
            <w:pPr>
              <w:widowControl w:val="0"/>
              <w:topLinePunct/>
              <w:spacing w:line="440" w:lineRule="exact"/>
              <w:ind w:firstLine="420" w:firstLineChars="200"/>
              <w:jc w:val="left"/>
              <w:rPr>
                <w:rFonts w:hint="eastAsia" w:ascii="黑体" w:hAnsi="黑体" w:eastAsia="黑体"/>
                <w:color w:val="0000FF"/>
                <w:kern w:val="2"/>
                <w:sz w:val="21"/>
                <w:szCs w:val="21"/>
                <w:highlight w:val="white"/>
                <w:lang w:val="en-US" w:eastAsia="zh-CN" w:bidi="ar-SA"/>
              </w:rPr>
            </w:pPr>
            <w:r>
              <w:rPr>
                <w:rFonts w:hint="eastAsia" w:ascii="黑体" w:hAnsi="黑体" w:eastAsia="黑体"/>
                <w:color w:val="0000FF"/>
                <w:kern w:val="2"/>
                <w:sz w:val="21"/>
                <w:szCs w:val="21"/>
                <w:highlight w:val="white"/>
                <w:lang w:val="en-US" w:eastAsia="zh-CN" w:bidi="ar-SA"/>
              </w:rPr>
              <w:t xml:space="preserve">注：                                             </w:t>
            </w:r>
          </w:p>
          <w:p>
            <w:pPr>
              <w:widowControl w:val="0"/>
              <w:topLinePunct/>
              <w:spacing w:line="440" w:lineRule="exact"/>
              <w:ind w:firstLine="420" w:firstLineChars="200"/>
              <w:jc w:val="left"/>
              <w:rPr>
                <w:rFonts w:hint="eastAsia" w:ascii="黑体" w:hAnsi="黑体" w:eastAsia="黑体"/>
                <w:color w:val="0000FF"/>
                <w:kern w:val="2"/>
                <w:sz w:val="21"/>
                <w:szCs w:val="21"/>
                <w:highlight w:val="white"/>
                <w:lang w:val="en-US" w:eastAsia="zh-CN" w:bidi="ar-SA"/>
              </w:rPr>
            </w:pPr>
            <w:r>
              <w:rPr>
                <w:rFonts w:hint="eastAsia" w:ascii="黑体" w:hAnsi="黑体" w:eastAsia="黑体"/>
                <w:color w:val="0000FF"/>
                <w:kern w:val="2"/>
                <w:sz w:val="21"/>
                <w:szCs w:val="21"/>
                <w:highlight w:val="white"/>
                <w:lang w:val="en-US" w:eastAsia="zh-CN" w:bidi="ar-SA"/>
              </w:rPr>
              <w:t xml:space="preserve">1、投标人应根据招标文件第二章“投标人须知”第 3.5.3 项的要求在“近 年完成的类似项目情况表”后附相关证明材料。                                             </w:t>
            </w:r>
          </w:p>
          <w:p>
            <w:pPr>
              <w:widowControl w:val="0"/>
              <w:topLinePunct/>
              <w:spacing w:line="440" w:lineRule="exact"/>
              <w:ind w:firstLine="420" w:firstLineChars="200"/>
              <w:jc w:val="left"/>
              <w:rPr>
                <w:rFonts w:hint="eastAsia" w:ascii="黑体" w:hAnsi="黑体" w:eastAsia="黑体"/>
                <w:color w:val="0000FF"/>
                <w:kern w:val="2"/>
                <w:sz w:val="21"/>
                <w:szCs w:val="21"/>
                <w:highlight w:val="white"/>
                <w:lang w:val="en-US" w:eastAsia="zh-CN" w:bidi="ar-SA"/>
              </w:rPr>
            </w:pPr>
            <w:r>
              <w:rPr>
                <w:rFonts w:hint="eastAsia" w:ascii="黑体" w:hAnsi="黑体" w:eastAsia="黑体"/>
                <w:color w:val="0000FF"/>
                <w:kern w:val="2"/>
                <w:sz w:val="21"/>
                <w:szCs w:val="21"/>
                <w:highlight w:val="white"/>
                <w:lang w:val="en-US" w:eastAsia="zh-CN" w:bidi="ar-SA"/>
              </w:rPr>
              <w:t xml:space="preserve">2、业绩计算日期养护大修工程以项目交工验收之日为截止日；养护中修工程以项目完工验收之日为截止日。                                            </w:t>
            </w:r>
          </w:p>
          <w:p>
            <w:pPr>
              <w:widowControl w:val="0"/>
              <w:topLinePunct/>
              <w:spacing w:line="440" w:lineRule="exact"/>
              <w:ind w:firstLine="420" w:firstLineChars="200"/>
              <w:jc w:val="left"/>
              <w:rPr>
                <w:rFonts w:hint="eastAsia" w:ascii="黑体" w:hAnsi="黑体" w:eastAsia="黑体"/>
                <w:color w:val="0000FF"/>
                <w:kern w:val="2"/>
                <w:sz w:val="21"/>
                <w:szCs w:val="21"/>
                <w:highlight w:val="white"/>
                <w:lang w:val="en-US" w:eastAsia="zh-CN" w:bidi="ar-SA"/>
              </w:rPr>
            </w:pPr>
            <w:r>
              <w:rPr>
                <w:rFonts w:hint="eastAsia" w:ascii="黑体" w:hAnsi="黑体" w:eastAsia="黑体"/>
                <w:color w:val="0000FF"/>
                <w:kern w:val="2"/>
                <w:sz w:val="21"/>
                <w:szCs w:val="21"/>
                <w:highlight w:val="white"/>
                <w:lang w:val="en-US" w:eastAsia="zh-CN" w:bidi="ar-SA"/>
              </w:rPr>
              <w:t>3、单层路面面积指厚度大于等于4cm的路面上面层或中面层或下面层的任意一层，同一路段的多层路面面积不重复计算。</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52"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lang w:val="en-US" w:eastAsia="zh-CN" w:bidi="ar-SA"/>
              </w:rPr>
            </w:pPr>
            <w:bookmarkStart w:id="12" w:name="EBe64a9ced995e47d9add2baeb44a617c1"/>
            <w:r>
              <w:rPr>
                <w:rFonts w:hint="eastAsia" w:ascii="黑体" w:hAnsi="黑体" w:eastAsia="黑体"/>
                <w:color w:val="0000FF"/>
                <w:kern w:val="2"/>
                <w:sz w:val="21"/>
                <w:szCs w:val="21"/>
                <w:highlight w:val="white"/>
                <w:lang w:val="en-US" w:eastAsia="zh-CN" w:bidi="ar-SA"/>
              </w:rPr>
              <w:t>㊸/</w:t>
            </w:r>
            <w:bookmarkEnd w:id="12"/>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13" w:name="EBebdcb08f338f484daf8d5340205a2d46"/>
            <w:r>
              <w:rPr>
                <w:rFonts w:hint="eastAsia" w:ascii="黑体" w:hAnsi="黑体" w:eastAsia="黑体"/>
                <w:color w:val="0000FF"/>
                <w:kern w:val="2"/>
                <w:sz w:val="21"/>
                <w:szCs w:val="21"/>
                <w:highlight w:val="white"/>
                <w:lang w:val="en-US" w:eastAsia="zh-CN" w:bidi="ar-SA"/>
              </w:rPr>
              <w:t>/</w:t>
            </w:r>
            <w:bookmarkEnd w:id="1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3"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highlight w:val="green"/>
                <w:lang w:val="en-US" w:eastAsia="zh-CN" w:bidi="ar-SA"/>
              </w:rPr>
            </w:pPr>
            <w:bookmarkStart w:id="14" w:name="EB97212a880a934a55aa851a7d57de6cb1"/>
            <w:r>
              <w:rPr>
                <w:rFonts w:hint="eastAsia" w:ascii="黑体" w:hAnsi="黑体" w:eastAsia="黑体"/>
                <w:color w:val="0000FF"/>
                <w:kern w:val="2"/>
                <w:sz w:val="21"/>
                <w:szCs w:val="21"/>
                <w:highlight w:val="white"/>
                <w:lang w:val="en-US" w:eastAsia="zh-CN" w:bidi="ar-SA"/>
              </w:rPr>
              <w:t>/</w:t>
            </w:r>
            <w:bookmarkEnd w:id="14"/>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15" w:name="EB98f53d6e41ec4f98a9360c6b1dd0050e"/>
            <w:r>
              <w:rPr>
                <w:rFonts w:hint="eastAsia" w:ascii="黑体" w:hAnsi="黑体" w:eastAsia="黑体"/>
                <w:color w:val="0000FF"/>
                <w:kern w:val="2"/>
                <w:sz w:val="21"/>
                <w:szCs w:val="21"/>
                <w:highlight w:val="white"/>
                <w:lang w:val="en-US" w:eastAsia="zh-CN" w:bidi="ar-SA"/>
              </w:rPr>
              <w:t>/</w:t>
            </w:r>
            <w:bookmarkEnd w:id="1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8"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highlight w:val="green"/>
                <w:lang w:val="en-US" w:eastAsia="zh-CN" w:bidi="ar-SA"/>
              </w:rPr>
            </w:pPr>
            <w:bookmarkStart w:id="16" w:name="EBd1af5c2a1806468d92e8367080797c8e"/>
            <w:r>
              <w:rPr>
                <w:rFonts w:hint="eastAsia" w:ascii="黑体" w:hAnsi="黑体" w:eastAsia="黑体"/>
                <w:color w:val="0000FF"/>
                <w:kern w:val="2"/>
                <w:sz w:val="21"/>
                <w:szCs w:val="21"/>
                <w:highlight w:val="white"/>
                <w:lang w:val="en-US" w:eastAsia="zh-CN" w:bidi="ar-SA"/>
              </w:rPr>
              <w:t>/</w:t>
            </w:r>
            <w:bookmarkEnd w:id="16"/>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17" w:name="EB649f2b1d2fc745ca86808d7bbdbcfb23"/>
            <w:r>
              <w:rPr>
                <w:rFonts w:hint="eastAsia" w:ascii="黑体" w:hAnsi="黑体" w:eastAsia="黑体"/>
                <w:color w:val="0000FF"/>
                <w:kern w:val="2"/>
                <w:sz w:val="21"/>
                <w:szCs w:val="21"/>
                <w:highlight w:val="white"/>
                <w:lang w:val="en-US" w:eastAsia="zh-CN" w:bidi="ar-SA"/>
              </w:rPr>
              <w:t>/</w:t>
            </w:r>
            <w:bookmarkEnd w:id="1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7"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highlight w:val="green"/>
                <w:lang w:val="en-US" w:eastAsia="zh-CN" w:bidi="ar-SA"/>
              </w:rPr>
            </w:pPr>
            <w:bookmarkStart w:id="18" w:name="EBff76ac866b34426ca2f8f1136c752847"/>
            <w:r>
              <w:rPr>
                <w:rFonts w:hint="eastAsia" w:ascii="黑体" w:hAnsi="黑体" w:eastAsia="黑体"/>
                <w:color w:val="0000FF"/>
                <w:kern w:val="2"/>
                <w:sz w:val="21"/>
                <w:szCs w:val="21"/>
                <w:highlight w:val="white"/>
                <w:lang w:val="en-US" w:eastAsia="zh-CN" w:bidi="ar-SA"/>
              </w:rPr>
              <w:t>/</w:t>
            </w:r>
            <w:bookmarkEnd w:id="18"/>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19" w:name="EBdacbafdbc78a490ca08b4c292f732ddc"/>
            <w:r>
              <w:rPr>
                <w:rFonts w:hint="eastAsia" w:ascii="黑体" w:hAnsi="黑体" w:eastAsia="黑体"/>
                <w:color w:val="0000FF"/>
                <w:kern w:val="2"/>
                <w:sz w:val="21"/>
                <w:szCs w:val="21"/>
                <w:highlight w:val="white"/>
                <w:lang w:val="en-US" w:eastAsia="zh-CN" w:bidi="ar-SA"/>
              </w:rPr>
              <w:t>/</w:t>
            </w:r>
            <w:bookmarkEnd w:id="1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33"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highlight w:val="green"/>
                <w:lang w:val="en-US" w:eastAsia="zh-CN" w:bidi="ar-SA"/>
              </w:rPr>
            </w:pPr>
            <w:bookmarkStart w:id="20" w:name="EB75b6d6ab9ce145afa177ddb7d4007bec"/>
            <w:r>
              <w:rPr>
                <w:rFonts w:hint="eastAsia" w:ascii="黑体" w:hAnsi="黑体" w:eastAsia="黑体"/>
                <w:color w:val="0000FF"/>
                <w:kern w:val="2"/>
                <w:sz w:val="21"/>
                <w:szCs w:val="21"/>
                <w:highlight w:val="white"/>
                <w:lang w:val="en-US" w:eastAsia="zh-CN" w:bidi="ar-SA"/>
              </w:rPr>
              <w:t>/</w:t>
            </w:r>
            <w:bookmarkEnd w:id="20"/>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21" w:name="EB9407fddeb1834194a9534c03288ed639"/>
            <w:r>
              <w:rPr>
                <w:rFonts w:hint="eastAsia" w:ascii="黑体" w:hAnsi="黑体" w:eastAsia="黑体"/>
                <w:color w:val="0000FF"/>
                <w:kern w:val="2"/>
                <w:sz w:val="21"/>
                <w:szCs w:val="21"/>
                <w:highlight w:val="white"/>
                <w:lang w:val="en-US" w:eastAsia="zh-CN" w:bidi="ar-SA"/>
              </w:rPr>
              <w:t>/</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0" w:hRule="atLeast"/>
        </w:trPr>
        <w:tc>
          <w:tcPr>
            <w:tcW w:w="807" w:type="pct"/>
            <w:tcBorders>
              <w:top w:val="single" w:color="auto" w:sz="2" w:space="0"/>
              <w:left w:val="single" w:color="auto" w:sz="12" w:space="0"/>
              <w:bottom w:val="single" w:color="auto" w:sz="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highlight w:val="green"/>
                <w:lang w:val="en-US" w:eastAsia="zh-CN" w:bidi="ar-SA"/>
              </w:rPr>
            </w:pPr>
            <w:bookmarkStart w:id="22" w:name="EB53be4845c7de4ffdbae845d27535e845"/>
            <w:r>
              <w:rPr>
                <w:rFonts w:hint="eastAsia" w:ascii="黑体" w:hAnsi="黑体" w:eastAsia="黑体"/>
                <w:color w:val="0000FF"/>
                <w:kern w:val="2"/>
                <w:sz w:val="21"/>
                <w:szCs w:val="21"/>
                <w:highlight w:val="white"/>
                <w:lang w:val="en-US" w:eastAsia="zh-CN" w:bidi="ar-SA"/>
              </w:rPr>
              <w:t>/</w:t>
            </w:r>
            <w:bookmarkEnd w:id="22"/>
          </w:p>
        </w:tc>
        <w:tc>
          <w:tcPr>
            <w:tcW w:w="4193" w:type="pct"/>
            <w:tcBorders>
              <w:top w:val="single" w:color="auto" w:sz="2" w:space="0"/>
              <w:left w:val="single" w:color="auto" w:sz="4" w:space="0"/>
              <w:bottom w:val="single" w:color="auto" w:sz="2" w:space="0"/>
              <w:right w:val="single" w:color="auto" w:sz="12" w:space="0"/>
            </w:tcBorders>
            <w:noWrap w:val="0"/>
            <w:vAlign w:val="center"/>
          </w:tcPr>
          <w:p>
            <w:pPr>
              <w:widowControl w:val="0"/>
              <w:topLinePunct/>
              <w:spacing w:line="440" w:lineRule="exact"/>
              <w:ind w:firstLine="420" w:firstLineChars="200"/>
              <w:jc w:val="left"/>
              <w:rPr>
                <w:rFonts w:ascii="黑体" w:hAnsi="黑体" w:eastAsia="黑体"/>
                <w:kern w:val="2"/>
                <w:sz w:val="21"/>
                <w:szCs w:val="21"/>
                <w:highlight w:val="green"/>
                <w:lang w:val="en-US" w:eastAsia="zh-CN" w:bidi="ar-SA"/>
              </w:rPr>
            </w:pPr>
            <w:bookmarkStart w:id="23" w:name="EBe9b747cdc99f4b7d85ecad3899639122"/>
            <w:r>
              <w:rPr>
                <w:rFonts w:hint="eastAsia" w:ascii="黑体" w:hAnsi="黑体" w:eastAsia="黑体"/>
                <w:color w:val="0000FF"/>
                <w:kern w:val="2"/>
                <w:sz w:val="21"/>
                <w:szCs w:val="21"/>
                <w:highlight w:val="white"/>
                <w:lang w:val="en-US" w:eastAsia="zh-CN" w:bidi="ar-SA"/>
              </w:rPr>
              <w:t>/</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76" w:hRule="atLeast"/>
        </w:trPr>
        <w:tc>
          <w:tcPr>
            <w:tcW w:w="807" w:type="pct"/>
            <w:tcBorders>
              <w:top w:val="single" w:color="auto" w:sz="2" w:space="0"/>
              <w:left w:val="single" w:color="auto" w:sz="12" w:space="0"/>
              <w:bottom w:val="single" w:color="auto" w:sz="12" w:space="0"/>
              <w:right w:val="single" w:color="auto" w:sz="2" w:space="0"/>
            </w:tcBorders>
            <w:noWrap w:val="0"/>
            <w:vAlign w:val="center"/>
          </w:tcPr>
          <w:p>
            <w:pPr>
              <w:widowControl w:val="0"/>
              <w:topLinePunct/>
              <w:spacing w:line="440" w:lineRule="exact"/>
              <w:jc w:val="center"/>
              <w:rPr>
                <w:rFonts w:ascii="黑体" w:hAnsi="黑体" w:eastAsia="黑体"/>
                <w:kern w:val="2"/>
                <w:sz w:val="21"/>
                <w:szCs w:val="21"/>
                <w:highlight w:val="green"/>
                <w:lang w:val="en-US" w:eastAsia="zh-CN" w:bidi="ar-SA"/>
              </w:rPr>
            </w:pPr>
            <w:bookmarkStart w:id="24" w:name="EB35a5b8de6d7a418ca7b626a461679fdb"/>
            <w:r>
              <w:rPr>
                <w:rFonts w:hint="eastAsia" w:ascii="黑体" w:hAnsi="黑体" w:eastAsia="黑体"/>
                <w:color w:val="0000FF"/>
                <w:kern w:val="2"/>
                <w:sz w:val="21"/>
                <w:szCs w:val="21"/>
                <w:highlight w:val="white"/>
                <w:lang w:val="en-US" w:eastAsia="zh-CN" w:bidi="ar-SA"/>
              </w:rPr>
              <w:t>/</w:t>
            </w:r>
            <w:bookmarkEnd w:id="24"/>
          </w:p>
        </w:tc>
        <w:tc>
          <w:tcPr>
            <w:tcW w:w="4193" w:type="pct"/>
            <w:tcBorders>
              <w:top w:val="single" w:color="auto" w:sz="2" w:space="0"/>
              <w:left w:val="single" w:color="auto" w:sz="4" w:space="0"/>
              <w:bottom w:val="single" w:color="auto" w:sz="12" w:space="0"/>
              <w:right w:val="single" w:color="auto" w:sz="12" w:space="0"/>
            </w:tcBorders>
            <w:noWrap w:val="0"/>
            <w:vAlign w:val="center"/>
          </w:tcPr>
          <w:p>
            <w:pPr>
              <w:widowControl/>
              <w:spacing w:line="360" w:lineRule="auto"/>
              <w:ind w:firstLine="420" w:firstLineChars="200"/>
              <w:jc w:val="both"/>
              <w:rPr>
                <w:rFonts w:ascii="黑体" w:hAnsi="黑体" w:eastAsia="黑体"/>
                <w:kern w:val="2"/>
                <w:sz w:val="21"/>
                <w:szCs w:val="21"/>
                <w:highlight w:val="green"/>
                <w:lang w:val="en-US" w:eastAsia="zh-CN" w:bidi="ar-SA"/>
              </w:rPr>
            </w:pPr>
            <w:bookmarkStart w:id="25" w:name="EBe7bf7de70af24f62aa6eab2408b93992"/>
            <w:r>
              <w:rPr>
                <w:rFonts w:hint="eastAsia" w:ascii="黑体" w:hAnsi="黑体" w:eastAsia="黑体"/>
                <w:color w:val="0000FF"/>
                <w:kern w:val="2"/>
                <w:sz w:val="21"/>
                <w:szCs w:val="21"/>
                <w:highlight w:val="white"/>
                <w:lang w:val="en-US" w:eastAsia="zh-CN" w:bidi="ar-SA"/>
              </w:rPr>
              <w:t>/</w:t>
            </w:r>
            <w:bookmarkEnd w:id="25"/>
          </w:p>
        </w:tc>
      </w:tr>
    </w:tbl>
    <w:p>
      <w:pPr>
        <w:pStyle w:val="4"/>
        <w:spacing w:line="300" w:lineRule="atLeast"/>
        <w:ind w:right="-229" w:rightChars="-109" w:firstLine="0"/>
        <w:jc w:val="both"/>
        <w:rPr>
          <w:rFonts w:ascii="黑体" w:hAnsi="黑体" w:eastAsia="黑体"/>
        </w:rPr>
      </w:pPr>
      <w:r>
        <w:rPr>
          <w:rFonts w:hint="eastAsia" w:ascii="MS Gothic" w:hAnsi="MS Gothic" w:eastAsia="MS Gothic" w:cs="MS Gothic"/>
          <w:highlight w:val="white"/>
        </w:rPr>
        <w:t>㊳</w:t>
      </w:r>
      <w:r>
        <w:rPr>
          <w:rFonts w:hint="eastAsia" w:ascii="黑体" w:hAnsi="黑体" w:eastAsia="黑体"/>
          <w:highlight w:val="white"/>
        </w:rPr>
        <w:t>具体业绩要求由招标人在满足国家相关法律法规前提下，根据招标项目具体特点和实际情况确定，但不得设置过高的业绩资格条件。其中，对于单个合同的业绩要求如下：一般路基、桥涵、路面、交通安全设施、机电工程、房建工程应为类似工程实际规模1.2-1.4倍（不低于1.2倍，不高于1.4倍）；技术特别复杂的特大桥梁和特长隧道项目主体工程不低于类似工程实际规模0.8倍；特大桥梁以类似桥梁单项指标为最低要求（优先考虑顺序：长度、主孔跨径）； 特长隧道以隧道单洞长度为最低要求。如多项专业工程中含有大桥（或特大桥）工程、或长隧道（或特长隧道）工程，可以额外增设与具体招标项目实际规模相当的其它桥梁（或隧道）业绩要求；对于高速公路改扩建工程，可以额外要求投标人必须具有“高速公路改扩建项目路基工程施工经验”。</w:t>
      </w:r>
    </w:p>
    <w:p>
      <w:pPr>
        <w:pStyle w:val="4"/>
        <w:spacing w:line="300" w:lineRule="atLeast"/>
        <w:ind w:right="-229" w:rightChars="-109" w:firstLine="180" w:firstLineChars="100"/>
        <w:jc w:val="both"/>
        <w:rPr>
          <w:rFonts w:ascii="黑体" w:hAnsi="黑体" w:eastAsia="黑体"/>
        </w:rPr>
      </w:pPr>
      <w:r>
        <w:rPr>
          <w:rFonts w:hint="eastAsia" w:ascii="MS Gothic" w:hAnsi="MS Gothic" w:eastAsia="MS Gothic" w:cs="MS Gothic"/>
          <w:highlight w:val="white"/>
        </w:rPr>
        <w:t>㊴</w:t>
      </w:r>
      <w:r>
        <w:rPr>
          <w:rFonts w:hint="eastAsia" w:ascii="黑体" w:hAnsi="黑体" w:eastAsia="黑体"/>
          <w:highlight w:val="white"/>
        </w:rPr>
        <w:t>一般要求近5年。</w:t>
      </w:r>
    </w:p>
    <w:p>
      <w:pPr>
        <w:pStyle w:val="4"/>
        <w:spacing w:line="300" w:lineRule="atLeast"/>
        <w:ind w:right="-229" w:rightChars="-109" w:firstLine="180" w:firstLineChars="100"/>
        <w:jc w:val="both"/>
        <w:rPr>
          <w:rFonts w:ascii="黑体" w:hAnsi="黑体" w:eastAsia="黑体"/>
        </w:rPr>
      </w:pPr>
      <w:r>
        <w:rPr>
          <w:rFonts w:hint="eastAsia" w:ascii="MS Gothic" w:hAnsi="MS Gothic" w:eastAsia="MS Gothic" w:cs="MS Gothic"/>
          <w:highlight w:val="white"/>
        </w:rPr>
        <w:t>㊵</w:t>
      </w:r>
      <w:r>
        <w:rPr>
          <w:rFonts w:hint="eastAsia" w:ascii="黑体" w:hAnsi="黑体" w:eastAsia="黑体"/>
          <w:highlight w:val="white"/>
        </w:rPr>
        <w:t>一般定义为1个，也可根据招标项目具体特点和实际情况适当增加。</w:t>
      </w:r>
    </w:p>
    <w:p>
      <w:pPr>
        <w:pStyle w:val="4"/>
        <w:spacing w:line="300" w:lineRule="atLeast"/>
        <w:ind w:right="-229" w:rightChars="-109" w:firstLine="180" w:firstLineChars="100"/>
        <w:jc w:val="both"/>
        <w:rPr>
          <w:rFonts w:ascii="黑体" w:hAnsi="黑体" w:eastAsia="黑体"/>
        </w:rPr>
      </w:pPr>
      <w:r>
        <w:rPr>
          <w:rFonts w:hint="eastAsia" w:ascii="MS Gothic" w:hAnsi="MS Gothic" w:eastAsia="MS Gothic" w:cs="MS Gothic"/>
          <w:highlight w:val="white"/>
        </w:rPr>
        <w:t>㊶</w:t>
      </w:r>
      <w:r>
        <w:rPr>
          <w:rFonts w:hint="eastAsia" w:ascii="黑体" w:hAnsi="黑体" w:eastAsia="黑体"/>
          <w:highlight w:val="white"/>
        </w:rPr>
        <w:t>车道数、公里数应与具体招标项目实际规模相当，不同车道数按照“车道数×公里数基本相等”的原则对应不同的公里数。</w:t>
      </w:r>
    </w:p>
    <w:p>
      <w:pPr>
        <w:pStyle w:val="4"/>
        <w:spacing w:line="300" w:lineRule="atLeast"/>
        <w:ind w:right="-229" w:rightChars="-109" w:firstLine="180" w:firstLineChars="100"/>
        <w:jc w:val="both"/>
        <w:rPr>
          <w:rFonts w:ascii="黑体" w:hAnsi="黑体" w:eastAsia="黑体"/>
        </w:rPr>
      </w:pPr>
      <w:r>
        <w:rPr>
          <w:rFonts w:hint="eastAsia" w:ascii="MS Gothic" w:hAnsi="MS Gothic" w:eastAsia="MS Gothic" w:cs="MS Gothic"/>
          <w:highlight w:val="white"/>
        </w:rPr>
        <w:t>㊷</w:t>
      </w:r>
      <w:r>
        <w:rPr>
          <w:rFonts w:hint="eastAsia" w:ascii="黑体" w:hAnsi="黑体" w:eastAsia="黑体"/>
          <w:highlight w:val="white"/>
        </w:rPr>
        <w:t>对于特殊结构（例如悬索桥、斜拉桥等）的特大桥梁项目，除要求投标人近5年的桥梁工程业绩满足桥梁单项指标为最低要求外（优先考虑顺序：长度、主孔跨径），另可要求投标人近8年内具有承担过类似特殊桥梁结构的经历（仅为技术经历，不对其长度、跨径等业绩指标进行考核）。</w:t>
      </w:r>
    </w:p>
    <w:p>
      <w:pPr>
        <w:ind w:firstLine="90" w:firstLineChars="50"/>
        <w:rPr>
          <w:rFonts w:ascii="黑体" w:hAnsi="黑体" w:eastAsia="黑体"/>
          <w:kern w:val="0"/>
          <w:sz w:val="18"/>
          <w:szCs w:val="20"/>
          <w:lang w:val="zh-CN"/>
        </w:rPr>
      </w:pPr>
      <w:r>
        <w:rPr>
          <w:rFonts w:hint="eastAsia" w:ascii="MS Gothic" w:hAnsi="MS Gothic" w:eastAsia="MS Gothic" w:cs="MS Gothic"/>
          <w:kern w:val="0"/>
          <w:sz w:val="18"/>
          <w:szCs w:val="20"/>
          <w:highlight w:val="white"/>
          <w:lang w:val="zh-CN"/>
        </w:rPr>
        <w:t>㊸</w:t>
      </w:r>
      <w:r>
        <w:rPr>
          <w:rFonts w:hint="eastAsia" w:ascii="黑体" w:hAnsi="黑体" w:eastAsia="黑体"/>
          <w:kern w:val="0"/>
          <w:sz w:val="18"/>
          <w:szCs w:val="20"/>
          <w:highlight w:val="white"/>
          <w:lang w:val="zh-CN"/>
        </w:rPr>
        <w:t>如路基工程中含有大桥（或特大桥）工程、或长隧道（或特长隧道）工程，可以额外增设与具体招标项目实际规模相当的其它桥梁（或隧道）业绩要求；对于高速公路改扩建工程，可以额外要求投标人必须具有“高速公路改扩建项目路基工程施工经验”。</w:t>
      </w:r>
    </w:p>
    <w:p>
      <w:pPr>
        <w:rPr>
          <w:rFonts w:ascii="Times New Roman" w:hAnsi="Times New Roman"/>
          <w:szCs w:val="21"/>
          <w:highlight w:val="cyan"/>
        </w:rPr>
      </w:pPr>
      <w:bookmarkStart w:id="26" w:name="EB3387cf8355a94cecbe7ea37e6c558116"/>
      <w:r>
        <w:rPr>
          <w:rFonts w:hint="eastAsia"/>
          <w:color w:val="000080"/>
          <w:sz w:val="20"/>
          <w:highlight w:val="white"/>
        </w:rPr>
        <w:t xml:space="preserve"> </w:t>
      </w:r>
      <w:bookmarkEnd w:id="26"/>
      <w:bookmarkStart w:id="27" w:name="EB3142949eef39405d82562ae218b14e84"/>
      <w:r>
        <w:rPr>
          <w:rFonts w:hint="eastAsia"/>
          <w:color w:val="000080"/>
          <w:sz w:val="20"/>
          <w:highlight w:val="white"/>
        </w:rPr>
        <w:t xml:space="preserve"> </w:t>
      </w:r>
      <w:bookmarkEnd w:id="27"/>
      <w:bookmarkStart w:id="28" w:name="EB1191476413894dee9aa83f34c771092a"/>
      <w:r>
        <w:rPr>
          <w:rFonts w:hint="eastAsia"/>
          <w:color w:val="000080"/>
          <w:sz w:val="20"/>
          <w:highlight w:val="white"/>
        </w:rPr>
        <w:t xml:space="preserve"> </w:t>
      </w:r>
      <w:bookmarkEnd w:id="28"/>
      <w:bookmarkStart w:id="29" w:name="EB31dfdb20777644cda08e1ec5b0a75bd6"/>
      <w:r>
        <w:rPr>
          <w:rFonts w:hint="eastAsia"/>
          <w:color w:val="000080"/>
          <w:sz w:val="20"/>
          <w:highlight w:val="white"/>
        </w:rPr>
        <w:t xml:space="preserve"> </w:t>
      </w:r>
      <w:bookmarkEnd w:id="29"/>
      <w:bookmarkStart w:id="30" w:name="EB1827cce964744bc69befd973269a6440"/>
      <w:r>
        <w:rPr>
          <w:rFonts w:hint="eastAsia"/>
          <w:color w:val="000080"/>
          <w:sz w:val="20"/>
          <w:highlight w:val="white"/>
        </w:rPr>
        <w:t xml:space="preserve"> </w:t>
      </w:r>
      <w:bookmarkEnd w:id="30"/>
    </w:p>
    <w:p>
      <w:pPr>
        <w:rPr>
          <w:highlight w:val="yellow"/>
        </w:rPr>
      </w:pPr>
    </w:p>
    <w:p>
      <w:pPr>
        <w:pStyle w:val="2"/>
        <w:rPr>
          <w:bCs/>
          <w:sz w:val="28"/>
          <w:szCs w:val="28"/>
        </w:rPr>
      </w:pPr>
      <w:r>
        <w:rPr>
          <w:rFonts w:hint="eastAsia"/>
          <w:bCs/>
          <w:sz w:val="28"/>
          <w:szCs w:val="28"/>
          <w:highlight w:val="white"/>
        </w:rPr>
        <w:t>附录4  资格审查条件（信誉最低要求）</w:t>
      </w:r>
      <w:r>
        <w:rPr>
          <w:bCs/>
          <w:sz w:val="28"/>
          <w:szCs w:val="28"/>
          <w:highlight w:val="white"/>
        </w:rPr>
        <w:t>[</w:t>
      </w:r>
      <w:r>
        <w:rPr>
          <w:rFonts w:hint="eastAsia"/>
          <w:bCs/>
          <w:sz w:val="28"/>
          <w:szCs w:val="28"/>
          <w:highlight w:val="white"/>
        </w:rPr>
        <w:t>14</w:t>
      </w:r>
      <w:r>
        <w:rPr>
          <w:bCs/>
          <w:sz w:val="28"/>
          <w:szCs w:val="28"/>
          <w:highlight w:val="white"/>
        </w:rPr>
        <w:t>]</w:t>
      </w: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pPr>
              <w:widowControl w:val="0"/>
              <w:adjustRightInd w:val="0"/>
              <w:snapToGrid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pPr>
              <w:widowControl w:val="0"/>
              <w:adjustRightInd w:val="0"/>
              <w:snapToGrid w:val="0"/>
              <w:spacing w:line="400" w:lineRule="atLeast"/>
              <w:jc w:val="both"/>
              <w:rPr>
                <w:rFonts w:ascii="Times New Roman" w:hAnsi="Times New Roman"/>
                <w:kern w:val="2"/>
                <w:sz w:val="21"/>
                <w:szCs w:val="21"/>
                <w:highlight w:val="green"/>
                <w:lang w:val="en-US" w:eastAsia="zh-CN" w:bidi="ar-SA"/>
              </w:rPr>
            </w:pPr>
            <w:bookmarkStart w:id="31" w:name="EB70d590306edf4dc6a01aaca0279d15b3"/>
            <w:r>
              <w:rPr>
                <w:rFonts w:hint="eastAsia" w:ascii="Times New Roman" w:hAnsi="Times New Roman"/>
                <w:color w:val="0000FF"/>
                <w:kern w:val="2"/>
                <w:sz w:val="21"/>
                <w:szCs w:val="21"/>
                <w:highlight w:val="white"/>
                <w:lang w:val="en-US" w:eastAsia="zh-CN" w:bidi="ar-SA"/>
              </w:rPr>
              <w:t xml:space="preserve">投标人不得存在投标人须知1.4.3款和1.4.4款的情形且不得存在以下情形之一：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被湖南省交通运输厅评为最近第一年度D级、连续三年（最近第一年、最近第二年和最近第三年）评为C级及以下信用等级的投标人。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1、投标人应根据招标文件第二章“投标人须知”第 3.5.4 项的要求在“投标人的信誉情况表”后附相关证明材料。</w:t>
            </w:r>
            <w:bookmarkEnd w:id="31"/>
          </w:p>
        </w:tc>
      </w:tr>
    </w:tbl>
    <w:p>
      <w:pPr>
        <w:rPr>
          <w:highlight w:val="cyan"/>
        </w:rPr>
      </w:pPr>
      <w:bookmarkStart w:id="32" w:name="EBeee04246003f44f6b8b7817ff4e8b59d"/>
      <w:r>
        <w:rPr>
          <w:rFonts w:hint="eastAsia"/>
          <w:color w:val="000080"/>
          <w:sz w:val="20"/>
          <w:highlight w:val="white"/>
        </w:rPr>
        <w:t xml:space="preserve"> </w:t>
      </w:r>
      <w:bookmarkEnd w:id="32"/>
    </w:p>
    <w:p>
      <w:pPr>
        <w:rPr>
          <w:highlight w:val="yellow"/>
        </w:rPr>
      </w:pPr>
      <w:r>
        <w:rPr>
          <w:highlight w:val="white"/>
        </w:rPr>
        <w:br w:type="page"/>
      </w:r>
      <w:bookmarkStart w:id="33" w:name="EBb62c8fe9a2b647b68b16dcde1377e81d"/>
      <w:r>
        <w:rPr>
          <w:rFonts w:hint="eastAsia"/>
          <w:color w:val="000080"/>
          <w:sz w:val="20"/>
          <w:highlight w:val="white"/>
        </w:rPr>
        <w:t xml:space="preserve"> </w:t>
      </w:r>
      <w:bookmarkEnd w:id="33"/>
      <w:bookmarkStart w:id="34" w:name="EBa900028e94bb4ceb85a2b827b9fdb158"/>
      <w:r>
        <w:rPr>
          <w:rFonts w:hint="eastAsia"/>
          <w:color w:val="000080"/>
          <w:sz w:val="20"/>
          <w:highlight w:val="white"/>
        </w:rPr>
        <w:t xml:space="preserve"> </w:t>
      </w:r>
      <w:bookmarkEnd w:id="34"/>
    </w:p>
    <w:p>
      <w:pPr>
        <w:pStyle w:val="2"/>
        <w:rPr>
          <w:bCs/>
          <w:sz w:val="28"/>
          <w:szCs w:val="28"/>
        </w:rPr>
      </w:pPr>
      <w:r>
        <w:rPr>
          <w:bCs/>
          <w:sz w:val="28"/>
          <w:szCs w:val="28"/>
          <w:highlight w:val="white"/>
        </w:rPr>
        <w:t>附录5  资格审查条件（项目经理和项目总工最低要求</w:t>
      </w:r>
      <w:r>
        <w:rPr>
          <w:rFonts w:hint="eastAsia"/>
          <w:bCs/>
          <w:sz w:val="28"/>
          <w:szCs w:val="28"/>
          <w:highlight w:val="white"/>
        </w:rPr>
        <w:t>）</w:t>
      </w:r>
      <w:r>
        <w:rPr>
          <w:bCs/>
          <w:sz w:val="28"/>
          <w:szCs w:val="28"/>
          <w:highlight w:val="white"/>
        </w:rPr>
        <w:t>[</w:t>
      </w:r>
      <w:r>
        <w:rPr>
          <w:rFonts w:hint="eastAsia"/>
          <w:bCs/>
          <w:sz w:val="28"/>
          <w:szCs w:val="28"/>
          <w:highlight w:val="white"/>
        </w:rPr>
        <w:t>15</w:t>
      </w:r>
      <w:r>
        <w:rPr>
          <w:bCs/>
          <w:sz w:val="28"/>
          <w:szCs w:val="28"/>
          <w:highlight w:val="white"/>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476"/>
        <w:gridCol w:w="2734"/>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人</w:t>
            </w:r>
            <w:r>
              <w:rPr>
                <w:kern w:val="2"/>
                <w:sz w:val="21"/>
                <w:szCs w:val="21"/>
                <w:highlight w:val="white"/>
                <w:lang w:val="en-US" w:eastAsia="zh-CN" w:bidi="ar-SA"/>
              </w:rPr>
              <w:t xml:space="preserve">  </w:t>
            </w:r>
            <w:r>
              <w:rPr>
                <w:rFonts w:hint="eastAsia"/>
                <w:kern w:val="2"/>
                <w:sz w:val="21"/>
                <w:szCs w:val="21"/>
                <w:highlight w:val="white"/>
                <w:lang w:val="en-US" w:eastAsia="zh-CN" w:bidi="ar-SA"/>
              </w:rPr>
              <w:t>员</w:t>
            </w:r>
          </w:p>
        </w:tc>
        <w:tc>
          <w:tcPr>
            <w:tcW w:w="86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数</w:t>
            </w:r>
            <w:r>
              <w:rPr>
                <w:kern w:val="2"/>
                <w:sz w:val="21"/>
                <w:szCs w:val="21"/>
                <w:highlight w:val="white"/>
                <w:lang w:val="en-US" w:eastAsia="zh-CN" w:bidi="ar-SA"/>
              </w:rPr>
              <w:t xml:space="preserve">  </w:t>
            </w:r>
            <w:r>
              <w:rPr>
                <w:rFonts w:hint="eastAsia"/>
                <w:kern w:val="2"/>
                <w:sz w:val="21"/>
                <w:szCs w:val="21"/>
                <w:highlight w:val="white"/>
                <w:lang w:val="en-US" w:eastAsia="zh-CN" w:bidi="ar-SA"/>
              </w:rPr>
              <w:t>量</w:t>
            </w:r>
          </w:p>
        </w:tc>
        <w:tc>
          <w:tcPr>
            <w:tcW w:w="1604"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资</w:t>
            </w:r>
            <w:r>
              <w:rPr>
                <w:kern w:val="2"/>
                <w:sz w:val="21"/>
                <w:szCs w:val="21"/>
                <w:highlight w:val="white"/>
                <w:lang w:val="en-US" w:eastAsia="zh-CN" w:bidi="ar-SA"/>
              </w:rPr>
              <w:t xml:space="preserve"> </w:t>
            </w:r>
            <w:r>
              <w:rPr>
                <w:rFonts w:hint="eastAsia"/>
                <w:kern w:val="2"/>
                <w:sz w:val="21"/>
                <w:szCs w:val="21"/>
                <w:highlight w:val="white"/>
                <w:lang w:val="en-US" w:eastAsia="zh-CN" w:bidi="ar-SA"/>
              </w:rPr>
              <w:t>格</w:t>
            </w:r>
            <w:r>
              <w:rPr>
                <w:kern w:val="2"/>
                <w:sz w:val="21"/>
                <w:szCs w:val="21"/>
                <w:highlight w:val="white"/>
                <w:lang w:val="en-US" w:eastAsia="zh-CN" w:bidi="ar-SA"/>
              </w:rPr>
              <w:t xml:space="preserve"> </w:t>
            </w:r>
            <w:r>
              <w:rPr>
                <w:rFonts w:hint="eastAsia"/>
                <w:kern w:val="2"/>
                <w:sz w:val="21"/>
                <w:szCs w:val="21"/>
                <w:highlight w:val="white"/>
                <w:lang w:val="en-US" w:eastAsia="zh-CN" w:bidi="ar-SA"/>
              </w:rPr>
              <w:t>要</w:t>
            </w:r>
            <w:r>
              <w:rPr>
                <w:kern w:val="2"/>
                <w:sz w:val="21"/>
                <w:szCs w:val="21"/>
                <w:highlight w:val="white"/>
                <w:lang w:val="en-US" w:eastAsia="zh-CN" w:bidi="ar-SA"/>
              </w:rPr>
              <w:t xml:space="preserve"> </w:t>
            </w:r>
            <w:r>
              <w:rPr>
                <w:rFonts w:hint="eastAsia"/>
                <w:kern w:val="2"/>
                <w:sz w:val="21"/>
                <w:szCs w:val="21"/>
                <w:highlight w:val="white"/>
                <w:lang w:val="en-US" w:eastAsia="zh-CN" w:bidi="ar-SA"/>
              </w:rPr>
              <w:t>求</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7" w:hRule="atLeast"/>
          <w:jc w:val="center"/>
        </w:trPr>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auto"/>
              <w:jc w:val="center"/>
              <w:rPr>
                <w:kern w:val="2"/>
                <w:sz w:val="21"/>
                <w:szCs w:val="21"/>
                <w:highlight w:val="green"/>
                <w:lang w:val="en-US" w:eastAsia="zh-CN" w:bidi="ar-SA"/>
              </w:rPr>
            </w:pPr>
            <w:bookmarkStart w:id="35" w:name="EB3967958281154d5fa19c48ce785f90ae"/>
            <w:r>
              <w:rPr>
                <w:rFonts w:hint="eastAsia"/>
                <w:color w:val="0000FF"/>
                <w:kern w:val="2"/>
                <w:sz w:val="21"/>
                <w:szCs w:val="21"/>
                <w:highlight w:val="white"/>
                <w:lang w:val="en-US" w:eastAsia="zh-CN" w:bidi="ar-SA"/>
              </w:rPr>
              <w:t>项目经理</w:t>
            </w:r>
            <w:bookmarkEnd w:id="35"/>
          </w:p>
        </w:tc>
        <w:tc>
          <w:tcPr>
            <w:tcW w:w="86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kern w:val="2"/>
                <w:sz w:val="21"/>
                <w:szCs w:val="21"/>
                <w:highlight w:val="green"/>
                <w:lang w:val="en-US" w:eastAsia="zh-CN" w:bidi="ar-SA"/>
              </w:rPr>
            </w:pPr>
            <w:bookmarkStart w:id="36" w:name="EBba27b2db1c5d47f29f20cd6394774d74"/>
            <w:r>
              <w:rPr>
                <w:rFonts w:hint="eastAsia"/>
                <w:color w:val="0000FF"/>
                <w:kern w:val="2"/>
                <w:sz w:val="21"/>
                <w:szCs w:val="21"/>
                <w:highlight w:val="white"/>
                <w:lang w:val="en-US" w:eastAsia="zh-CN" w:bidi="ar-SA"/>
              </w:rPr>
              <w:t>1</w:t>
            </w:r>
            <w:bookmarkEnd w:id="36"/>
          </w:p>
        </w:tc>
        <w:tc>
          <w:tcPr>
            <w:tcW w:w="1604" w:type="pct"/>
            <w:tcBorders>
              <w:top w:val="single" w:color="auto" w:sz="4" w:space="0"/>
              <w:left w:val="single" w:color="auto" w:sz="4" w:space="0"/>
              <w:right w:val="single" w:color="auto" w:sz="4" w:space="0"/>
            </w:tcBorders>
            <w:noWrap w:val="0"/>
            <w:vAlign w:val="center"/>
          </w:tcPr>
          <w:p>
            <w:pPr>
              <w:widowControl w:val="0"/>
              <w:adjustRightInd w:val="0"/>
              <w:snapToGrid w:val="0"/>
              <w:spacing w:line="300" w:lineRule="auto"/>
              <w:jc w:val="both"/>
              <w:rPr>
                <w:kern w:val="2"/>
                <w:sz w:val="21"/>
                <w:szCs w:val="21"/>
                <w:highlight w:val="green"/>
                <w:lang w:val="en-US" w:eastAsia="zh-CN" w:bidi="ar-SA"/>
              </w:rPr>
            </w:pPr>
            <w:bookmarkStart w:id="37" w:name="EBfa138e8ba8014f0a975209c5f9f950a3"/>
            <w:r>
              <w:rPr>
                <w:rFonts w:hint="eastAsia"/>
                <w:color w:val="0000FF"/>
                <w:kern w:val="2"/>
                <w:sz w:val="21"/>
                <w:szCs w:val="21"/>
                <w:highlight w:val="white"/>
                <w:lang w:val="en-US" w:eastAsia="zh-CN" w:bidi="ar-SA"/>
              </w:rPr>
              <w:t xml:space="preserve">（1）工程师及以上技术职称；                                                 </w:t>
            </w:r>
          </w:p>
          <w:p>
            <w:pPr>
              <w:widowControl w:val="0"/>
              <w:adjustRightInd w:val="0"/>
              <w:snapToGrid w:val="0"/>
              <w:spacing w:line="300" w:lineRule="auto"/>
              <w:jc w:val="both"/>
              <w:rPr>
                <w:rFonts w:hint="eastAsia"/>
                <w:color w:val="0000FF"/>
                <w:kern w:val="2"/>
                <w:sz w:val="21"/>
                <w:szCs w:val="21"/>
                <w:highlight w:val="white"/>
                <w:lang w:val="en-US" w:eastAsia="zh-CN" w:bidi="ar-SA"/>
              </w:rPr>
            </w:pPr>
            <w:r>
              <w:rPr>
                <w:rFonts w:hint="eastAsia"/>
                <w:color w:val="0000FF"/>
                <w:kern w:val="2"/>
                <w:sz w:val="21"/>
                <w:szCs w:val="21"/>
                <w:highlight w:val="white"/>
                <w:lang w:val="en-US" w:eastAsia="zh-CN" w:bidi="ar-SA"/>
              </w:rPr>
              <w:t xml:space="preserve">（2）具有公路工程专业一级注册建造师证书，注册单位必须与投标人名称一致；                                                 </w:t>
            </w:r>
          </w:p>
          <w:p>
            <w:pPr>
              <w:widowControl w:val="0"/>
              <w:adjustRightInd w:val="0"/>
              <w:snapToGrid w:val="0"/>
              <w:spacing w:line="300" w:lineRule="auto"/>
              <w:jc w:val="both"/>
              <w:rPr>
                <w:rFonts w:hint="eastAsia"/>
                <w:color w:val="0000FF"/>
                <w:kern w:val="2"/>
                <w:sz w:val="21"/>
                <w:szCs w:val="21"/>
                <w:highlight w:val="white"/>
                <w:lang w:val="en-US" w:eastAsia="zh-CN" w:bidi="ar-SA"/>
              </w:rPr>
            </w:pPr>
            <w:r>
              <w:rPr>
                <w:rFonts w:hint="eastAsia"/>
                <w:color w:val="0000FF"/>
                <w:kern w:val="2"/>
                <w:sz w:val="21"/>
                <w:szCs w:val="21"/>
                <w:highlight w:val="white"/>
                <w:lang w:val="en-US" w:eastAsia="zh-CN" w:bidi="ar-SA"/>
              </w:rPr>
              <w:t xml:space="preserve">（3）具有交通运输部（或省级交通运输主管部门）颁发的安全生产“三类人员”B类证书；                                                 </w:t>
            </w:r>
          </w:p>
          <w:p>
            <w:pPr>
              <w:widowControl w:val="0"/>
              <w:adjustRightInd w:val="0"/>
              <w:snapToGrid w:val="0"/>
              <w:spacing w:line="300" w:lineRule="auto"/>
              <w:jc w:val="both"/>
              <w:rPr>
                <w:rFonts w:hint="eastAsia"/>
                <w:color w:val="0000FF"/>
                <w:kern w:val="2"/>
                <w:sz w:val="21"/>
                <w:szCs w:val="21"/>
                <w:highlight w:val="white"/>
                <w:lang w:val="en-US" w:eastAsia="zh-CN" w:bidi="ar-SA"/>
              </w:rPr>
            </w:pPr>
            <w:r>
              <w:rPr>
                <w:rFonts w:hint="eastAsia"/>
                <w:color w:val="0000FF"/>
                <w:kern w:val="2"/>
                <w:sz w:val="21"/>
                <w:szCs w:val="21"/>
                <w:highlight w:val="white"/>
                <w:lang w:val="en-US" w:eastAsia="zh-CN" w:bidi="ar-SA"/>
              </w:rPr>
              <w:t>（4）近 5 年内（递交投标文件截止之日前一日回溯5年）曾担任过1个合同段高速公路养护工程（大修或中修）施工的项目经理或项目副经理或项目总工职务。</w:t>
            </w:r>
            <w:bookmarkEnd w:id="37"/>
          </w:p>
        </w:tc>
        <w:tc>
          <w:tcPr>
            <w:tcW w:w="160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both"/>
              <w:rPr>
                <w:kern w:val="2"/>
                <w:sz w:val="21"/>
                <w:szCs w:val="21"/>
                <w:lang w:val="en-US" w:eastAsia="zh-CN" w:bidi="ar-SA"/>
              </w:rPr>
            </w:pPr>
            <w:bookmarkStart w:id="38" w:name="EB815c665a07e5459599becf7a54f09aac"/>
            <w:r>
              <w:rPr>
                <w:rFonts w:hint="eastAsia"/>
                <w:color w:val="0000FF"/>
                <w:kern w:val="2"/>
                <w:sz w:val="21"/>
                <w:szCs w:val="22"/>
                <w:highlight w:val="white"/>
                <w:lang w:val="en-US" w:eastAsia="zh-CN" w:bidi="ar-SA"/>
              </w:rPr>
              <w:t xml:space="preserve">无在岗项目（指目前未在其他项目上任职，或虽在其他项目上任职但本项目中标后能够从该项目撤离）[中标人拟任的项目经理和项目总工在其他项目上任职的，在招标人对其发出中标通知书后，应在15个工作日内撤离该项目，否则招标人可取消其中标资格。 同时，根据湘交基建规[2019]17 号文件要求，在“湖南省交通建设项目从业人员监管平台”被锁定的人员不得参与投标，否则按废标处理。）                                                   </w:t>
            </w:r>
          </w:p>
          <w:p>
            <w:pPr>
              <w:widowControl w:val="0"/>
              <w:adjustRightInd w:val="0"/>
              <w:snapToGrid w:val="0"/>
              <w:spacing w:line="300" w:lineRule="auto"/>
              <w:jc w:val="both"/>
              <w:rPr>
                <w:rFonts w:hint="eastAsia"/>
                <w:color w:val="0000FF"/>
                <w:kern w:val="2"/>
                <w:sz w:val="21"/>
                <w:szCs w:val="22"/>
                <w:highlight w:val="white"/>
                <w:lang w:val="en-US" w:eastAsia="zh-CN" w:bidi="ar-SA"/>
              </w:rPr>
            </w:pPr>
            <w:r>
              <w:rPr>
                <w:rFonts w:hint="eastAsia"/>
                <w:color w:val="0000FF"/>
                <w:kern w:val="2"/>
                <w:sz w:val="21"/>
                <w:szCs w:val="22"/>
                <w:highlight w:val="white"/>
                <w:lang w:val="en-US" w:eastAsia="zh-CN" w:bidi="ar-SA"/>
              </w:rPr>
              <w:t xml:space="preserve"> 注：投标人应根据招标文件第二章“投标人须知”第 3.5.5项的要求在“拟委任的项目经理和项目总工资历表”后附相关证明材料</w:t>
            </w:r>
            <w:bookmarkEnd w:id="38"/>
            <w:r>
              <w:rPr>
                <w:rStyle w:val="7"/>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8" w:hRule="atLeast"/>
          <w:jc w:val="center"/>
        </w:trPr>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auto"/>
              <w:jc w:val="center"/>
              <w:rPr>
                <w:kern w:val="2"/>
                <w:sz w:val="21"/>
                <w:szCs w:val="21"/>
                <w:highlight w:val="green"/>
                <w:lang w:val="en-US" w:eastAsia="zh-CN" w:bidi="ar-SA"/>
              </w:rPr>
            </w:pPr>
            <w:bookmarkStart w:id="39" w:name="EBf43c65141a4d4a0da772a11b6ab94520"/>
            <w:r>
              <w:rPr>
                <w:rFonts w:hint="eastAsia"/>
                <w:color w:val="0000FF"/>
                <w:kern w:val="2"/>
                <w:sz w:val="21"/>
                <w:szCs w:val="21"/>
                <w:highlight w:val="white"/>
                <w:lang w:val="en-US" w:eastAsia="zh-CN" w:bidi="ar-SA"/>
              </w:rPr>
              <w:t>项目总工</w:t>
            </w:r>
            <w:bookmarkEnd w:id="39"/>
          </w:p>
        </w:tc>
        <w:tc>
          <w:tcPr>
            <w:tcW w:w="866"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kern w:val="2"/>
                <w:sz w:val="21"/>
                <w:szCs w:val="21"/>
                <w:highlight w:val="green"/>
                <w:lang w:val="en-US" w:eastAsia="zh-CN" w:bidi="ar-SA"/>
              </w:rPr>
            </w:pPr>
            <w:bookmarkStart w:id="40" w:name="EBa1e01d28e88a46fc9796c399ea9714de"/>
            <w:r>
              <w:rPr>
                <w:rFonts w:hint="eastAsia"/>
                <w:color w:val="0000FF"/>
                <w:kern w:val="2"/>
                <w:sz w:val="21"/>
                <w:szCs w:val="21"/>
                <w:highlight w:val="white"/>
                <w:lang w:val="en-US" w:eastAsia="zh-CN" w:bidi="ar-SA"/>
              </w:rPr>
              <w:t>1</w:t>
            </w:r>
            <w:bookmarkEnd w:id="40"/>
          </w:p>
        </w:tc>
        <w:tc>
          <w:tcPr>
            <w:tcW w:w="1604" w:type="pct"/>
            <w:tcBorders>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both"/>
              <w:rPr>
                <w:kern w:val="2"/>
                <w:sz w:val="21"/>
                <w:szCs w:val="21"/>
                <w:highlight w:val="green"/>
                <w:lang w:val="en-US" w:eastAsia="zh-CN" w:bidi="ar-SA"/>
              </w:rPr>
            </w:pPr>
            <w:bookmarkStart w:id="41" w:name="EBadf1247e62614ed5b05b992b218dbdda"/>
            <w:r>
              <w:rPr>
                <w:rFonts w:hint="eastAsia"/>
                <w:color w:val="0000FF"/>
                <w:kern w:val="2"/>
                <w:sz w:val="21"/>
                <w:szCs w:val="21"/>
                <w:highlight w:val="white"/>
                <w:lang w:val="en-US" w:eastAsia="zh-CN" w:bidi="ar-SA"/>
              </w:rPr>
              <w:t xml:space="preserve">（1）高级工程师及以上技术职称（公路工程相关专业）；                                               </w:t>
            </w:r>
          </w:p>
          <w:p>
            <w:pPr>
              <w:widowControl w:val="0"/>
              <w:adjustRightInd w:val="0"/>
              <w:snapToGrid w:val="0"/>
              <w:spacing w:line="300" w:lineRule="auto"/>
              <w:jc w:val="both"/>
              <w:rPr>
                <w:rFonts w:hint="eastAsia"/>
                <w:color w:val="0000FF"/>
                <w:kern w:val="2"/>
                <w:sz w:val="21"/>
                <w:szCs w:val="21"/>
                <w:highlight w:val="white"/>
                <w:lang w:val="en-US" w:eastAsia="zh-CN" w:bidi="ar-SA"/>
              </w:rPr>
            </w:pPr>
            <w:r>
              <w:rPr>
                <w:rFonts w:hint="eastAsia"/>
                <w:color w:val="0000FF"/>
                <w:kern w:val="2"/>
                <w:sz w:val="21"/>
                <w:szCs w:val="21"/>
                <w:highlight w:val="white"/>
                <w:lang w:val="en-US" w:eastAsia="zh-CN" w:bidi="ar-SA"/>
              </w:rPr>
              <w:t xml:space="preserve">（2）具有交通运输部（或省级交通运输主管部门）颁发的安全生产“三类人员”B类证书；                                               </w:t>
            </w:r>
          </w:p>
          <w:p>
            <w:pPr>
              <w:widowControl w:val="0"/>
              <w:adjustRightInd w:val="0"/>
              <w:snapToGrid w:val="0"/>
              <w:spacing w:line="300" w:lineRule="auto"/>
              <w:jc w:val="both"/>
              <w:rPr>
                <w:rFonts w:hint="eastAsia"/>
                <w:color w:val="0000FF"/>
                <w:kern w:val="2"/>
                <w:sz w:val="21"/>
                <w:szCs w:val="21"/>
                <w:highlight w:val="white"/>
                <w:lang w:val="en-US" w:eastAsia="zh-CN" w:bidi="ar-SA"/>
              </w:rPr>
            </w:pPr>
            <w:r>
              <w:rPr>
                <w:rFonts w:hint="eastAsia"/>
                <w:color w:val="0000FF"/>
                <w:kern w:val="2"/>
                <w:sz w:val="21"/>
                <w:szCs w:val="21"/>
                <w:highlight w:val="white"/>
                <w:lang w:val="en-US" w:eastAsia="zh-CN" w:bidi="ar-SA"/>
              </w:rPr>
              <w:t xml:space="preserve">（3） 近 5 年内（递交投标文件截止之日前一日回溯5年）曾担任过1个合同段高速公路养护工程（大修或中修）施工的项目总工（技术负责人）或项目副总工职务。                               </w:t>
            </w:r>
          </w:p>
          <w:p>
            <w:pPr>
              <w:widowControl w:val="0"/>
              <w:adjustRightInd w:val="0"/>
              <w:snapToGrid w:val="0"/>
              <w:spacing w:line="300" w:lineRule="auto"/>
              <w:jc w:val="both"/>
              <w:rPr>
                <w:rFonts w:hint="eastAsia"/>
                <w:color w:val="0000FF"/>
                <w:kern w:val="2"/>
                <w:sz w:val="21"/>
                <w:szCs w:val="21"/>
                <w:highlight w:val="white"/>
                <w:lang w:val="en-US" w:eastAsia="zh-CN" w:bidi="ar-SA"/>
              </w:rPr>
            </w:pPr>
            <w:r>
              <w:rPr>
                <w:rFonts w:hint="eastAsia"/>
                <w:color w:val="0000FF"/>
                <w:kern w:val="2"/>
                <w:sz w:val="21"/>
                <w:szCs w:val="21"/>
                <w:highlight w:val="white"/>
                <w:lang w:val="en-US" w:eastAsia="zh-CN" w:bidi="ar-SA"/>
              </w:rPr>
              <w:t>注：1.公路工程相关专业职称包括公路工程、桥梁工程、交通土建、隧道（地下结构）工程、交通工程等专业职称。</w:t>
            </w:r>
            <w:bookmarkEnd w:id="41"/>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2"/>
                <w:sz w:val="21"/>
                <w:szCs w:val="21"/>
                <w:lang w:val="en-US" w:eastAsia="zh-CN" w:bidi="ar-SA"/>
              </w:rPr>
            </w:pPr>
          </w:p>
        </w:tc>
      </w:tr>
    </w:tbl>
    <w:p>
      <w:pPr>
        <w:rPr>
          <w:highlight w:val="cyan"/>
        </w:rPr>
      </w:pPr>
      <w:bookmarkStart w:id="42" w:name="EBf74a419252e54499a3c27352ce4a3b6f"/>
      <w:r>
        <w:rPr>
          <w:rFonts w:hint="eastAsia"/>
          <w:color w:val="000080"/>
          <w:sz w:val="20"/>
          <w:highlight w:val="white"/>
        </w:rPr>
        <w:t xml:space="preserve"> </w:t>
      </w:r>
      <w:bookmarkEnd w:id="4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WY1NDBlYWQ0YjhlNjEzMjBjOWJkZWM2MmI0NzIifQ=="/>
  </w:docVars>
  <w:rsids>
    <w:rsidRoot w:val="2FDD3F15"/>
    <w:rsid w:val="2FDD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3"/>
    <w:qFormat/>
    <w:uiPriority w:val="0"/>
    <w:pPr>
      <w:keepNext/>
      <w:keepLines/>
      <w:widowControl/>
      <w:spacing w:before="120" w:after="120" w:line="360" w:lineRule="auto"/>
      <w:jc w:val="center"/>
      <w:outlineLvl w:val="2"/>
    </w:pPr>
    <w:rPr>
      <w:rFonts w:ascii="Times New Roman" w:hAnsi="Times New Roman"/>
      <w:b/>
      <w:kern w:val="0"/>
      <w:sz w:val="32"/>
      <w:szCs w:val="20"/>
      <w:lang w:val="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szCs w:val="24"/>
    </w:rPr>
  </w:style>
  <w:style w:type="paragraph" w:styleId="4">
    <w:name w:val="footnote text"/>
    <w:basedOn w:val="1"/>
    <w:qFormat/>
    <w:uiPriority w:val="0"/>
    <w:pPr>
      <w:adjustRightInd w:val="0"/>
      <w:snapToGrid w:val="0"/>
      <w:spacing w:line="420" w:lineRule="atLeast"/>
      <w:ind w:firstLine="454"/>
      <w:jc w:val="left"/>
      <w:textAlignment w:val="baseline"/>
    </w:pPr>
    <w:rPr>
      <w:rFonts w:ascii="Times New Roman" w:hAnsi="Times New Roman"/>
      <w:kern w:val="0"/>
      <w:sz w:val="18"/>
      <w:szCs w:val="20"/>
      <w:lang w:val="zh-CN"/>
    </w:rPr>
  </w:style>
  <w:style w:type="character" w:styleId="7">
    <w:name w:val="footnote reference"/>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2022-12-23T01:27:00Z</dcterms:created>
  <dc:creator>陈卉芳</dc:creator>
  <cp:lastModifiedBy>陈卉芳</cp:lastModifiedBy>
  <dcterms:modified xsi:type="dcterms:W3CDTF">2022-12-23T01:30:20Z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B80466DD675F412EA4EF757D1E190C7D</vt:lpwstr>
  </property>
</Properties>
</file>