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hint="eastAsia" w:ascii="Times New Roman" w:hAnsi="Times New Roman" w:eastAsia="黑体"/>
          <w:color w:val="000000"/>
          <w:sz w:val="28"/>
          <w:szCs w:val="28"/>
          <w:highlight w:val="none"/>
          <w:u w:val="single"/>
        </w:rPr>
      </w:pPr>
      <w:r>
        <w:rPr>
          <w:rFonts w:hint="eastAsia" w:ascii="Times New Roman" w:hAnsi="Times New Roman" w:eastAsia="黑体"/>
          <w:color w:val="000000"/>
          <w:sz w:val="28"/>
          <w:szCs w:val="28"/>
          <w:highlight w:val="none"/>
          <w:u w:val="single"/>
        </w:rPr>
        <w:t>湖南高速公路集团有限公司机电</w:t>
      </w:r>
      <w:r>
        <w:rPr>
          <w:rFonts w:hint="eastAsia" w:ascii="Times New Roman" w:hAnsi="Times New Roman" w:eastAsia="黑体"/>
          <w:color w:val="000000"/>
          <w:sz w:val="28"/>
          <w:szCs w:val="28"/>
          <w:highlight w:val="none"/>
          <w:u w:val="single"/>
          <w:lang w:eastAsia="zh-CN"/>
        </w:rPr>
        <w:t>养护</w:t>
      </w:r>
      <w:r>
        <w:rPr>
          <w:rFonts w:hint="eastAsia" w:ascii="Times New Roman" w:hAnsi="Times New Roman" w:eastAsia="黑体"/>
          <w:color w:val="000000"/>
          <w:sz w:val="28"/>
          <w:szCs w:val="28"/>
          <w:highlight w:val="none"/>
          <w:u w:val="single"/>
        </w:rPr>
        <w:t>工程主要设备采购项目</w:t>
      </w:r>
    </w:p>
    <w:p>
      <w:pPr>
        <w:spacing w:line="440" w:lineRule="atLeast"/>
        <w:jc w:val="center"/>
        <w:rPr>
          <w:rFonts w:ascii="Times New Roman" w:hAnsi="Times New Roman" w:eastAsia="黑体"/>
          <w:color w:val="000000"/>
          <w:sz w:val="20"/>
          <w:highlight w:val="none"/>
        </w:rPr>
      </w:pPr>
      <w:r>
        <w:rPr>
          <w:rFonts w:hint="eastAsia" w:ascii="Times New Roman" w:hAnsi="Times New Roman" w:eastAsia="黑体"/>
          <w:color w:val="000000"/>
          <w:sz w:val="28"/>
          <w:szCs w:val="28"/>
          <w:highlight w:val="none"/>
          <w:u w:val="single"/>
        </w:rPr>
        <w:t>第ZYSB01-02、ZYSB04、ZYSB06-08</w:t>
      </w:r>
      <w:r>
        <w:rPr>
          <w:rFonts w:ascii="Times New Roman" w:hAnsi="Times New Roman" w:eastAsia="黑体"/>
          <w:color w:val="000000"/>
          <w:sz w:val="28"/>
          <w:szCs w:val="28"/>
          <w:highlight w:val="none"/>
        </w:rPr>
        <w:t>标段设备采购</w:t>
      </w:r>
      <w:r>
        <w:rPr>
          <w:rFonts w:ascii="Times New Roman" w:hAnsi="Times New Roman" w:eastAsia="黑体"/>
          <w:color w:val="000000"/>
          <w:sz w:val="28"/>
          <w:highlight w:val="none"/>
        </w:rPr>
        <w:t>招标公告</w:t>
      </w:r>
    </w:p>
    <w:p>
      <w:pPr>
        <w:keepNext/>
        <w:keepLines/>
        <w:spacing w:before="260" w:after="260" w:line="440" w:lineRule="atLeast"/>
        <w:outlineLvl w:val="2"/>
        <w:rPr>
          <w:rFonts w:ascii="Times New Roman" w:hAnsi="Times New Roman" w:eastAsia="黑体"/>
          <w:b w:val="0"/>
          <w:bCs/>
          <w:color w:val="000000"/>
          <w:sz w:val="28"/>
          <w:szCs w:val="28"/>
          <w:highlight w:val="none"/>
        </w:rPr>
      </w:pPr>
      <w:bookmarkStart w:id="0" w:name="_Toc501460581"/>
      <w:r>
        <w:rPr>
          <w:rFonts w:ascii="Times New Roman" w:hAnsi="Times New Roman" w:eastAsia="黑体"/>
          <w:b w:val="0"/>
          <w:bCs/>
          <w:color w:val="000000"/>
          <w:sz w:val="28"/>
          <w:szCs w:val="28"/>
          <w:highlight w:val="none"/>
        </w:rPr>
        <w:t>1. 招标条件</w:t>
      </w:r>
      <w:bookmarkEnd w:id="0"/>
    </w:p>
    <w:p>
      <w:pPr>
        <w:spacing w:line="440" w:lineRule="atLeast"/>
        <w:ind w:firstLine="496" w:firstLineChars="200"/>
        <w:rPr>
          <w:rFonts w:ascii="Times New Roman" w:hAnsi="Times New Roman"/>
          <w:color w:val="000000"/>
          <w:sz w:val="24"/>
          <w:szCs w:val="24"/>
          <w:highlight w:val="none"/>
        </w:rPr>
      </w:pPr>
      <w:r>
        <w:rPr>
          <w:spacing w:val="4"/>
          <w:sz w:val="24"/>
          <w:highlight w:val="none"/>
        </w:rPr>
        <w:t>本招标项目</w:t>
      </w:r>
      <w:r>
        <w:rPr>
          <w:rFonts w:hint="eastAsia"/>
          <w:spacing w:val="4"/>
          <w:sz w:val="24"/>
          <w:highlight w:val="none"/>
          <w:u w:val="single"/>
        </w:rPr>
        <w:t>湖南高速公路集团有限公司机电养护工程主要设备采购项目</w:t>
      </w:r>
      <w:r>
        <w:rPr>
          <w:spacing w:val="4"/>
          <w:sz w:val="24"/>
          <w:highlight w:val="none"/>
        </w:rPr>
        <w:t>已由</w:t>
      </w:r>
      <w:r>
        <w:rPr>
          <w:rFonts w:hint="eastAsia"/>
          <w:spacing w:val="-1"/>
          <w:sz w:val="24"/>
          <w:highlight w:val="none"/>
          <w:u w:val="single"/>
        </w:rPr>
        <w:t>湘高速安运函〔2022〕168</w:t>
      </w:r>
      <w:r>
        <w:rPr>
          <w:rFonts w:hint="eastAsia"/>
          <w:spacing w:val="-1"/>
          <w:sz w:val="24"/>
          <w:highlight w:val="none"/>
          <w:u w:val="single"/>
          <w:lang w:eastAsia="zh-CN"/>
        </w:rPr>
        <w:t>号文</w:t>
      </w:r>
      <w:r>
        <w:rPr>
          <w:rFonts w:hint="eastAsia"/>
          <w:spacing w:val="-1"/>
          <w:sz w:val="24"/>
          <w:highlight w:val="none"/>
          <w:u w:val="single"/>
        </w:rPr>
        <w:t xml:space="preserve"> </w:t>
      </w:r>
      <w:r>
        <w:rPr>
          <w:spacing w:val="-1"/>
          <w:sz w:val="24"/>
          <w:highlight w:val="none"/>
        </w:rPr>
        <w:t>批准建设，项目业主为</w:t>
      </w:r>
      <w:r>
        <w:rPr>
          <w:spacing w:val="-1"/>
          <w:sz w:val="24"/>
          <w:highlight w:val="none"/>
          <w:u w:val="single"/>
        </w:rPr>
        <w:t>湖南省高速公路集团有限公司</w:t>
      </w:r>
      <w:r>
        <w:rPr>
          <w:spacing w:val="-1"/>
          <w:sz w:val="24"/>
          <w:highlight w:val="none"/>
        </w:rPr>
        <w:t>，建设资金来自</w:t>
      </w:r>
      <w:r>
        <w:rPr>
          <w:rFonts w:hint="eastAsia"/>
          <w:spacing w:val="-1"/>
          <w:sz w:val="24"/>
          <w:highlight w:val="none"/>
          <w:u w:val="single"/>
          <w:lang w:eastAsia="zh-CN"/>
        </w:rPr>
        <w:t>企业自筹</w:t>
      </w:r>
      <w:r>
        <w:rPr>
          <w:spacing w:val="-1"/>
          <w:sz w:val="24"/>
          <w:highlight w:val="none"/>
        </w:rPr>
        <w:t>，出资比例为</w:t>
      </w:r>
      <w:r>
        <w:rPr>
          <w:rFonts w:hint="eastAsia"/>
          <w:spacing w:val="-1"/>
          <w:sz w:val="24"/>
          <w:highlight w:val="none"/>
          <w:u w:val="single"/>
          <w:lang w:val="en-US" w:eastAsia="zh-CN"/>
        </w:rPr>
        <w:t>100</w:t>
      </w:r>
      <w:r>
        <w:rPr>
          <w:spacing w:val="-1"/>
          <w:sz w:val="24"/>
          <w:highlight w:val="none"/>
          <w:u w:val="single"/>
        </w:rPr>
        <w:t>%</w:t>
      </w:r>
      <w:r>
        <w:rPr>
          <w:spacing w:val="-1"/>
          <w:sz w:val="24"/>
          <w:highlight w:val="none"/>
        </w:rPr>
        <w:t>，招标人为</w:t>
      </w:r>
      <w:r>
        <w:rPr>
          <w:spacing w:val="-1"/>
          <w:sz w:val="24"/>
          <w:highlight w:val="none"/>
          <w:u w:val="single"/>
        </w:rPr>
        <w:t>湖南省高速公路集团有限公司</w:t>
      </w:r>
      <w:r>
        <w:rPr>
          <w:spacing w:val="-1"/>
          <w:sz w:val="24"/>
          <w:highlight w:val="none"/>
        </w:rPr>
        <w:t>。该项</w:t>
      </w:r>
      <w:r>
        <w:rPr>
          <w:sz w:val="24"/>
          <w:highlight w:val="none"/>
        </w:rPr>
        <w:t>目已具备招标条件，现对</w:t>
      </w:r>
      <w:r>
        <w:rPr>
          <w:rFonts w:hint="eastAsia"/>
          <w:spacing w:val="4"/>
          <w:sz w:val="24"/>
          <w:highlight w:val="none"/>
        </w:rPr>
        <w:t>机电养护</w:t>
      </w:r>
      <w:r>
        <w:rPr>
          <w:rFonts w:hint="eastAsia"/>
          <w:sz w:val="24"/>
          <w:highlight w:val="none"/>
        </w:rPr>
        <w:t>工程主要设备采购</w:t>
      </w:r>
      <w:r>
        <w:rPr>
          <w:sz w:val="24"/>
          <w:highlight w:val="none"/>
        </w:rPr>
        <w:t>进行公开招标</w:t>
      </w:r>
      <w:r>
        <w:rPr>
          <w:rFonts w:ascii="Times New Roman" w:hAnsi="Times New Roman"/>
          <w:color w:val="000000"/>
          <w:sz w:val="24"/>
          <w:szCs w:val="24"/>
          <w:highlight w:val="none"/>
        </w:rPr>
        <w:t>。</w:t>
      </w:r>
    </w:p>
    <w:p>
      <w:pPr>
        <w:keepNext/>
        <w:keepLines/>
        <w:spacing w:before="260" w:after="260" w:line="440" w:lineRule="atLeast"/>
        <w:outlineLvl w:val="2"/>
        <w:rPr>
          <w:rFonts w:ascii="Times New Roman" w:hAnsi="Times New Roman" w:eastAsia="黑体"/>
          <w:b w:val="0"/>
          <w:bCs/>
          <w:color w:val="000000"/>
          <w:sz w:val="28"/>
          <w:szCs w:val="28"/>
          <w:highlight w:val="none"/>
        </w:rPr>
      </w:pPr>
      <w:bookmarkStart w:id="1" w:name="_Toc501460582"/>
      <w:r>
        <w:rPr>
          <w:rFonts w:ascii="Times New Roman" w:hAnsi="Times New Roman" w:eastAsia="黑体"/>
          <w:b w:val="0"/>
          <w:bCs/>
          <w:color w:val="000000"/>
          <w:sz w:val="28"/>
          <w:szCs w:val="28"/>
          <w:highlight w:val="none"/>
        </w:rPr>
        <w:t>2. 项目概况与招标范围</w:t>
      </w:r>
      <w:bookmarkEnd w:id="1"/>
    </w:p>
    <w:p>
      <w:pPr>
        <w:spacing w:line="440" w:lineRule="atLeast"/>
        <w:ind w:firstLine="540" w:firstLineChars="225"/>
        <w:rPr>
          <w:rFonts w:hint="eastAsia" w:ascii="宋体" w:hAnsi="宋体" w:eastAsia="宋体" w:cs="宋体"/>
          <w:color w:val="000000"/>
          <w:sz w:val="24"/>
          <w:highlight w:val="none"/>
        </w:rPr>
      </w:pPr>
      <w:r>
        <w:rPr>
          <w:rFonts w:hint="eastAsia" w:ascii="宋体" w:hAnsi="宋体" w:eastAsia="宋体" w:cs="宋体"/>
          <w:color w:val="000000"/>
          <w:sz w:val="24"/>
          <w:highlight w:val="none"/>
        </w:rPr>
        <w:t>2.1 建设地点：湖南省。</w:t>
      </w:r>
    </w:p>
    <w:p>
      <w:pPr>
        <w:spacing w:line="440" w:lineRule="atLeast"/>
        <w:ind w:firstLine="540" w:firstLineChars="225"/>
        <w:rPr>
          <w:rFonts w:hint="eastAsia" w:ascii="宋体" w:hAnsi="宋体" w:eastAsia="宋体" w:cs="宋体"/>
          <w:color w:val="000000"/>
          <w:sz w:val="24"/>
          <w:highlight w:val="none"/>
        </w:rPr>
      </w:pPr>
      <w:r>
        <w:rPr>
          <w:rFonts w:hint="eastAsia" w:ascii="宋体" w:hAnsi="宋体" w:eastAsia="宋体" w:cs="宋体"/>
          <w:color w:val="000000"/>
          <w:sz w:val="24"/>
          <w:highlight w:val="none"/>
        </w:rPr>
        <w:t>2.2 项目建设规模及招标范围：</w:t>
      </w:r>
      <w:r>
        <w:rPr>
          <w:rFonts w:hint="eastAsia" w:ascii="宋体" w:hAnsi="宋体" w:eastAsia="宋体" w:cs="宋体"/>
          <w:b w:val="0"/>
          <w:bCs w:val="0"/>
          <w:color w:val="000000"/>
          <w:sz w:val="24"/>
          <w:highlight w:val="none"/>
        </w:rPr>
        <w:t>对集团公司所辖的长沙、株洲、湘潭、岳阳、衡阳、永州、郴州、娄底、邵阳、怀化、常德、湘西、张家界和益阳14个运营分公司，及南岳（含东延线）、新溆、岳望和德安4个经营性路段的机电养护项目主要设备采购进行公开招标</w:t>
      </w:r>
      <w:r>
        <w:rPr>
          <w:rFonts w:hint="eastAsia" w:ascii="宋体" w:hAnsi="宋体" w:eastAsia="宋体" w:cs="宋体"/>
          <w:color w:val="000000"/>
          <w:sz w:val="24"/>
          <w:highlight w:val="none"/>
        </w:rPr>
        <w:t>。</w:t>
      </w:r>
    </w:p>
    <w:p>
      <w:pPr>
        <w:spacing w:line="440" w:lineRule="atLeast"/>
        <w:ind w:firstLine="540" w:firstLineChars="225"/>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本次设备采购招标分为ZYSB01-02、ZYSB04、ZYSB06-08</w:t>
      </w:r>
      <w:r>
        <w:rPr>
          <w:rFonts w:hint="eastAsia" w:ascii="宋体" w:hAnsi="宋体" w:eastAsia="宋体" w:cs="宋体"/>
          <w:color w:val="000000"/>
          <w:sz w:val="24"/>
          <w:highlight w:val="none"/>
          <w:lang w:eastAsia="zh-CN"/>
        </w:rPr>
        <w:t>共</w:t>
      </w:r>
      <w:r>
        <w:rPr>
          <w:rFonts w:hint="eastAsia" w:ascii="宋体" w:hAnsi="宋体" w:eastAsia="宋体" w:cs="宋体"/>
          <w:color w:val="000000"/>
          <w:sz w:val="24"/>
          <w:highlight w:val="none"/>
          <w:lang w:val="en-US" w:eastAsia="zh-CN"/>
        </w:rPr>
        <w:t>6个</w:t>
      </w:r>
      <w:r>
        <w:rPr>
          <w:rFonts w:hint="eastAsia" w:ascii="宋体" w:hAnsi="宋体" w:eastAsia="宋体" w:cs="宋体"/>
          <w:color w:val="000000"/>
          <w:sz w:val="24"/>
          <w:highlight w:val="none"/>
        </w:rPr>
        <w:t>标段,由集团统一招标，最终采购数量以各运营分公司的实际需求为准，由各采购需求单位与中标供应商分别签订采购合同。ZYSB0</w:t>
      </w:r>
      <w:r>
        <w:rPr>
          <w:rFonts w:hint="eastAsia" w:ascii="宋体" w:hAnsi="宋体" w:eastAsia="宋体" w:cs="宋体"/>
          <w:color w:val="000000"/>
          <w:sz w:val="24"/>
          <w:highlight w:val="none"/>
          <w:lang w:val="en-US" w:eastAsia="zh-CN"/>
        </w:rPr>
        <w:t>3</w:t>
      </w:r>
      <w:r>
        <w:rPr>
          <w:rFonts w:hint="default" w:ascii="宋体" w:hAnsi="宋体" w:eastAsia="宋体" w:cs="宋体"/>
          <w:color w:val="000000"/>
          <w:sz w:val="24"/>
          <w:highlight w:val="none"/>
          <w:lang w:val="en-US" w:eastAsia="zh-CN"/>
        </w:rPr>
        <w:t>车道控制器及工控机</w:t>
      </w:r>
      <w:r>
        <w:rPr>
          <w:rFonts w:hint="eastAsia" w:ascii="宋体" w:hAnsi="宋体" w:eastAsia="宋体" w:cs="宋体"/>
          <w:color w:val="000000"/>
          <w:sz w:val="24"/>
          <w:highlight w:val="none"/>
        </w:rPr>
        <w:t>、ZYSB0</w:t>
      </w:r>
      <w:r>
        <w:rPr>
          <w:rFonts w:hint="eastAsia" w:ascii="宋体" w:hAnsi="宋体" w:eastAsia="宋体" w:cs="宋体"/>
          <w:color w:val="000000"/>
          <w:sz w:val="24"/>
          <w:highlight w:val="none"/>
          <w:lang w:val="en-US" w:eastAsia="zh-CN"/>
        </w:rPr>
        <w:t>5称重系统因采购金额未达到公开招标限额，由招标人另行组织采购。</w:t>
      </w:r>
      <w:r>
        <w:rPr>
          <w:rFonts w:hint="eastAsia" w:ascii="宋体" w:hAnsi="宋体" w:eastAsia="宋体" w:cs="宋体"/>
          <w:color w:val="000000"/>
          <w:sz w:val="24"/>
          <w:highlight w:val="none"/>
        </w:rPr>
        <w:t>本次设备采购招标</w:t>
      </w:r>
      <w:r>
        <w:rPr>
          <w:sz w:val="24"/>
          <w:highlight w:val="none"/>
        </w:rPr>
        <w:t>内容等见下表</w:t>
      </w:r>
      <w:r>
        <w:rPr>
          <w:rFonts w:hint="eastAsia"/>
          <w:sz w:val="24"/>
          <w:highlight w:val="none"/>
          <w:lang w:eastAsia="zh-CN"/>
        </w:rPr>
        <w:t>：</w:t>
      </w:r>
    </w:p>
    <w:tbl>
      <w:tblPr>
        <w:tblStyle w:val="7"/>
        <w:tblW w:w="92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76"/>
        <w:gridCol w:w="3281"/>
        <w:gridCol w:w="1024"/>
        <w:gridCol w:w="950"/>
        <w:gridCol w:w="938"/>
        <w:gridCol w:w="1161"/>
        <w:gridCol w:w="10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1" w:hRule="atLeast"/>
          <w:jc w:val="center"/>
        </w:trPr>
        <w:tc>
          <w:tcPr>
            <w:tcW w:w="8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bookmarkStart w:id="2" w:name="_Toc501460583"/>
            <w:bookmarkStart w:id="3" w:name="_Hlk2767668"/>
            <w:r>
              <w:rPr>
                <w:rFonts w:hint="eastAsia" w:ascii="宋体" w:hAnsi="宋体" w:eastAsia="宋体" w:cs="Times New Roman"/>
                <w:color w:val="auto"/>
                <w:kern w:val="0"/>
                <w:sz w:val="21"/>
                <w:szCs w:val="21"/>
                <w:highlight w:val="none"/>
                <w:lang w:val="en-US" w:eastAsia="zh-CN"/>
              </w:rPr>
              <w:t>标段号</w:t>
            </w:r>
          </w:p>
        </w:tc>
        <w:tc>
          <w:tcPr>
            <w:tcW w:w="32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标段供货设备</w:t>
            </w:r>
          </w:p>
        </w:tc>
        <w:tc>
          <w:tcPr>
            <w:tcW w:w="10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数量</w:t>
            </w:r>
          </w:p>
        </w:tc>
        <w:tc>
          <w:tcPr>
            <w:tcW w:w="9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主要技术规格</w:t>
            </w:r>
          </w:p>
        </w:tc>
        <w:tc>
          <w:tcPr>
            <w:tcW w:w="93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交货地点</w:t>
            </w:r>
          </w:p>
        </w:tc>
        <w:tc>
          <w:tcPr>
            <w:tcW w:w="11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计划开始交货日期</w:t>
            </w:r>
          </w:p>
        </w:tc>
        <w:tc>
          <w:tcPr>
            <w:tcW w:w="10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供货</w:t>
            </w:r>
            <w:r>
              <w:rPr>
                <w:rFonts w:hint="eastAsia" w:ascii="宋体" w:hAnsi="宋体" w:eastAsia="宋体" w:cs="Times New Roman"/>
                <w:color w:val="auto"/>
                <w:kern w:val="0"/>
                <w:sz w:val="21"/>
                <w:szCs w:val="21"/>
                <w:highlight w:val="none"/>
                <w:lang w:val="en-US" w:eastAsia="zh-CN"/>
              </w:rPr>
              <w:t>服务周期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ZYSB01</w:t>
            </w:r>
          </w:p>
        </w:tc>
        <w:tc>
          <w:tcPr>
            <w:tcW w:w="32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default" w:ascii="宋体" w:hAnsi="宋体" w:eastAsia="宋体" w:cs="Times New Roman"/>
                <w:color w:val="auto"/>
                <w:kern w:val="0"/>
                <w:sz w:val="21"/>
                <w:szCs w:val="21"/>
                <w:highlight w:val="none"/>
                <w:lang w:val="en-US" w:eastAsia="zh-CN"/>
              </w:rPr>
            </w:pPr>
            <w:r>
              <w:rPr>
                <w:rFonts w:hint="default" w:ascii="宋体" w:hAnsi="宋体" w:eastAsia="宋体" w:cs="Times New Roman"/>
                <w:color w:val="auto"/>
                <w:kern w:val="0"/>
                <w:sz w:val="21"/>
                <w:szCs w:val="21"/>
                <w:highlight w:val="none"/>
                <w:lang w:val="en-US" w:eastAsia="zh-CN"/>
              </w:rPr>
              <w:t>摄像机</w:t>
            </w:r>
          </w:p>
        </w:tc>
        <w:tc>
          <w:tcPr>
            <w:tcW w:w="1024" w:type="dxa"/>
            <w:vMerge w:val="restart"/>
            <w:tcBorders>
              <w:top w:val="nil"/>
              <w:left w:val="nil"/>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见供货要求</w:t>
            </w:r>
          </w:p>
        </w:tc>
        <w:tc>
          <w:tcPr>
            <w:tcW w:w="950" w:type="dxa"/>
            <w:vMerge w:val="restart"/>
            <w:tcBorders>
              <w:top w:val="nil"/>
              <w:left w:val="nil"/>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见供货要求</w:t>
            </w:r>
          </w:p>
        </w:tc>
        <w:tc>
          <w:tcPr>
            <w:tcW w:w="938" w:type="dxa"/>
            <w:vMerge w:val="restart"/>
            <w:tcBorders>
              <w:top w:val="nil"/>
              <w:left w:val="nil"/>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招标人指定工程地点</w:t>
            </w:r>
          </w:p>
        </w:tc>
        <w:tc>
          <w:tcPr>
            <w:tcW w:w="1161" w:type="dxa"/>
            <w:vMerge w:val="restart"/>
            <w:tcBorders>
              <w:top w:val="nil"/>
              <w:left w:val="nil"/>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 具体以招标人通知为准</w:t>
            </w:r>
          </w:p>
        </w:tc>
        <w:tc>
          <w:tcPr>
            <w:tcW w:w="1027" w:type="dxa"/>
            <w:vMerge w:val="restart"/>
            <w:tcBorders>
              <w:top w:val="nil"/>
              <w:left w:val="nil"/>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default" w:ascii="宋体" w:hAnsi="宋体"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24个月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jc w:val="center"/>
        </w:trPr>
        <w:tc>
          <w:tcPr>
            <w:tcW w:w="876"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ZYSB0</w:t>
            </w:r>
            <w:r>
              <w:rPr>
                <w:rFonts w:hint="eastAsia" w:cs="Times New Roman"/>
                <w:color w:val="auto"/>
                <w:kern w:val="0"/>
                <w:sz w:val="21"/>
                <w:szCs w:val="21"/>
                <w:highlight w:val="none"/>
                <w:lang w:val="en-US" w:eastAsia="zh-CN"/>
              </w:rPr>
              <w:t>2</w:t>
            </w:r>
          </w:p>
        </w:tc>
        <w:tc>
          <w:tcPr>
            <w:tcW w:w="32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default" w:ascii="宋体" w:hAnsi="宋体" w:eastAsia="宋体" w:cs="Times New Roman"/>
                <w:color w:val="auto"/>
                <w:kern w:val="0"/>
                <w:sz w:val="21"/>
                <w:szCs w:val="21"/>
                <w:highlight w:val="none"/>
                <w:lang w:val="en-US" w:eastAsia="zh-CN"/>
              </w:rPr>
              <w:t>可变信息标志</w:t>
            </w:r>
          </w:p>
        </w:tc>
        <w:tc>
          <w:tcPr>
            <w:tcW w:w="1024"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950"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938"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1161"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1027"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3"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leftChars="0" w:right="0" w:rightChars="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ZYSB0</w:t>
            </w:r>
            <w:r>
              <w:rPr>
                <w:rFonts w:hint="eastAsia" w:cs="Times New Roman"/>
                <w:color w:val="auto"/>
                <w:kern w:val="0"/>
                <w:sz w:val="21"/>
                <w:szCs w:val="21"/>
                <w:highlight w:val="none"/>
                <w:lang w:val="en-US" w:eastAsia="zh-CN"/>
              </w:rPr>
              <w:t>4</w:t>
            </w:r>
          </w:p>
        </w:tc>
        <w:tc>
          <w:tcPr>
            <w:tcW w:w="32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default" w:ascii="宋体" w:hAnsi="宋体" w:eastAsia="宋体" w:cs="Times New Roman"/>
                <w:color w:val="auto"/>
                <w:kern w:val="0"/>
                <w:sz w:val="21"/>
                <w:szCs w:val="21"/>
                <w:highlight w:val="none"/>
                <w:lang w:val="en-US" w:eastAsia="zh-CN"/>
              </w:rPr>
              <w:t>ETC天线及控制器</w:t>
            </w:r>
          </w:p>
        </w:tc>
        <w:tc>
          <w:tcPr>
            <w:tcW w:w="1024"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950"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938"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1161"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c>
          <w:tcPr>
            <w:tcW w:w="1027"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8"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leftChars="0" w:right="0" w:rightChars="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ZYSB0</w:t>
            </w:r>
            <w:r>
              <w:rPr>
                <w:rFonts w:hint="eastAsia" w:cs="Times New Roman"/>
                <w:color w:val="auto"/>
                <w:kern w:val="0"/>
                <w:sz w:val="21"/>
                <w:szCs w:val="21"/>
                <w:highlight w:val="none"/>
                <w:lang w:val="en-US" w:eastAsia="zh-CN"/>
              </w:rPr>
              <w:t>6</w:t>
            </w:r>
          </w:p>
        </w:tc>
        <w:tc>
          <w:tcPr>
            <w:tcW w:w="32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default" w:ascii="宋体" w:hAnsi="宋体" w:eastAsia="宋体" w:cs="Times New Roman"/>
                <w:color w:val="auto"/>
                <w:kern w:val="0"/>
                <w:sz w:val="21"/>
                <w:szCs w:val="21"/>
                <w:highlight w:val="none"/>
                <w:lang w:val="en-US" w:eastAsia="zh-CN"/>
              </w:rPr>
              <w:t>服务器及磁盘阵列</w:t>
            </w:r>
          </w:p>
        </w:tc>
        <w:tc>
          <w:tcPr>
            <w:tcW w:w="1024"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950"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938"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1161"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1027"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8"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leftChars="0" w:right="0" w:rightChars="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ZYSB0</w:t>
            </w:r>
            <w:r>
              <w:rPr>
                <w:rFonts w:hint="eastAsia" w:cs="Times New Roman"/>
                <w:color w:val="auto"/>
                <w:kern w:val="0"/>
                <w:sz w:val="21"/>
                <w:szCs w:val="21"/>
                <w:highlight w:val="none"/>
                <w:lang w:val="en-US" w:eastAsia="zh-CN"/>
              </w:rPr>
              <w:t>7</w:t>
            </w:r>
          </w:p>
        </w:tc>
        <w:tc>
          <w:tcPr>
            <w:tcW w:w="32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default" w:ascii="宋体" w:hAnsi="宋体" w:eastAsia="宋体" w:cs="Times New Roman"/>
                <w:color w:val="auto"/>
                <w:kern w:val="0"/>
                <w:sz w:val="21"/>
                <w:szCs w:val="21"/>
                <w:highlight w:val="none"/>
                <w:lang w:val="en-US" w:eastAsia="zh-CN"/>
              </w:rPr>
              <w:t>不间断电源</w:t>
            </w:r>
          </w:p>
        </w:tc>
        <w:tc>
          <w:tcPr>
            <w:tcW w:w="1024"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950"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938"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1161"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1027" w:type="dxa"/>
            <w:vMerge w:val="continue"/>
            <w:tcBorders>
              <w:left w:val="nil"/>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8"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leftChars="0" w:right="0" w:rightChars="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ZYSB0</w:t>
            </w:r>
            <w:r>
              <w:rPr>
                <w:rFonts w:hint="eastAsia" w:cs="Times New Roman"/>
                <w:color w:val="auto"/>
                <w:kern w:val="0"/>
                <w:sz w:val="21"/>
                <w:szCs w:val="21"/>
                <w:highlight w:val="none"/>
                <w:lang w:val="en-US" w:eastAsia="zh-CN"/>
              </w:rPr>
              <w:t>8</w:t>
            </w:r>
          </w:p>
        </w:tc>
        <w:tc>
          <w:tcPr>
            <w:tcW w:w="32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0"/>
              <w:spacing w:before="0" w:beforeAutospacing="0" w:after="0" w:afterAutospacing="0" w:line="262" w:lineRule="atLeast"/>
              <w:ind w:left="0" w:right="0"/>
              <w:jc w:val="center"/>
              <w:rPr>
                <w:rFonts w:hint="eastAsia" w:ascii="宋体" w:hAnsi="宋体" w:eastAsia="宋体" w:cs="Times New Roman"/>
                <w:color w:val="auto"/>
                <w:kern w:val="0"/>
                <w:sz w:val="21"/>
                <w:szCs w:val="21"/>
                <w:highlight w:val="none"/>
                <w:lang w:val="en-US" w:eastAsia="zh-CN"/>
              </w:rPr>
            </w:pPr>
            <w:r>
              <w:rPr>
                <w:rFonts w:hint="default" w:ascii="宋体" w:hAnsi="宋体" w:eastAsia="宋体" w:cs="Times New Roman"/>
                <w:color w:val="auto"/>
                <w:kern w:val="0"/>
                <w:sz w:val="21"/>
                <w:szCs w:val="21"/>
                <w:highlight w:val="none"/>
                <w:lang w:val="en-US" w:eastAsia="zh-CN"/>
              </w:rPr>
              <w:t>隧道LED灯</w:t>
            </w:r>
          </w:p>
        </w:tc>
        <w:tc>
          <w:tcPr>
            <w:tcW w:w="102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950"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938"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1161"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c>
          <w:tcPr>
            <w:tcW w:w="1027"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rPr>
                <w:rFonts w:hint="eastAsia" w:ascii="宋体"/>
                <w:color w:val="auto"/>
                <w:sz w:val="18"/>
                <w:szCs w:val="18"/>
                <w:highlight w:val="none"/>
              </w:rPr>
            </w:pPr>
          </w:p>
        </w:tc>
      </w:tr>
    </w:tbl>
    <w:p>
      <w:pPr>
        <w:bidi w:val="0"/>
        <w:rPr>
          <w:rFonts w:hint="eastAsia"/>
          <w:sz w:val="21"/>
          <w:szCs w:val="21"/>
          <w:highlight w:val="none"/>
          <w:lang w:eastAsia="zh-CN"/>
        </w:rPr>
      </w:pPr>
      <w:r>
        <w:rPr>
          <w:rFonts w:hint="eastAsia"/>
          <w:sz w:val="21"/>
          <w:szCs w:val="21"/>
          <w:highlight w:val="none"/>
          <w:lang w:eastAsia="zh-CN"/>
        </w:rPr>
        <w:t>注:1、本次招标采购数量仅为暂估数量，实际采购量以机电养护工程施工的承包人在招标人企业集采平台下单数量为准。中标的供货商需在招标人企业采购平台注册。根据招标人整体采购计划，设备将分批次采购。</w:t>
      </w:r>
    </w:p>
    <w:p>
      <w:pPr>
        <w:bidi w:val="0"/>
        <w:rPr>
          <w:rFonts w:hint="eastAsia"/>
          <w:sz w:val="21"/>
          <w:szCs w:val="21"/>
          <w:highlight w:val="none"/>
          <w:lang w:eastAsia="zh-CN"/>
        </w:rPr>
      </w:pPr>
      <w:r>
        <w:rPr>
          <w:rFonts w:hint="eastAsia"/>
          <w:sz w:val="21"/>
          <w:szCs w:val="21"/>
          <w:highlight w:val="none"/>
          <w:lang w:eastAsia="zh-CN"/>
        </w:rPr>
        <w:t>2、本次招标的设备质量保证期不低于 5 年。设备须为全新原厂原装正品。如机电养护工程施工承包人下单前或质量保证期内，中标设备硬件配备或软件升级，供货商须免费对中标设备进行硬件或软件升级。</w:t>
      </w:r>
    </w:p>
    <w:p>
      <w:pPr>
        <w:bidi w:val="0"/>
        <w:rPr>
          <w:rFonts w:hint="eastAsia"/>
          <w:sz w:val="21"/>
          <w:szCs w:val="21"/>
          <w:highlight w:val="none"/>
          <w:lang w:eastAsia="zh-CN"/>
        </w:rPr>
      </w:pPr>
      <w:r>
        <w:rPr>
          <w:rFonts w:hint="eastAsia"/>
          <w:sz w:val="21"/>
          <w:szCs w:val="21"/>
          <w:highlight w:val="none"/>
          <w:lang w:eastAsia="zh-CN"/>
        </w:rPr>
        <w:t>3、设备到货后由采购人（招标人执行机构）、机电施工承包人与监理人负责验收后进场。</w:t>
      </w:r>
    </w:p>
    <w:p>
      <w:pPr>
        <w:bidi w:val="0"/>
        <w:rPr>
          <w:rFonts w:hint="eastAsia"/>
          <w:sz w:val="21"/>
          <w:szCs w:val="21"/>
          <w:highlight w:val="none"/>
          <w:lang w:eastAsia="zh-CN"/>
        </w:rPr>
      </w:pPr>
      <w:r>
        <w:rPr>
          <w:rFonts w:hint="eastAsia"/>
          <w:sz w:val="21"/>
          <w:szCs w:val="21"/>
          <w:highlight w:val="none"/>
          <w:lang w:eastAsia="zh-CN"/>
        </w:rPr>
        <w:t>4、为保证本项目的收费、监控和通信等机电系统达到联网运行的要求，在运行前，按照有关规定和规范要求，进行兼容性测试、适用性测试、技术基础检测、并网测试等联网测试。 若出现不兼容性、 不匹配等情形，招标人有权要求更换或拒绝使用设备，由此导致的费用增加由投标人承担。</w:t>
      </w:r>
    </w:p>
    <w:p>
      <w:pPr>
        <w:bidi w:val="0"/>
        <w:rPr>
          <w:rFonts w:hint="eastAsia" w:eastAsia="宋体"/>
          <w:sz w:val="21"/>
          <w:szCs w:val="21"/>
          <w:highlight w:val="none"/>
          <w:lang w:eastAsia="zh-CN"/>
        </w:rPr>
      </w:pPr>
      <w:r>
        <w:rPr>
          <w:rFonts w:hint="eastAsia"/>
          <w:sz w:val="21"/>
          <w:szCs w:val="21"/>
          <w:highlight w:val="none"/>
          <w:lang w:eastAsia="zh-CN"/>
        </w:rPr>
        <w:t>5、本次采购结果适用于机电养护等有关项目。</w:t>
      </w:r>
    </w:p>
    <w:p>
      <w:pPr>
        <w:keepNext/>
        <w:keepLines/>
        <w:spacing w:before="260" w:after="260" w:line="440" w:lineRule="atLeast"/>
        <w:outlineLvl w:val="2"/>
        <w:rPr>
          <w:rFonts w:ascii="Times New Roman" w:hAnsi="Times New Roman" w:eastAsia="黑体"/>
          <w:b w:val="0"/>
          <w:bCs/>
          <w:color w:val="000000"/>
          <w:sz w:val="28"/>
          <w:szCs w:val="28"/>
          <w:highlight w:val="none"/>
        </w:rPr>
      </w:pPr>
      <w:r>
        <w:rPr>
          <w:rFonts w:ascii="Times New Roman" w:hAnsi="Times New Roman" w:eastAsia="黑体"/>
          <w:b w:val="0"/>
          <w:bCs/>
          <w:color w:val="000000"/>
          <w:sz w:val="28"/>
          <w:szCs w:val="28"/>
          <w:highlight w:val="none"/>
        </w:rPr>
        <w:t>3. 投标人资格要求</w:t>
      </w:r>
      <w:bookmarkEnd w:id="2"/>
    </w:p>
    <w:p>
      <w:pPr>
        <w:spacing w:line="440" w:lineRule="atLeast"/>
        <w:ind w:firstLine="480" w:firstLineChars="200"/>
        <w:rPr>
          <w:rFonts w:ascii="Times New Roman" w:hAnsi="Times New Roman"/>
          <w:color w:val="000000"/>
          <w:sz w:val="24"/>
          <w:szCs w:val="24"/>
          <w:highlight w:val="none"/>
        </w:rPr>
      </w:pPr>
      <w:r>
        <w:rPr>
          <w:rFonts w:ascii="Times New Roman" w:hAnsi="Times New Roman"/>
          <w:color w:val="000000"/>
          <w:sz w:val="24"/>
          <w:szCs w:val="24"/>
          <w:highlight w:val="none"/>
        </w:rPr>
        <w:t xml:space="preserve">3.1 </w:t>
      </w:r>
      <w:r>
        <w:rPr>
          <w:rFonts w:hint="eastAsia" w:ascii="Times New Roman" w:hAnsi="Times New Roman"/>
          <w:color w:val="000000"/>
          <w:sz w:val="24"/>
          <w:szCs w:val="24"/>
          <w:highlight w:val="none"/>
        </w:rPr>
        <w:t>本次招标要求投标人必须持有有效的营业执照，具有独立企业法人资格，具有机电工程设备供货业绩(详见资格审查条件（业绩最低要求）)，并具有与本招标项目相应的供货能力</w:t>
      </w:r>
      <w:r>
        <w:rPr>
          <w:rFonts w:ascii="Times New Roman" w:hAnsi="Times New Roman"/>
          <w:color w:val="000000"/>
          <w:sz w:val="24"/>
          <w:szCs w:val="24"/>
          <w:highlight w:val="none"/>
        </w:rPr>
        <w:t>。</w:t>
      </w:r>
    </w:p>
    <w:p>
      <w:pPr>
        <w:spacing w:line="440" w:lineRule="atLeast"/>
        <w:ind w:firstLine="480" w:firstLineChars="200"/>
        <w:rPr>
          <w:rFonts w:ascii="Times New Roman" w:hAnsi="Times New Roman"/>
          <w:color w:val="000000"/>
          <w:sz w:val="24"/>
          <w:szCs w:val="20"/>
          <w:highlight w:val="none"/>
        </w:rPr>
      </w:pPr>
      <w:r>
        <w:rPr>
          <w:rFonts w:ascii="Times New Roman" w:hAnsi="Times New Roman"/>
          <w:color w:val="000000"/>
          <w:sz w:val="24"/>
          <w:szCs w:val="20"/>
          <w:highlight w:val="none"/>
        </w:rPr>
        <w:t xml:space="preserve">3.2 </w:t>
      </w:r>
      <w:r>
        <w:rPr>
          <w:rFonts w:hint="eastAsia" w:ascii="宋体" w:hAnsi="宋体" w:eastAsia="宋体" w:cs="宋体"/>
          <w:sz w:val="24"/>
          <w:szCs w:val="22"/>
          <w:highlight w:val="none"/>
          <w:lang w:val="en-US" w:eastAsia="zh-CN" w:bidi="ar-SA"/>
        </w:rPr>
        <w:t>本次招标不接受联合体投标</w:t>
      </w:r>
      <w:r>
        <w:rPr>
          <w:rFonts w:ascii="Times New Roman" w:hAnsi="Times New Roman"/>
          <w:color w:val="000000"/>
          <w:sz w:val="24"/>
          <w:szCs w:val="20"/>
          <w:highlight w:val="none"/>
        </w:rPr>
        <w:t>。</w:t>
      </w:r>
    </w:p>
    <w:p>
      <w:pPr>
        <w:spacing w:line="440" w:lineRule="atLeast"/>
        <w:ind w:firstLine="480" w:firstLineChars="200"/>
        <w:rPr>
          <w:rFonts w:ascii="Times New Roman" w:hAnsi="Times New Roman"/>
          <w:color w:val="000000"/>
          <w:sz w:val="24"/>
          <w:szCs w:val="24"/>
          <w:highlight w:val="none"/>
        </w:rPr>
      </w:pPr>
      <w:r>
        <w:rPr>
          <w:rFonts w:ascii="Times New Roman" w:hAnsi="Times New Roman"/>
          <w:color w:val="000000"/>
          <w:sz w:val="24"/>
          <w:szCs w:val="24"/>
          <w:highlight w:val="none"/>
        </w:rPr>
        <w:t xml:space="preserve">3.3 </w:t>
      </w:r>
      <w:r>
        <w:rPr>
          <w:rFonts w:hint="eastAsia" w:cs="宋体"/>
          <w:sz w:val="24"/>
          <w:szCs w:val="22"/>
          <w:highlight w:val="none"/>
          <w:lang w:val="en-US" w:eastAsia="zh-CN" w:bidi="ar-SA"/>
        </w:rPr>
        <w:t>一个制造商对同一个标段仅能委托一个代理商参加投标，制造商和所授权的代理商不能对同一标段提出投标申请</w:t>
      </w:r>
      <w:r>
        <w:rPr>
          <w:rFonts w:ascii="Times New Roman" w:hAnsi="Times New Roman"/>
          <w:color w:val="000000"/>
          <w:sz w:val="24"/>
          <w:szCs w:val="24"/>
          <w:highlight w:val="none"/>
        </w:rPr>
        <w:t>。</w:t>
      </w:r>
    </w:p>
    <w:p>
      <w:pPr>
        <w:spacing w:line="420" w:lineRule="atLeast"/>
        <w:ind w:firstLine="480" w:firstLineChars="200"/>
        <w:rPr>
          <w:rFonts w:ascii="Times New Roman" w:hAnsi="Times New Roman" w:eastAsia="黑体"/>
          <w:color w:val="000000"/>
          <w:sz w:val="24"/>
          <w:szCs w:val="24"/>
          <w:highlight w:val="none"/>
        </w:rPr>
      </w:pPr>
      <w:bookmarkStart w:id="4" w:name="_Hlk2767361"/>
      <w:r>
        <w:rPr>
          <w:rFonts w:ascii="Times New Roman" w:hAnsi="Times New Roman" w:eastAsia="黑体"/>
          <w:color w:val="000000"/>
          <w:sz w:val="24"/>
          <w:szCs w:val="20"/>
          <w:highlight w:val="none"/>
        </w:rPr>
        <w:t>3.4</w:t>
      </w:r>
      <w:r>
        <w:rPr>
          <w:rFonts w:hint="eastAsia" w:ascii="Times New Roman" w:hAnsi="Times New Roman" w:eastAsia="黑体"/>
          <w:color w:val="000000"/>
          <w:sz w:val="24"/>
          <w:highlight w:val="none"/>
          <w:lang w:val="en-US" w:eastAsia="zh-CN"/>
        </w:rPr>
        <w:t xml:space="preserve"> </w:t>
      </w:r>
      <w:r>
        <w:rPr>
          <w:rFonts w:hint="eastAsia" w:ascii="宋体" w:hAnsi="宋体" w:eastAsia="宋体" w:cs="宋体"/>
          <w:sz w:val="24"/>
          <w:szCs w:val="22"/>
          <w:highlight w:val="none"/>
          <w:lang w:val="en-US" w:eastAsia="zh-CN" w:bidi="ar-SA"/>
        </w:rPr>
        <w:t>每个投标人可在本次招标中对</w:t>
      </w:r>
      <w:r>
        <w:rPr>
          <w:rFonts w:hint="eastAsia" w:cs="宋体"/>
          <w:sz w:val="24"/>
          <w:szCs w:val="22"/>
          <w:highlight w:val="none"/>
          <w:lang w:val="en-US" w:eastAsia="zh-CN" w:bidi="ar-SA"/>
        </w:rPr>
        <w:t>多</w:t>
      </w:r>
      <w:r>
        <w:rPr>
          <w:rFonts w:hint="eastAsia" w:ascii="宋体" w:hAnsi="宋体" w:eastAsia="宋体" w:cs="宋体"/>
          <w:sz w:val="24"/>
          <w:szCs w:val="22"/>
          <w:highlight w:val="none"/>
          <w:lang w:val="en-US" w:eastAsia="zh-CN" w:bidi="ar-SA"/>
        </w:rPr>
        <w:t>个标段投标，每个投标人允许中</w:t>
      </w:r>
      <w:r>
        <w:rPr>
          <w:rFonts w:hint="eastAsia" w:cs="宋体"/>
          <w:sz w:val="24"/>
          <w:szCs w:val="22"/>
          <w:highlight w:val="none"/>
          <w:lang w:val="en-US" w:eastAsia="zh-CN" w:bidi="ar-SA"/>
        </w:rPr>
        <w:t>多</w:t>
      </w:r>
      <w:r>
        <w:rPr>
          <w:rFonts w:hint="eastAsia" w:ascii="宋体" w:hAnsi="宋体" w:eastAsia="宋体" w:cs="宋体"/>
          <w:sz w:val="24"/>
          <w:szCs w:val="22"/>
          <w:highlight w:val="none"/>
          <w:lang w:val="en-US" w:eastAsia="zh-CN" w:bidi="ar-SA"/>
        </w:rPr>
        <w:t>个标</w:t>
      </w:r>
      <w:r>
        <w:rPr>
          <w:rFonts w:ascii="Times New Roman" w:hAnsi="Times New Roman" w:eastAsia="黑体"/>
          <w:color w:val="000000"/>
          <w:sz w:val="24"/>
          <w:highlight w:val="none"/>
        </w:rPr>
        <w:t>。</w:t>
      </w:r>
    </w:p>
    <w:p>
      <w:pPr>
        <w:autoSpaceDE w:val="0"/>
        <w:autoSpaceDN w:val="0"/>
        <w:adjustRightInd w:val="0"/>
        <w:spacing w:line="420" w:lineRule="atLeast"/>
        <w:ind w:firstLine="480" w:firstLineChars="200"/>
        <w:rPr>
          <w:rFonts w:hint="eastAsia" w:ascii="宋体" w:hAnsi="宋体" w:eastAsia="宋体" w:cs="宋体"/>
          <w:color w:val="000000"/>
          <w:kern w:val="0"/>
          <w:sz w:val="24"/>
          <w:highlight w:val="none"/>
        </w:rPr>
      </w:pPr>
      <w:r>
        <w:rPr>
          <w:rFonts w:hint="eastAsia" w:ascii="Times New Roman" w:hAnsi="Times New Roman" w:eastAsia="黑体" w:cs="Times New Roman"/>
          <w:color w:val="000000"/>
          <w:sz w:val="24"/>
          <w:highlight w:val="none"/>
          <w:lang w:val="en-US" w:eastAsia="zh-CN"/>
        </w:rPr>
        <w:t xml:space="preserve">3.5 </w:t>
      </w:r>
      <w:r>
        <w:rPr>
          <w:rFonts w:hint="eastAsia" w:ascii="宋体" w:hAnsi="宋体" w:eastAsia="宋体" w:cs="宋体"/>
          <w:color w:val="000000"/>
          <w:sz w:val="24"/>
          <w:highlight w:val="none"/>
        </w:rPr>
        <w:t>与招标人存在利害关系且可能影响招标公正性的单位，不得参加投标。</w:t>
      </w:r>
      <w:r>
        <w:rPr>
          <w:rFonts w:hint="eastAsia" w:ascii="宋体" w:hAnsi="宋体" w:eastAsia="宋体" w:cs="宋体"/>
          <w:color w:val="000000"/>
          <w:kern w:val="0"/>
          <w:sz w:val="24"/>
          <w:highlight w:val="none"/>
        </w:rPr>
        <w:t>单位负责人</w:t>
      </w:r>
      <w:r>
        <w:rPr>
          <w:rFonts w:hint="eastAsia" w:ascii="宋体" w:hAnsi="宋体" w:eastAsia="宋体" w:cs="宋体"/>
          <w:color w:val="000000"/>
          <w:highlight w:val="none"/>
          <w:vertAlign w:val="superscript"/>
        </w:rPr>
        <w:footnoteReference w:id="0"/>
      </w:r>
      <w:r>
        <w:rPr>
          <w:rFonts w:hint="eastAsia" w:ascii="宋体" w:hAnsi="宋体" w:eastAsia="宋体" w:cs="宋体"/>
          <w:color w:val="000000"/>
          <w:kern w:val="0"/>
          <w:sz w:val="24"/>
          <w:highlight w:val="none"/>
        </w:rPr>
        <w:t>为同一人或者存在控股</w:t>
      </w:r>
      <w:r>
        <w:rPr>
          <w:rFonts w:hint="eastAsia" w:ascii="宋体" w:hAnsi="宋体" w:eastAsia="宋体" w:cs="宋体"/>
          <w:color w:val="000000"/>
          <w:highlight w:val="none"/>
          <w:vertAlign w:val="superscript"/>
        </w:rPr>
        <w:footnoteReference w:id="1"/>
      </w:r>
      <w:r>
        <w:rPr>
          <w:rFonts w:hint="eastAsia" w:ascii="宋体" w:hAnsi="宋体" w:eastAsia="宋体" w:cs="宋体"/>
          <w:color w:val="000000"/>
          <w:kern w:val="0"/>
          <w:sz w:val="24"/>
          <w:highlight w:val="none"/>
        </w:rPr>
        <w:t>、管理</w:t>
      </w:r>
      <w:r>
        <w:rPr>
          <w:rFonts w:hint="eastAsia" w:ascii="宋体" w:hAnsi="宋体" w:eastAsia="宋体" w:cs="宋体"/>
          <w:color w:val="000000"/>
          <w:highlight w:val="none"/>
          <w:vertAlign w:val="superscript"/>
        </w:rPr>
        <w:footnoteReference w:id="2"/>
      </w:r>
      <w:r>
        <w:rPr>
          <w:rFonts w:hint="eastAsia" w:ascii="宋体" w:hAnsi="宋体" w:eastAsia="宋体" w:cs="宋体"/>
          <w:color w:val="000000"/>
          <w:kern w:val="0"/>
          <w:sz w:val="24"/>
          <w:highlight w:val="none"/>
        </w:rPr>
        <w:t>关系的不同单位（即利益相关人），不得参加同一标段投标，否则，相关投标均无效。</w:t>
      </w:r>
    </w:p>
    <w:p>
      <w:pPr>
        <w:autoSpaceDE w:val="0"/>
        <w:autoSpaceDN w:val="0"/>
        <w:adjustRightInd w:val="0"/>
        <w:spacing w:line="420" w:lineRule="atLeast"/>
        <w:ind w:firstLine="480" w:firstLineChars="200"/>
        <w:rPr>
          <w:rFonts w:hint="eastAsia" w:ascii="宋体" w:hAnsi="宋体" w:eastAsia="宋体" w:cs="宋体"/>
          <w:color w:val="000000"/>
          <w:sz w:val="24"/>
          <w:szCs w:val="20"/>
          <w:highlight w:val="none"/>
        </w:rPr>
      </w:pPr>
      <w:r>
        <w:rPr>
          <w:rFonts w:hint="eastAsia" w:ascii="Times New Roman" w:hAnsi="Times New Roman" w:eastAsia="黑体" w:cs="Times New Roman"/>
          <w:color w:val="000000"/>
          <w:sz w:val="24"/>
          <w:highlight w:val="none"/>
          <w:lang w:val="en-US" w:eastAsia="zh-CN"/>
        </w:rPr>
        <w:t xml:space="preserve">3.6 </w:t>
      </w:r>
      <w:r>
        <w:rPr>
          <w:rFonts w:hint="eastAsia" w:ascii="宋体" w:hAnsi="宋体" w:eastAsia="宋体" w:cs="宋体"/>
          <w:sz w:val="24"/>
          <w:szCs w:val="20"/>
          <w:highlight w:val="none"/>
        </w:rPr>
        <w:t>招标人不接受</w:t>
      </w:r>
      <w:r>
        <w:rPr>
          <w:rFonts w:hint="eastAsia" w:ascii="宋体" w:hAnsi="宋体" w:eastAsia="宋体" w:cs="宋体"/>
          <w:sz w:val="24"/>
          <w:highlight w:val="none"/>
        </w:rPr>
        <w:t>在全国企业信用信息公示系统（http://www.gsxt.gov.cn）中被列入严重违法失信企业名单的或在“信用中国”网站（www.creditchina.gov.cn）中被列入失信被执行人名单的投标人投标。</w:t>
      </w:r>
    </w:p>
    <w:bookmarkEnd w:id="4"/>
    <w:p>
      <w:pPr>
        <w:keepNext/>
        <w:keepLines/>
        <w:spacing w:before="260" w:after="260" w:line="440" w:lineRule="atLeast"/>
        <w:outlineLvl w:val="2"/>
        <w:rPr>
          <w:rFonts w:ascii="Times New Roman" w:hAnsi="Times New Roman" w:eastAsia="黑体"/>
          <w:b w:val="0"/>
          <w:bCs/>
          <w:color w:val="000000"/>
          <w:sz w:val="28"/>
          <w:szCs w:val="28"/>
          <w:highlight w:val="none"/>
        </w:rPr>
      </w:pPr>
      <w:bookmarkStart w:id="5" w:name="_Toc501460584"/>
      <w:r>
        <w:rPr>
          <w:rFonts w:ascii="Times New Roman" w:hAnsi="Times New Roman" w:eastAsia="黑体"/>
          <w:b w:val="0"/>
          <w:bCs/>
          <w:color w:val="000000"/>
          <w:sz w:val="28"/>
          <w:szCs w:val="28"/>
          <w:highlight w:val="none"/>
        </w:rPr>
        <w:t>4. 招标文件的获取</w:t>
      </w:r>
      <w:bookmarkEnd w:id="5"/>
    </w:p>
    <w:p>
      <w:pPr>
        <w:tabs>
          <w:tab w:val="left" w:pos="360"/>
        </w:tabs>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4.1 根据规定，本项目只接受网上报名。凡有意参加投标者，请在湖南省公共资 源 交 易 中 心 办 理 CA 数 字 证 书 （ 具 体 流 程 参 见 网 址  http://www.hunca.com.cn/xmzq/ggzy/ggzyfscg/）。</w:t>
      </w:r>
    </w:p>
    <w:p>
      <w:pPr>
        <w:tabs>
          <w:tab w:val="left" w:pos="360"/>
        </w:tabs>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投标人在办理 CA 数字证书时，自行填写利益相关企业，由电子招投标系统根据投标人填写的利益相关企业情况，在网上报名时自动提醒利益相关企业已报名， 如因企业未如实填写利益相关企业导致利益相关企业投同一标段的，按否决其投标处理。</w:t>
      </w:r>
    </w:p>
    <w:p>
      <w:pPr>
        <w:widowControl/>
        <w:spacing w:line="4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 办理完成 CA 数字认证后，请于招标公告发布之日 00：00 时至投标文件递交截止之日前一日 24：00 时（北京时间，下同），通过互联网使用 CA 数字证书登录湖南省公共资源交易中心进场交易系统（以下简称：“电子交易平台”，网址： http://222.240.80.75/tpbidder），选择所投标段进行报名后下载招标文件完成报名。</w:t>
      </w:r>
      <w:r>
        <w:rPr>
          <w:rFonts w:hint="eastAsia" w:ascii="宋体" w:hAnsi="宋体" w:eastAsia="宋体" w:cs="宋体"/>
          <w:sz w:val="24"/>
          <w:szCs w:val="24"/>
          <w:highlight w:val="none"/>
          <w:vertAlign w:val="superscript"/>
        </w:rPr>
        <w:footnoteReference w:id="3"/>
      </w:r>
    </w:p>
    <w:p>
      <w:pPr>
        <w:widowControl/>
        <w:spacing w:line="400" w:lineRule="atLeast"/>
        <w:ind w:firstLine="480" w:firstLineChars="200"/>
        <w:rPr>
          <w:rFonts w:ascii="Times New Roman" w:hAnsi="Times New Roman"/>
          <w:kern w:val="0"/>
          <w:sz w:val="24"/>
          <w:szCs w:val="24"/>
          <w:highlight w:val="none"/>
        </w:rPr>
      </w:pPr>
      <w:r>
        <w:rPr>
          <w:rFonts w:ascii="Times New Roman" w:hAnsi="Times New Roman" w:eastAsia="黑体"/>
          <w:sz w:val="24"/>
          <w:szCs w:val="24"/>
          <w:highlight w:val="none"/>
        </w:rPr>
        <w:t xml:space="preserve">4.3 </w:t>
      </w:r>
      <w:r>
        <w:rPr>
          <w:spacing w:val="-1"/>
          <w:sz w:val="24"/>
          <w:highlight w:val="none"/>
        </w:rPr>
        <w:t>投标人应及时关注网上相关招标信息，如有遗漏招标人概不负责，所造成</w:t>
      </w:r>
      <w:r>
        <w:rPr>
          <w:sz w:val="24"/>
          <w:highlight w:val="none"/>
        </w:rPr>
        <w:t>的投标失败或损失由投标人自行负责。</w:t>
      </w:r>
      <w:r>
        <w:rPr>
          <w:rFonts w:hint="eastAsia"/>
          <w:sz w:val="24"/>
          <w:highlight w:val="none"/>
        </w:rPr>
        <w:t>投标人在办理 CA 数字证书时，自行填写利 益相关企业，由电子招投标系统根据投标人填写的利益相关企业情况，在网上报名 时自动提醒利益相关企业已报名（如利益相关企业报名数超过可投标段数的，自动 禁止报名），如因企业未如实填写利益相关企业导致利益相关企业投同一标段的，按 否决其投标处理</w:t>
      </w:r>
      <w:r>
        <w:rPr>
          <w:rFonts w:hint="eastAsia"/>
          <w:sz w:val="24"/>
          <w:highlight w:val="none"/>
          <w:lang w:eastAsia="zh-CN"/>
        </w:rPr>
        <w:t>。未按规定从湖南省公共资源交易中心进场交易系统下载招标文件的，招标人将拒收 其投标</w:t>
      </w:r>
      <w:r>
        <w:rPr>
          <w:rFonts w:ascii="Times New Roman" w:hAnsi="Times New Roman" w:eastAsia="黑体"/>
          <w:sz w:val="24"/>
          <w:szCs w:val="24"/>
          <w:highlight w:val="none"/>
        </w:rPr>
        <w:t>。</w:t>
      </w:r>
    </w:p>
    <w:p>
      <w:pPr>
        <w:keepNext/>
        <w:keepLines/>
        <w:spacing w:before="260" w:after="260" w:line="440" w:lineRule="atLeast"/>
        <w:outlineLvl w:val="2"/>
        <w:rPr>
          <w:rFonts w:ascii="Times New Roman" w:hAnsi="Times New Roman" w:eastAsia="黑体"/>
          <w:b w:val="0"/>
          <w:bCs/>
          <w:color w:val="000000"/>
          <w:sz w:val="28"/>
          <w:szCs w:val="28"/>
          <w:highlight w:val="none"/>
        </w:rPr>
      </w:pPr>
      <w:bookmarkStart w:id="6" w:name="_Toc501460585"/>
      <w:r>
        <w:rPr>
          <w:rFonts w:ascii="Times New Roman" w:hAnsi="Times New Roman" w:eastAsia="黑体"/>
          <w:b w:val="0"/>
          <w:bCs/>
          <w:color w:val="000000"/>
          <w:sz w:val="28"/>
          <w:szCs w:val="28"/>
          <w:highlight w:val="none"/>
        </w:rPr>
        <w:t>5. 投标文件的递交</w:t>
      </w:r>
      <w:bookmarkEnd w:id="6"/>
      <w:r>
        <w:rPr>
          <w:rFonts w:ascii="Times New Roman" w:hAnsi="Times New Roman" w:eastAsia="黑体"/>
          <w:b w:val="0"/>
          <w:bCs/>
          <w:color w:val="000000"/>
          <w:sz w:val="28"/>
          <w:szCs w:val="28"/>
          <w:highlight w:val="none"/>
        </w:rPr>
        <w:t>及相关事宜</w:t>
      </w:r>
    </w:p>
    <w:p>
      <w:pPr>
        <w:spacing w:line="400" w:lineRule="atLeast"/>
        <w:ind w:firstLine="480" w:firstLineChars="200"/>
        <w:rPr>
          <w:rFonts w:hint="eastAsia"/>
          <w:b/>
          <w:bCs/>
          <w:color w:val="000000"/>
          <w:sz w:val="24"/>
          <w:highlight w:val="none"/>
          <w:lang w:val="en-US" w:eastAsia="zh-CN"/>
        </w:rPr>
      </w:pPr>
      <w:r>
        <w:rPr>
          <w:rFonts w:ascii="Times New Roman" w:hAnsi="Times New Roman"/>
          <w:color w:val="000000"/>
          <w:sz w:val="24"/>
          <w:highlight w:val="none"/>
        </w:rPr>
        <w:t xml:space="preserve">5.1 </w:t>
      </w:r>
      <w:r>
        <w:rPr>
          <w:rFonts w:hint="eastAsia" w:ascii="Times New Roman" w:hAnsi="Times New Roman"/>
          <w:color w:val="000000"/>
          <w:sz w:val="24"/>
          <w:highlight w:val="none"/>
        </w:rPr>
        <w:t>投标文件递交的截止时间（投标截止时间，下同）</w:t>
      </w:r>
      <w:r>
        <w:rPr>
          <w:rFonts w:hint="eastAsia"/>
          <w:color w:val="000000"/>
          <w:sz w:val="24"/>
          <w:highlight w:val="none"/>
          <w:lang w:eastAsia="zh-CN"/>
        </w:rPr>
        <w:t>：</w:t>
      </w:r>
      <w:r>
        <w:rPr>
          <w:rFonts w:hint="eastAsia"/>
          <w:b/>
          <w:bCs/>
          <w:color w:val="000000"/>
          <w:sz w:val="24"/>
          <w:highlight w:val="none"/>
          <w:lang w:val="en-US" w:eastAsia="zh-CN"/>
        </w:rPr>
        <w:t>ZYSB01、ZYSB02、ZYSB04、ZYSB06为2022年8月12日 09:00；</w:t>
      </w:r>
      <w:r>
        <w:rPr>
          <w:rFonts w:hint="eastAsia"/>
          <w:b/>
          <w:bCs/>
          <w:color w:val="000000"/>
          <w:sz w:val="24"/>
          <w:highlight w:val="none"/>
          <w:lang w:val="en-US" w:eastAsia="zh-CN"/>
        </w:rPr>
        <w:t>ZYSB07、ZYSB08标段为2022年8月15日 09:00。</w:t>
      </w:r>
      <w:bookmarkStart w:id="21" w:name="_GoBack"/>
      <w:bookmarkEnd w:id="21"/>
    </w:p>
    <w:p>
      <w:pPr>
        <w:spacing w:line="400" w:lineRule="atLeast"/>
        <w:ind w:firstLine="480" w:firstLineChars="200"/>
        <w:rPr>
          <w:rFonts w:hint="eastAsia" w:ascii="Times New Roman" w:hAnsi="Times New Roman"/>
          <w:color w:val="000000"/>
          <w:sz w:val="24"/>
          <w:highlight w:val="none"/>
        </w:rPr>
      </w:pPr>
      <w:r>
        <w:rPr>
          <w:rFonts w:hint="eastAsia" w:ascii="Times New Roman" w:hAnsi="Times New Roman"/>
          <w:color w:val="000000"/>
          <w:sz w:val="24"/>
          <w:highlight w:val="none"/>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p>
    <w:p>
      <w:pPr>
        <w:spacing w:line="400" w:lineRule="atLeast"/>
        <w:ind w:firstLine="480" w:firstLineChars="200"/>
        <w:rPr>
          <w:rFonts w:hint="eastAsia" w:ascii="Times New Roman" w:hAnsi="Times New Roman"/>
          <w:color w:val="000000"/>
          <w:sz w:val="24"/>
          <w:highlight w:val="none"/>
        </w:rPr>
      </w:pPr>
      <w:r>
        <w:rPr>
          <w:rFonts w:hint="eastAsia" w:ascii="Times New Roman" w:hAnsi="Times New Roman"/>
          <w:color w:val="000000"/>
          <w:sz w:val="24"/>
          <w:highlight w:val="none"/>
        </w:rPr>
        <w:t>（1）网上递交：投标人应当在投标截止时间前，通过互联网使用 CA 数字证书登录“交易系统”，将加密的投标文件上传，并保存上传成功后系统自动生成的电子签收凭证，递交时间即为电子签收凭证时间。逾期未完成上传或未按规定加密的投标文件，招标人不予接收。</w:t>
      </w:r>
    </w:p>
    <w:p>
      <w:pPr>
        <w:spacing w:line="400" w:lineRule="atLeast"/>
        <w:ind w:firstLine="480" w:firstLineChars="200"/>
        <w:rPr>
          <w:sz w:val="24"/>
          <w:highlight w:val="none"/>
        </w:rPr>
      </w:pPr>
      <w:r>
        <w:rPr>
          <w:rFonts w:hint="eastAsia" w:ascii="Times New Roman" w:hAnsi="Times New Roman"/>
          <w:color w:val="000000"/>
          <w:sz w:val="24"/>
          <w:highlight w:val="none"/>
        </w:rPr>
        <w:t>（2）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 盘或设置密码的压缩文件形式）进行开标。招标人允许投标人将投标保函原件和银行查询授权书原件（如有）和银行信贷证明原件（如有）按照招标文件要求密封后（封套注明项目名称、招标编号、投标人名称），采用邮寄方式最晚于开标之日前一日下午 17:00 前交招标人签收（以签收时间为准），邮寄地址：湖南省长沙市雨花区湘府东路二段 199 号湖南省招标有限责任限公司 1411 室</w:t>
      </w:r>
      <w:r>
        <w:rPr>
          <w:rFonts w:hint="eastAsia" w:ascii="Times New Roman" w:hAnsi="Times New Roman"/>
          <w:color w:val="000000"/>
          <w:sz w:val="24"/>
          <w:highlight w:val="none"/>
          <w:lang w:eastAsia="zh-CN"/>
        </w:rPr>
        <w:t>丁</w:t>
      </w:r>
      <w:r>
        <w:rPr>
          <w:rFonts w:hint="eastAsia" w:ascii="Times New Roman" w:hAnsi="Times New Roman"/>
          <w:color w:val="000000"/>
          <w:sz w:val="24"/>
          <w:highlight w:val="none"/>
        </w:rPr>
        <w:t xml:space="preserve">先生收（联系电话 </w:t>
      </w:r>
      <w:r>
        <w:rPr>
          <w:rFonts w:hint="eastAsia" w:ascii="Times New Roman" w:hAnsi="Times New Roman"/>
          <w:color w:val="000000"/>
          <w:sz w:val="24"/>
          <w:highlight w:val="none"/>
          <w:lang w:val="en-US" w:eastAsia="zh-CN"/>
        </w:rPr>
        <w:t>13117427191</w:t>
      </w:r>
      <w:r>
        <w:rPr>
          <w:rFonts w:hint="eastAsia" w:ascii="Times New Roman" w:hAnsi="Times New Roman"/>
          <w:color w:val="000000"/>
          <w:sz w:val="24"/>
          <w:highlight w:val="none"/>
        </w:rPr>
        <w:t>）。若投标人自愿到达开标现场参加开标活动的，应当在开标当日投标截止时间之前，将不加密的投标文件（ U 盘备份）及投标保函原件和银行查询授权书原件（如有）和银行信贷证明原件（如有）按照招标文件要求密封后，递交至湖南省长沙市雨花区万家丽南路二段 29 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r>
        <w:rPr>
          <w:sz w:val="24"/>
          <w:highlight w:val="none"/>
        </w:rPr>
        <w:t>。</w:t>
      </w:r>
    </w:p>
    <w:p>
      <w:pPr>
        <w:spacing w:line="440" w:lineRule="atLeast"/>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4"/>
          <w:highlight w:val="none"/>
        </w:rPr>
        <w:t>5.2</w:t>
      </w:r>
      <w:bookmarkStart w:id="7" w:name="_Toc501460586"/>
      <w:r>
        <w:rPr>
          <w:rFonts w:hint="eastAsia" w:ascii="宋体" w:hAnsi="宋体" w:eastAsia="宋体" w:cs="宋体"/>
          <w:color w:val="000000"/>
          <w:sz w:val="24"/>
          <w:szCs w:val="20"/>
          <w:highlight w:val="none"/>
        </w:rPr>
        <w:t xml:space="preserve"> 投标保证金的递交：</w:t>
      </w:r>
    </w:p>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投标保证金的金额：</w:t>
      </w:r>
    </w:p>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ZYSB01标段：</w:t>
      </w:r>
      <w:r>
        <w:rPr>
          <w:rFonts w:hint="eastAsia" w:ascii="宋体" w:hAnsi="宋体" w:eastAsia="宋体" w:cs="宋体"/>
          <w:color w:val="000000"/>
          <w:sz w:val="24"/>
          <w:szCs w:val="20"/>
          <w:highlight w:val="none"/>
          <w:lang w:val="en-US" w:eastAsia="zh-CN"/>
        </w:rPr>
        <w:t>12</w:t>
      </w:r>
      <w:r>
        <w:rPr>
          <w:rFonts w:hint="eastAsia" w:ascii="宋体" w:hAnsi="宋体" w:eastAsia="宋体" w:cs="宋体"/>
          <w:color w:val="000000"/>
          <w:sz w:val="24"/>
          <w:szCs w:val="20"/>
          <w:highlight w:val="none"/>
        </w:rPr>
        <w:t xml:space="preserve">万元人民币；   </w:t>
      </w:r>
      <w:r>
        <w:rPr>
          <w:rFonts w:hint="eastAsia" w:ascii="宋体" w:hAnsi="宋体" w:eastAsia="宋体" w:cs="宋体"/>
          <w:color w:val="000000"/>
          <w:sz w:val="24"/>
          <w:szCs w:val="20"/>
          <w:highlight w:val="none"/>
          <w:lang w:val="en-US" w:eastAsia="zh-CN"/>
        </w:rPr>
        <w:t xml:space="preserve"> </w:t>
      </w:r>
      <w:r>
        <w:rPr>
          <w:rFonts w:hint="eastAsia" w:ascii="宋体" w:hAnsi="宋体" w:eastAsia="宋体" w:cs="宋体"/>
          <w:color w:val="000000"/>
          <w:sz w:val="24"/>
          <w:szCs w:val="20"/>
          <w:highlight w:val="none"/>
        </w:rPr>
        <w:t>ZYSB02标段：</w:t>
      </w:r>
      <w:r>
        <w:rPr>
          <w:rFonts w:hint="eastAsia" w:ascii="宋体" w:hAnsi="宋体" w:eastAsia="宋体" w:cs="宋体"/>
          <w:color w:val="000000"/>
          <w:sz w:val="24"/>
          <w:szCs w:val="20"/>
          <w:highlight w:val="none"/>
          <w:lang w:val="en-US" w:eastAsia="zh-CN"/>
        </w:rPr>
        <w:t>9</w:t>
      </w:r>
      <w:r>
        <w:rPr>
          <w:rFonts w:hint="eastAsia" w:ascii="宋体" w:hAnsi="宋体" w:eastAsia="宋体" w:cs="宋体"/>
          <w:color w:val="000000"/>
          <w:sz w:val="24"/>
          <w:szCs w:val="20"/>
          <w:highlight w:val="none"/>
        </w:rPr>
        <w:t>万元人民币；</w:t>
      </w:r>
    </w:p>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ZYSB04标段：</w:t>
      </w:r>
      <w:r>
        <w:rPr>
          <w:rFonts w:hint="eastAsia" w:ascii="宋体" w:hAnsi="宋体" w:eastAsia="宋体" w:cs="宋体"/>
          <w:color w:val="000000"/>
          <w:sz w:val="24"/>
          <w:szCs w:val="20"/>
          <w:highlight w:val="none"/>
          <w:lang w:val="en-US" w:eastAsia="zh-CN"/>
        </w:rPr>
        <w:t>5</w:t>
      </w:r>
      <w:r>
        <w:rPr>
          <w:rFonts w:hint="eastAsia" w:ascii="宋体" w:hAnsi="宋体" w:eastAsia="宋体" w:cs="宋体"/>
          <w:color w:val="000000"/>
          <w:sz w:val="24"/>
          <w:szCs w:val="20"/>
          <w:highlight w:val="none"/>
        </w:rPr>
        <w:t>万元人民币；</w:t>
      </w:r>
      <w:r>
        <w:rPr>
          <w:rFonts w:hint="eastAsia" w:ascii="宋体" w:hAnsi="宋体" w:eastAsia="宋体" w:cs="宋体"/>
          <w:color w:val="000000"/>
          <w:sz w:val="24"/>
          <w:szCs w:val="20"/>
          <w:highlight w:val="none"/>
          <w:lang w:val="en-US" w:eastAsia="zh-CN"/>
        </w:rPr>
        <w:t xml:space="preserve">    </w:t>
      </w:r>
      <w:r>
        <w:rPr>
          <w:rFonts w:hint="eastAsia" w:ascii="宋体" w:hAnsi="宋体" w:eastAsia="宋体" w:cs="宋体"/>
          <w:color w:val="000000"/>
          <w:sz w:val="24"/>
          <w:szCs w:val="20"/>
          <w:highlight w:val="none"/>
        </w:rPr>
        <w:t>ZYSB06标段：</w:t>
      </w:r>
      <w:r>
        <w:rPr>
          <w:rFonts w:hint="eastAsia" w:ascii="宋体" w:hAnsi="宋体" w:eastAsia="宋体" w:cs="宋体"/>
          <w:color w:val="000000"/>
          <w:sz w:val="24"/>
          <w:szCs w:val="20"/>
          <w:highlight w:val="none"/>
          <w:lang w:val="en-US" w:eastAsia="zh-CN"/>
        </w:rPr>
        <w:t>22</w:t>
      </w:r>
      <w:r>
        <w:rPr>
          <w:rFonts w:hint="eastAsia" w:ascii="宋体" w:hAnsi="宋体" w:eastAsia="宋体" w:cs="宋体"/>
          <w:color w:val="000000"/>
          <w:sz w:val="24"/>
          <w:szCs w:val="20"/>
          <w:highlight w:val="none"/>
        </w:rPr>
        <w:t>万元人民币；</w:t>
      </w:r>
    </w:p>
    <w:p>
      <w:pPr>
        <w:autoSpaceDE w:val="0"/>
        <w:autoSpaceDN w:val="0"/>
        <w:adjustRightInd w:val="0"/>
        <w:spacing w:line="440" w:lineRule="atLeast"/>
        <w:ind w:firstLine="480"/>
        <w:rPr>
          <w:rFonts w:hint="eastAsia" w:ascii="宋体" w:hAnsi="宋体" w:eastAsia="宋体" w:cs="宋体"/>
          <w:color w:val="000000"/>
          <w:sz w:val="24"/>
          <w:szCs w:val="20"/>
          <w:highlight w:val="none"/>
          <w:lang w:eastAsia="zh-CN"/>
        </w:rPr>
      </w:pPr>
      <w:r>
        <w:rPr>
          <w:rFonts w:hint="eastAsia" w:ascii="宋体" w:hAnsi="宋体" w:eastAsia="宋体" w:cs="宋体"/>
          <w:color w:val="000000"/>
          <w:sz w:val="24"/>
          <w:szCs w:val="20"/>
          <w:highlight w:val="none"/>
        </w:rPr>
        <w:t>ZYSB07标段：</w:t>
      </w:r>
      <w:r>
        <w:rPr>
          <w:rFonts w:hint="eastAsia" w:ascii="宋体" w:hAnsi="宋体" w:eastAsia="宋体" w:cs="宋体"/>
          <w:color w:val="000000"/>
          <w:sz w:val="24"/>
          <w:szCs w:val="20"/>
          <w:highlight w:val="none"/>
          <w:lang w:val="en-US" w:eastAsia="zh-CN"/>
        </w:rPr>
        <w:t>5</w:t>
      </w:r>
      <w:r>
        <w:rPr>
          <w:rFonts w:hint="eastAsia" w:ascii="宋体" w:hAnsi="宋体" w:eastAsia="宋体" w:cs="宋体"/>
          <w:color w:val="000000"/>
          <w:sz w:val="24"/>
          <w:szCs w:val="20"/>
          <w:highlight w:val="none"/>
        </w:rPr>
        <w:t>万元人民币；    ZYSB08标段：</w:t>
      </w:r>
      <w:r>
        <w:rPr>
          <w:rFonts w:hint="eastAsia" w:ascii="宋体" w:hAnsi="宋体" w:eastAsia="宋体" w:cs="宋体"/>
          <w:color w:val="000000"/>
          <w:sz w:val="24"/>
          <w:szCs w:val="20"/>
          <w:highlight w:val="none"/>
          <w:lang w:val="en-US" w:eastAsia="zh-CN"/>
        </w:rPr>
        <w:t>42</w:t>
      </w:r>
      <w:r>
        <w:rPr>
          <w:rFonts w:hint="eastAsia" w:ascii="宋体" w:hAnsi="宋体" w:eastAsia="宋体" w:cs="宋体"/>
          <w:color w:val="000000"/>
          <w:sz w:val="24"/>
          <w:szCs w:val="20"/>
          <w:highlight w:val="none"/>
        </w:rPr>
        <w:t>万元人民币；</w:t>
      </w:r>
      <w:r>
        <w:rPr>
          <w:rFonts w:hint="eastAsia" w:ascii="宋体" w:hAnsi="宋体" w:eastAsia="宋体" w:cs="宋体"/>
          <w:color w:val="000000"/>
          <w:sz w:val="24"/>
          <w:szCs w:val="20"/>
          <w:highlight w:val="none"/>
          <w:lang w:eastAsia="zh-CN"/>
        </w:rPr>
        <w:t>；</w:t>
      </w:r>
    </w:p>
    <w:p>
      <w:pPr>
        <w:autoSpaceDE w:val="0"/>
        <w:autoSpaceDN w:val="0"/>
        <w:adjustRightInd w:val="0"/>
        <w:spacing w:line="400" w:lineRule="exact"/>
        <w:ind w:firstLine="480" w:firstLineChars="200"/>
        <w:rPr>
          <w:rFonts w:hint="eastAsia" w:ascii="宋体" w:hAnsi="宋体" w:eastAsia="宋体" w:cs="宋体"/>
          <w:color w:val="000000"/>
          <w:sz w:val="24"/>
          <w:szCs w:val="20"/>
          <w:highlight w:val="none"/>
        </w:rPr>
      </w:pPr>
      <w:bookmarkStart w:id="8" w:name="_Hlk12420387"/>
      <w:r>
        <w:rPr>
          <w:rFonts w:hint="eastAsia" w:ascii="宋体" w:hAnsi="宋体" w:eastAsia="宋体" w:cs="宋体"/>
          <w:color w:val="000000"/>
          <w:sz w:val="24"/>
          <w:szCs w:val="20"/>
          <w:highlight w:val="none"/>
        </w:rPr>
        <w:t>（1）</w:t>
      </w:r>
      <w:bookmarkStart w:id="9" w:name="_Hlk11941435"/>
      <w:r>
        <w:rPr>
          <w:rFonts w:hint="eastAsia" w:ascii="宋体" w:hAnsi="宋体" w:eastAsia="宋体" w:cs="宋体"/>
          <w:sz w:val="24"/>
          <w:szCs w:val="20"/>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9"/>
      <w:r>
        <w:rPr>
          <w:rFonts w:hint="eastAsia" w:ascii="宋体" w:hAnsi="宋体" w:eastAsia="宋体" w:cs="宋体"/>
          <w:sz w:val="24"/>
          <w:szCs w:val="20"/>
          <w:highlight w:val="none"/>
        </w:rPr>
        <w:t>。</w:t>
      </w:r>
    </w:p>
    <w:bookmarkEnd w:id="8"/>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招标标段：第ZYSB01-02、ZYSB04、ZYSB06-08标段</w:t>
      </w:r>
    </w:p>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户    名：湖南省公共资源交易中心</w:t>
      </w:r>
    </w:p>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开户银行：长沙银行湘府路支行</w:t>
      </w:r>
    </w:p>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账    号：ZYSB01标段：</w:t>
      </w:r>
      <w:r>
        <w:rPr>
          <w:rFonts w:hint="eastAsia" w:ascii="宋体" w:hAnsi="宋体" w:eastAsia="宋体" w:cs="宋体"/>
          <w:color w:val="000000"/>
          <w:sz w:val="24"/>
          <w:szCs w:val="20"/>
          <w:highlight w:val="none"/>
          <w:lang w:val="en-US" w:eastAsia="zh-CN"/>
        </w:rPr>
        <w:t>607056266</w:t>
      </w:r>
      <w:r>
        <w:rPr>
          <w:rFonts w:hint="eastAsia" w:ascii="宋体" w:hAnsi="宋体" w:eastAsia="宋体" w:cs="宋体"/>
          <w:color w:val="000000"/>
          <w:sz w:val="24"/>
          <w:szCs w:val="20"/>
          <w:highlight w:val="none"/>
        </w:rPr>
        <w:t>；ZYSB02标段：</w:t>
      </w:r>
      <w:r>
        <w:rPr>
          <w:rFonts w:hint="eastAsia" w:ascii="宋体" w:hAnsi="宋体" w:eastAsia="宋体" w:cs="宋体"/>
          <w:color w:val="000000"/>
          <w:sz w:val="24"/>
          <w:szCs w:val="20"/>
          <w:highlight w:val="none"/>
          <w:lang w:val="en-US" w:eastAsia="zh-CN"/>
        </w:rPr>
        <w:t>607056274</w:t>
      </w:r>
      <w:r>
        <w:rPr>
          <w:rFonts w:hint="eastAsia" w:ascii="宋体" w:hAnsi="宋体" w:eastAsia="宋体" w:cs="宋体"/>
          <w:color w:val="000000"/>
          <w:sz w:val="24"/>
          <w:szCs w:val="20"/>
          <w:highlight w:val="none"/>
        </w:rPr>
        <w:t>；</w:t>
      </w:r>
    </w:p>
    <w:p>
      <w:pPr>
        <w:autoSpaceDE w:val="0"/>
        <w:autoSpaceDN w:val="0"/>
        <w:adjustRightInd w:val="0"/>
        <w:spacing w:line="440" w:lineRule="atLeast"/>
        <w:ind w:left="479" w:leftChars="228" w:firstLine="64" w:firstLineChars="27"/>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ZYSB04标段：</w:t>
      </w:r>
      <w:r>
        <w:rPr>
          <w:rFonts w:hint="eastAsia" w:ascii="宋体" w:hAnsi="宋体" w:eastAsia="宋体" w:cs="宋体"/>
          <w:color w:val="000000"/>
          <w:sz w:val="24"/>
          <w:szCs w:val="20"/>
          <w:highlight w:val="none"/>
          <w:lang w:val="en-US" w:eastAsia="zh-CN"/>
        </w:rPr>
        <w:t>607056282</w:t>
      </w:r>
      <w:r>
        <w:rPr>
          <w:rFonts w:hint="eastAsia" w:ascii="宋体" w:hAnsi="宋体" w:eastAsia="宋体" w:cs="宋体"/>
          <w:color w:val="000000"/>
          <w:sz w:val="24"/>
          <w:szCs w:val="20"/>
          <w:highlight w:val="none"/>
        </w:rPr>
        <w:t>；ZYSB06标段：</w:t>
      </w:r>
      <w:r>
        <w:rPr>
          <w:rFonts w:hint="eastAsia" w:ascii="宋体" w:hAnsi="宋体" w:eastAsia="宋体" w:cs="宋体"/>
          <w:color w:val="000000"/>
          <w:sz w:val="24"/>
          <w:szCs w:val="20"/>
          <w:highlight w:val="none"/>
          <w:lang w:val="en-US" w:eastAsia="zh-CN"/>
        </w:rPr>
        <w:t>607056290</w:t>
      </w:r>
      <w:r>
        <w:rPr>
          <w:rFonts w:hint="eastAsia" w:ascii="宋体" w:hAnsi="宋体" w:eastAsia="宋体" w:cs="宋体"/>
          <w:color w:val="000000"/>
          <w:sz w:val="24"/>
          <w:szCs w:val="20"/>
          <w:highlight w:val="none"/>
        </w:rPr>
        <w:t>；</w:t>
      </w:r>
    </w:p>
    <w:p>
      <w:pPr>
        <w:autoSpaceDE w:val="0"/>
        <w:autoSpaceDN w:val="0"/>
        <w:adjustRightInd w:val="0"/>
        <w:spacing w:line="440" w:lineRule="atLeast"/>
        <w:ind w:left="479" w:leftChars="228" w:firstLine="64" w:firstLineChars="27"/>
        <w:rPr>
          <w:rFonts w:hint="eastAsia" w:ascii="宋体" w:hAnsi="宋体" w:eastAsia="宋体" w:cs="宋体"/>
          <w:color w:val="000000"/>
          <w:sz w:val="24"/>
          <w:szCs w:val="20"/>
          <w:highlight w:val="none"/>
          <w:lang w:eastAsia="zh-CN"/>
        </w:rPr>
      </w:pPr>
      <w:r>
        <w:rPr>
          <w:rFonts w:hint="eastAsia" w:ascii="宋体" w:hAnsi="宋体" w:eastAsia="宋体" w:cs="宋体"/>
          <w:color w:val="000000"/>
          <w:sz w:val="24"/>
          <w:szCs w:val="20"/>
          <w:highlight w:val="none"/>
        </w:rPr>
        <w:t>ZYSB07标段：</w:t>
      </w:r>
      <w:r>
        <w:rPr>
          <w:rFonts w:hint="eastAsia" w:ascii="宋体" w:hAnsi="宋体" w:eastAsia="宋体" w:cs="宋体"/>
          <w:color w:val="000000"/>
          <w:sz w:val="24"/>
          <w:szCs w:val="20"/>
          <w:highlight w:val="none"/>
          <w:lang w:val="en-US" w:eastAsia="zh-CN"/>
        </w:rPr>
        <w:t>607056307</w:t>
      </w:r>
      <w:r>
        <w:rPr>
          <w:rFonts w:hint="eastAsia" w:ascii="宋体" w:hAnsi="宋体" w:eastAsia="宋体" w:cs="宋体"/>
          <w:color w:val="000000"/>
          <w:sz w:val="24"/>
          <w:szCs w:val="20"/>
          <w:highlight w:val="none"/>
        </w:rPr>
        <w:t xml:space="preserve"> ；ZYSB08标段：</w:t>
      </w:r>
      <w:r>
        <w:rPr>
          <w:rFonts w:hint="eastAsia" w:ascii="宋体" w:hAnsi="宋体" w:eastAsia="宋体" w:cs="宋体"/>
          <w:color w:val="000000"/>
          <w:sz w:val="24"/>
          <w:szCs w:val="20"/>
          <w:highlight w:val="none"/>
          <w:lang w:val="en-US" w:eastAsia="zh-CN"/>
        </w:rPr>
        <w:t>607056315</w:t>
      </w:r>
      <w:r>
        <w:rPr>
          <w:rFonts w:hint="eastAsia" w:ascii="宋体" w:hAnsi="宋体" w:eastAsia="宋体" w:cs="宋体"/>
          <w:color w:val="000000"/>
          <w:sz w:val="24"/>
          <w:szCs w:val="20"/>
          <w:highlight w:val="none"/>
          <w:lang w:eastAsia="zh-CN"/>
        </w:rPr>
        <w:t>；</w:t>
      </w:r>
    </w:p>
    <w:p>
      <w:pPr>
        <w:autoSpaceDE w:val="0"/>
        <w:autoSpaceDN w:val="0"/>
        <w:adjustRightInd w:val="0"/>
        <w:spacing w:line="440" w:lineRule="atLeas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（2）采用银行保函时，应由投标人开立基本账户的银行出具（联合体投标的，由牵头人开立基本账户的银行出具）保函，与银行查询授权书原件一并在投标截止时间前交招标人。</w:t>
      </w:r>
    </w:p>
    <w:p>
      <w:pPr>
        <w:keepNext/>
        <w:keepLines/>
        <w:spacing w:before="240" w:after="240" w:line="440" w:lineRule="atLeast"/>
        <w:outlineLvl w:val="2"/>
        <w:rPr>
          <w:rFonts w:ascii="Times New Roman" w:hAnsi="Times New Roman" w:eastAsia="黑体"/>
          <w:b/>
          <w:color w:val="000000"/>
          <w:kern w:val="44"/>
          <w:sz w:val="28"/>
          <w:szCs w:val="28"/>
          <w:highlight w:val="none"/>
        </w:rPr>
      </w:pPr>
      <w:r>
        <w:rPr>
          <w:rFonts w:ascii="Times New Roman" w:hAnsi="Times New Roman" w:eastAsia="黑体"/>
          <w:color w:val="000000"/>
          <w:kern w:val="44"/>
          <w:sz w:val="28"/>
          <w:szCs w:val="28"/>
          <w:highlight w:val="none"/>
        </w:rPr>
        <w:t>6. 评标办法</w:t>
      </w:r>
    </w:p>
    <w:p>
      <w:pPr>
        <w:topLinePunct/>
        <w:spacing w:line="440" w:lineRule="atLeast"/>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本项目评标办法采用</w:t>
      </w:r>
      <w:r>
        <w:rPr>
          <w:rFonts w:hint="eastAsia" w:ascii="宋体" w:hAnsi="宋体" w:eastAsia="宋体" w:cs="宋体"/>
          <w:color w:val="000000"/>
          <w:sz w:val="24"/>
          <w:szCs w:val="20"/>
          <w:highlight w:val="none"/>
          <w:u w:val="single"/>
        </w:rPr>
        <w:t>经评审的最低投标价法</w:t>
      </w:r>
      <w:r>
        <w:rPr>
          <w:rFonts w:hint="eastAsia" w:ascii="宋体" w:hAnsi="宋体" w:eastAsia="宋体" w:cs="宋体"/>
          <w:color w:val="000000"/>
          <w:sz w:val="24"/>
          <w:szCs w:val="20"/>
          <w:highlight w:val="none"/>
        </w:rPr>
        <w:t>。</w:t>
      </w:r>
    </w:p>
    <w:p>
      <w:pPr>
        <w:keepNext/>
        <w:keepLines/>
        <w:spacing w:before="260" w:after="260" w:line="440" w:lineRule="atLeast"/>
        <w:outlineLvl w:val="2"/>
        <w:rPr>
          <w:rFonts w:ascii="Times New Roman" w:hAnsi="Times New Roman" w:eastAsia="黑体"/>
          <w:b w:val="0"/>
          <w:bCs/>
          <w:color w:val="000000"/>
          <w:sz w:val="28"/>
          <w:szCs w:val="28"/>
          <w:highlight w:val="none"/>
        </w:rPr>
      </w:pPr>
      <w:r>
        <w:rPr>
          <w:rFonts w:ascii="Times New Roman" w:hAnsi="Times New Roman" w:eastAsia="黑体"/>
          <w:b w:val="0"/>
          <w:bCs/>
          <w:color w:val="000000"/>
          <w:sz w:val="28"/>
          <w:szCs w:val="28"/>
          <w:highlight w:val="none"/>
        </w:rPr>
        <w:t>7. 发布公告的媒介</w:t>
      </w:r>
      <w:bookmarkEnd w:id="7"/>
    </w:p>
    <w:p>
      <w:pPr>
        <w:topLinePunct/>
        <w:spacing w:line="400" w:lineRule="atLeast"/>
        <w:ind w:firstLine="496" w:firstLineChars="200"/>
        <w:rPr>
          <w:rFonts w:ascii="Times New Roman" w:hAnsi="Times New Roman" w:eastAsia="黑体"/>
          <w:color w:val="000000"/>
          <w:sz w:val="24"/>
          <w:szCs w:val="24"/>
          <w:highlight w:val="none"/>
        </w:rPr>
      </w:pPr>
      <w:bookmarkStart w:id="10" w:name="_Hlk2752506"/>
      <w:r>
        <w:rPr>
          <w:spacing w:val="4"/>
          <w:sz w:val="24"/>
          <w:highlight w:val="none"/>
        </w:rPr>
        <w:t>本次招标公告同时在中国招标投标公共服务平台</w:t>
      </w:r>
      <w:r>
        <w:rPr>
          <w:sz w:val="24"/>
          <w:highlight w:val="none"/>
        </w:rPr>
        <w:t xml:space="preserve">（ </w:t>
      </w:r>
      <w:r>
        <w:rPr>
          <w:highlight w:val="none"/>
        </w:rPr>
        <w:fldChar w:fldCharType="begin"/>
      </w:r>
      <w:r>
        <w:rPr>
          <w:highlight w:val="none"/>
        </w:rPr>
        <w:instrText xml:space="preserve"> HYPERLINK "http://bulletin.cebpubservice.com/" \h </w:instrText>
      </w:r>
      <w:r>
        <w:rPr>
          <w:highlight w:val="none"/>
        </w:rPr>
        <w:fldChar w:fldCharType="separate"/>
      </w:r>
      <w:r>
        <w:rPr>
          <w:sz w:val="24"/>
          <w:highlight w:val="none"/>
        </w:rPr>
        <w:t>http://bulletin.cebpubservice.com/</w:t>
      </w:r>
      <w:r>
        <w:rPr>
          <w:spacing w:val="1"/>
          <w:sz w:val="24"/>
          <w:highlight w:val="none"/>
        </w:rPr>
        <w:t xml:space="preserve"> </w:t>
      </w:r>
      <w:r>
        <w:rPr>
          <w:spacing w:val="1"/>
          <w:sz w:val="24"/>
          <w:highlight w:val="none"/>
        </w:rPr>
        <w:fldChar w:fldCharType="end"/>
      </w:r>
      <w:r>
        <w:rPr>
          <w:sz w:val="24"/>
          <w:highlight w:val="none"/>
        </w:rPr>
        <w:t>）</w:t>
      </w:r>
      <w:r>
        <w:rPr>
          <w:spacing w:val="-1"/>
          <w:sz w:val="24"/>
          <w:highlight w:val="none"/>
        </w:rPr>
        <w:t>、湖南省招标投标监管网</w:t>
      </w:r>
      <w:r>
        <w:rPr>
          <w:sz w:val="24"/>
          <w:highlight w:val="none"/>
        </w:rPr>
        <w:t>（</w:t>
      </w:r>
      <w:r>
        <w:rPr>
          <w:rFonts w:hint="eastAsia"/>
          <w:sz w:val="24"/>
          <w:highlight w:val="none"/>
        </w:rPr>
        <w:t>http://bidding.hunan.gov.cn/</w:t>
      </w:r>
      <w:r>
        <w:rPr>
          <w:rFonts w:hint="eastAsia"/>
          <w:sz w:val="24"/>
          <w:highlight w:val="none"/>
          <w:lang w:eastAsia="zh-CN"/>
        </w:rPr>
        <w:t>）、</w:t>
      </w:r>
      <w:r>
        <w:rPr>
          <w:spacing w:val="-11"/>
          <w:sz w:val="24"/>
          <w:highlight w:val="none"/>
        </w:rPr>
        <w:t>湖南省交通运输厅网</w:t>
      </w:r>
      <w:r>
        <w:rPr>
          <w:sz w:val="24"/>
          <w:highlight w:val="none"/>
        </w:rPr>
        <w:t>（</w:t>
      </w:r>
      <w:r>
        <w:rPr>
          <w:rFonts w:hint="eastAsia"/>
          <w:sz w:val="24"/>
          <w:highlight w:val="none"/>
        </w:rPr>
        <w:t>http://jtt.hunan.gov.cn/</w:t>
      </w:r>
      <w:r>
        <w:rPr>
          <w:rFonts w:hint="eastAsia"/>
          <w:sz w:val="24"/>
          <w:highlight w:val="none"/>
          <w:lang w:eastAsia="zh-CN"/>
        </w:rPr>
        <w:t>）</w:t>
      </w:r>
      <w:r>
        <w:rPr>
          <w:spacing w:val="-14"/>
          <w:sz w:val="24"/>
          <w:highlight w:val="none"/>
        </w:rPr>
        <w:t>、湖南省</w:t>
      </w:r>
      <w:r>
        <w:rPr>
          <w:sz w:val="24"/>
          <w:highlight w:val="none"/>
        </w:rPr>
        <w:t>公共</w:t>
      </w:r>
      <w:r>
        <w:rPr>
          <w:rFonts w:hint="eastAsia"/>
          <w:sz w:val="24"/>
          <w:highlight w:val="none"/>
          <w:lang w:eastAsia="zh-CN"/>
        </w:rPr>
        <w:t>资源</w:t>
      </w:r>
      <w:r>
        <w:rPr>
          <w:sz w:val="24"/>
          <w:highlight w:val="none"/>
        </w:rPr>
        <w:t>交易网（</w:t>
      </w:r>
      <w:r>
        <w:rPr>
          <w:highlight w:val="none"/>
        </w:rPr>
        <w:fldChar w:fldCharType="begin"/>
      </w:r>
      <w:r>
        <w:rPr>
          <w:highlight w:val="none"/>
        </w:rPr>
        <w:instrText xml:space="preserve"> HYPERLINK "http://ggzy.hunan.gov.cn/" \h </w:instrText>
      </w:r>
      <w:r>
        <w:rPr>
          <w:highlight w:val="none"/>
        </w:rPr>
        <w:fldChar w:fldCharType="separate"/>
      </w:r>
      <w:r>
        <w:rPr>
          <w:sz w:val="24"/>
          <w:highlight w:val="none"/>
        </w:rPr>
        <w:t>http://ggzy.hunan.gov.cn</w:t>
      </w:r>
      <w:r>
        <w:rPr>
          <w:sz w:val="24"/>
          <w:highlight w:val="none"/>
        </w:rPr>
        <w:fldChar w:fldCharType="end"/>
      </w:r>
      <w:r>
        <w:rPr>
          <w:sz w:val="24"/>
          <w:highlight w:val="none"/>
        </w:rPr>
        <w:t>）上发布</w:t>
      </w:r>
      <w:r>
        <w:rPr>
          <w:rFonts w:ascii="Times New Roman" w:hAnsi="Times New Roman" w:eastAsia="黑体"/>
          <w:color w:val="000000"/>
          <w:sz w:val="24"/>
          <w:szCs w:val="24"/>
          <w:highlight w:val="none"/>
        </w:rPr>
        <w:t>。</w:t>
      </w:r>
      <w:bookmarkEnd w:id="10"/>
    </w:p>
    <w:p>
      <w:pPr>
        <w:keepNext/>
        <w:keepLines/>
        <w:spacing w:before="260" w:after="260" w:line="440" w:lineRule="atLeast"/>
        <w:outlineLvl w:val="2"/>
        <w:rPr>
          <w:rFonts w:ascii="Times New Roman" w:hAnsi="Times New Roman" w:eastAsia="黑体"/>
          <w:b/>
          <w:color w:val="000000"/>
          <w:kern w:val="44"/>
          <w:sz w:val="28"/>
          <w:szCs w:val="28"/>
          <w:highlight w:val="none"/>
        </w:rPr>
      </w:pPr>
      <w:r>
        <w:rPr>
          <w:rFonts w:ascii="Times New Roman" w:hAnsi="Times New Roman" w:eastAsia="黑体"/>
          <w:color w:val="000000"/>
          <w:kern w:val="44"/>
          <w:sz w:val="28"/>
          <w:szCs w:val="28"/>
          <w:highlight w:val="none"/>
        </w:rPr>
        <w:t>8. 附件</w:t>
      </w:r>
    </w:p>
    <w:p>
      <w:pPr>
        <w:spacing w:line="440" w:lineRule="atLeast"/>
        <w:ind w:firstLine="480" w:firstLineChars="20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附件1：资格审查条件要求</w:t>
      </w:r>
    </w:p>
    <w:p>
      <w:pPr>
        <w:spacing w:line="440" w:lineRule="atLeast"/>
        <w:ind w:firstLine="480" w:firstLineChars="20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附件2：评标办法</w:t>
      </w:r>
    </w:p>
    <w:p>
      <w:pPr>
        <w:keepNext/>
        <w:keepLines/>
        <w:spacing w:before="260" w:after="260" w:line="440" w:lineRule="atLeast"/>
        <w:outlineLvl w:val="2"/>
        <w:rPr>
          <w:rFonts w:ascii="Times New Roman" w:hAnsi="Times New Roman" w:eastAsia="黑体"/>
          <w:b w:val="0"/>
          <w:bCs/>
          <w:color w:val="000000"/>
          <w:sz w:val="28"/>
          <w:szCs w:val="28"/>
          <w:highlight w:val="none"/>
        </w:rPr>
      </w:pPr>
      <w:bookmarkStart w:id="11" w:name="_Toc501460587"/>
      <w:r>
        <w:rPr>
          <w:rFonts w:ascii="Times New Roman" w:hAnsi="Times New Roman" w:eastAsia="黑体"/>
          <w:b w:val="0"/>
          <w:bCs/>
          <w:color w:val="000000"/>
          <w:sz w:val="28"/>
          <w:szCs w:val="28"/>
          <w:highlight w:val="none"/>
        </w:rPr>
        <w:t>9. 联系方式</w:t>
      </w:r>
      <w:bookmarkEnd w:id="11"/>
    </w:p>
    <w:p>
      <w:pPr>
        <w:keepNext w:val="0"/>
        <w:keepLines w:val="0"/>
        <w:pageBreakBefore w:val="0"/>
        <w:widowControl w:val="0"/>
        <w:tabs>
          <w:tab w:val="left" w:pos="2512"/>
        </w:tabs>
        <w:kinsoku/>
        <w:wordWrap/>
        <w:overflowPunct/>
        <w:topLinePunct w:val="0"/>
        <w:autoSpaceDE w:val="0"/>
        <w:autoSpaceDN w:val="0"/>
        <w:bidi w:val="0"/>
        <w:adjustRightInd/>
        <w:snapToGrid/>
        <w:spacing w:before="0" w:line="240" w:lineRule="auto"/>
        <w:ind w:left="0" w:leftChars="0" w:right="0" w:firstLine="0"/>
        <w:jc w:val="left"/>
        <w:textAlignment w:val="auto"/>
        <w:rPr>
          <w:rFonts w:hint="eastAsia" w:eastAsia="宋体"/>
          <w:sz w:val="24"/>
          <w:highlight w:val="none"/>
          <w:lang w:eastAsia="zh-CN"/>
        </w:rPr>
      </w:pPr>
      <w:r>
        <w:rPr>
          <w:sz w:val="24"/>
          <w:highlight w:val="none"/>
        </w:rPr>
        <w:t>招 标 人：</w:t>
      </w:r>
      <w:r>
        <w:rPr>
          <w:rFonts w:hint="eastAsia"/>
          <w:sz w:val="24"/>
          <w:highlight w:val="none"/>
          <w:lang w:eastAsia="zh-CN"/>
        </w:rPr>
        <w:t>湖南省高速公路集团有限公司</w:t>
      </w:r>
    </w:p>
    <w:p>
      <w:pPr>
        <w:keepNext w:val="0"/>
        <w:keepLines w:val="0"/>
        <w:pageBreakBefore w:val="0"/>
        <w:widowControl w:val="0"/>
        <w:tabs>
          <w:tab w:val="left" w:pos="1609"/>
          <w:tab w:val="left" w:pos="2512"/>
        </w:tabs>
        <w:kinsoku/>
        <w:wordWrap/>
        <w:overflowPunct/>
        <w:topLinePunct w:val="0"/>
        <w:autoSpaceDE w:val="0"/>
        <w:autoSpaceDN w:val="0"/>
        <w:bidi w:val="0"/>
        <w:adjustRightInd/>
        <w:snapToGrid/>
        <w:spacing w:before="0" w:line="240" w:lineRule="auto"/>
        <w:ind w:left="0" w:leftChars="0" w:right="0" w:firstLine="0"/>
        <w:jc w:val="left"/>
        <w:textAlignment w:val="auto"/>
        <w:rPr>
          <w:rFonts w:hint="eastAsia"/>
          <w:sz w:val="24"/>
          <w:highlight w:val="none"/>
        </w:rPr>
      </w:pPr>
      <w:r>
        <w:rPr>
          <w:sz w:val="24"/>
          <w:highlight w:val="none"/>
        </w:rPr>
        <w:t>地</w:t>
      </w:r>
      <w:r>
        <w:rPr>
          <w:rFonts w:hint="eastAsia"/>
          <w:sz w:val="24"/>
          <w:highlight w:val="none"/>
          <w:lang w:val="en-US" w:eastAsia="zh-CN"/>
        </w:rPr>
        <w:t xml:space="preserve">     </w:t>
      </w:r>
      <w:r>
        <w:rPr>
          <w:sz w:val="24"/>
          <w:highlight w:val="none"/>
        </w:rPr>
        <w:t>址：</w:t>
      </w:r>
      <w:r>
        <w:rPr>
          <w:rFonts w:hint="eastAsia"/>
          <w:sz w:val="24"/>
          <w:highlight w:val="none"/>
        </w:rPr>
        <w:t>长沙市开福区三一大道500号</w:t>
      </w:r>
    </w:p>
    <w:p>
      <w:pPr>
        <w:keepNext w:val="0"/>
        <w:keepLines w:val="0"/>
        <w:pageBreakBefore w:val="0"/>
        <w:widowControl w:val="0"/>
        <w:tabs>
          <w:tab w:val="left" w:pos="1609"/>
          <w:tab w:val="left" w:pos="2512"/>
        </w:tabs>
        <w:kinsoku/>
        <w:wordWrap/>
        <w:overflowPunct/>
        <w:topLinePunct w:val="0"/>
        <w:autoSpaceDE w:val="0"/>
        <w:autoSpaceDN w:val="0"/>
        <w:bidi w:val="0"/>
        <w:adjustRightInd/>
        <w:snapToGrid/>
        <w:spacing w:before="0" w:line="240" w:lineRule="auto"/>
        <w:ind w:left="0" w:leftChars="0" w:right="0" w:firstLine="0"/>
        <w:jc w:val="left"/>
        <w:textAlignment w:val="auto"/>
        <w:rPr>
          <w:rFonts w:ascii="Times New Roman" w:eastAsia="Times New Roman"/>
          <w:sz w:val="24"/>
          <w:highlight w:val="none"/>
        </w:rPr>
      </w:pPr>
      <w:r>
        <w:rPr>
          <w:sz w:val="24"/>
          <w:highlight w:val="none"/>
        </w:rPr>
        <w:t>邮政编码：</w:t>
      </w:r>
      <w:r>
        <w:rPr>
          <w:rFonts w:ascii="Times New Roman" w:eastAsia="Times New Roman"/>
          <w:sz w:val="24"/>
          <w:highlight w:val="none"/>
        </w:rPr>
        <w:t>410008</w:t>
      </w:r>
    </w:p>
    <w:p>
      <w:pPr>
        <w:keepNext w:val="0"/>
        <w:keepLines w:val="0"/>
        <w:pageBreakBefore w:val="0"/>
        <w:widowControl w:val="0"/>
        <w:tabs>
          <w:tab w:val="left" w:pos="2512"/>
        </w:tabs>
        <w:kinsoku/>
        <w:wordWrap/>
        <w:overflowPunct/>
        <w:topLinePunct w:val="0"/>
        <w:autoSpaceDE w:val="0"/>
        <w:autoSpaceDN w:val="0"/>
        <w:bidi w:val="0"/>
        <w:adjustRightInd/>
        <w:snapToGrid/>
        <w:spacing w:before="0" w:line="240" w:lineRule="auto"/>
        <w:ind w:left="0" w:leftChars="0" w:right="0" w:firstLine="0"/>
        <w:jc w:val="left"/>
        <w:textAlignment w:val="auto"/>
        <w:rPr>
          <w:sz w:val="24"/>
          <w:highlight w:val="none"/>
        </w:rPr>
      </w:pPr>
      <w:r>
        <w:rPr>
          <w:sz w:val="24"/>
          <w:highlight w:val="none"/>
        </w:rPr>
        <w:t>联 系 人：</w:t>
      </w:r>
      <w:r>
        <w:rPr>
          <w:rFonts w:hint="eastAsia"/>
          <w:sz w:val="24"/>
          <w:highlight w:val="none"/>
          <w:lang w:val="en-US" w:eastAsia="zh-CN"/>
        </w:rPr>
        <w:t>李</w:t>
      </w:r>
      <w:r>
        <w:rPr>
          <w:sz w:val="24"/>
          <w:highlight w:val="none"/>
        </w:rPr>
        <w:t>先生</w:t>
      </w:r>
    </w:p>
    <w:p>
      <w:pPr>
        <w:keepNext w:val="0"/>
        <w:keepLines w:val="0"/>
        <w:pageBreakBefore w:val="0"/>
        <w:widowControl w:val="0"/>
        <w:tabs>
          <w:tab w:val="left" w:pos="1609"/>
          <w:tab w:val="left" w:pos="2512"/>
        </w:tabs>
        <w:kinsoku/>
        <w:wordWrap/>
        <w:overflowPunct/>
        <w:topLinePunct w:val="0"/>
        <w:autoSpaceDE w:val="0"/>
        <w:autoSpaceDN w:val="0"/>
        <w:bidi w:val="0"/>
        <w:adjustRightInd/>
        <w:snapToGrid/>
        <w:spacing w:before="0" w:line="240" w:lineRule="auto"/>
        <w:ind w:left="0" w:leftChars="0" w:right="0" w:firstLine="0"/>
        <w:jc w:val="left"/>
        <w:textAlignment w:val="auto"/>
        <w:rPr>
          <w:rFonts w:ascii="Times New Roman" w:eastAsia="Times New Roman"/>
          <w:sz w:val="24"/>
          <w:highlight w:val="none"/>
        </w:rPr>
      </w:pPr>
      <w:r>
        <w:rPr>
          <w:sz w:val="24"/>
          <w:highlight w:val="none"/>
        </w:rPr>
        <w:t>电</w:t>
      </w:r>
      <w:r>
        <w:rPr>
          <w:rFonts w:hint="eastAsia"/>
          <w:sz w:val="24"/>
          <w:highlight w:val="none"/>
          <w:lang w:val="en-US" w:eastAsia="zh-CN"/>
        </w:rPr>
        <w:t xml:space="preserve">    </w:t>
      </w:r>
      <w:r>
        <w:rPr>
          <w:sz w:val="24"/>
          <w:highlight w:val="none"/>
        </w:rPr>
        <w:t>话：</w:t>
      </w:r>
      <w:r>
        <w:rPr>
          <w:rFonts w:hint="eastAsia" w:ascii="Times New Roman" w:eastAsia="Times New Roman"/>
          <w:sz w:val="24"/>
          <w:highlight w:val="none"/>
        </w:rPr>
        <w:t>0731-89757238</w:t>
      </w:r>
    </w:p>
    <w:p>
      <w:pPr>
        <w:keepNext w:val="0"/>
        <w:keepLines w:val="0"/>
        <w:pageBreakBefore w:val="0"/>
        <w:widowControl w:val="0"/>
        <w:tabs>
          <w:tab w:val="left" w:pos="2930"/>
        </w:tabs>
        <w:kinsoku/>
        <w:wordWrap/>
        <w:overflowPunct/>
        <w:topLinePunct w:val="0"/>
        <w:autoSpaceDE w:val="0"/>
        <w:autoSpaceDN w:val="0"/>
        <w:bidi w:val="0"/>
        <w:adjustRightInd/>
        <w:snapToGrid/>
        <w:spacing w:before="0" w:line="240" w:lineRule="auto"/>
        <w:ind w:left="0" w:leftChars="0" w:right="0" w:firstLine="0"/>
        <w:jc w:val="left"/>
        <w:textAlignment w:val="auto"/>
        <w:rPr>
          <w:sz w:val="24"/>
          <w:highlight w:val="none"/>
        </w:rPr>
      </w:pPr>
      <w:r>
        <w:rPr>
          <w:sz w:val="24"/>
          <w:highlight w:val="none"/>
        </w:rPr>
        <w:t>招标代理机构：湖南省招标有限责任公司</w:t>
      </w:r>
    </w:p>
    <w:p>
      <w:pPr>
        <w:keepNext w:val="0"/>
        <w:keepLines w:val="0"/>
        <w:pageBreakBefore w:val="0"/>
        <w:widowControl w:val="0"/>
        <w:tabs>
          <w:tab w:val="left" w:pos="2930"/>
        </w:tabs>
        <w:kinsoku/>
        <w:wordWrap/>
        <w:overflowPunct/>
        <w:topLinePunct w:val="0"/>
        <w:autoSpaceDE w:val="0"/>
        <w:autoSpaceDN w:val="0"/>
        <w:bidi w:val="0"/>
        <w:adjustRightInd/>
        <w:snapToGrid/>
        <w:spacing w:before="0" w:line="240" w:lineRule="auto"/>
        <w:ind w:left="0" w:leftChars="0" w:right="0" w:firstLine="0"/>
        <w:jc w:val="left"/>
        <w:textAlignment w:val="auto"/>
        <w:rPr>
          <w:sz w:val="24"/>
          <w:highlight w:val="none"/>
        </w:rPr>
      </w:pPr>
      <w:r>
        <w:rPr>
          <w:sz w:val="24"/>
          <w:highlight w:val="none"/>
        </w:rPr>
        <w:t>地</w:t>
      </w:r>
      <w:r>
        <w:rPr>
          <w:rFonts w:hint="eastAsia"/>
          <w:sz w:val="24"/>
          <w:highlight w:val="none"/>
          <w:lang w:val="en-US" w:eastAsia="zh-CN"/>
        </w:rPr>
        <w:t xml:space="preserve">     </w:t>
      </w:r>
      <w:r>
        <w:rPr>
          <w:sz w:val="24"/>
          <w:highlight w:val="none"/>
        </w:rPr>
        <w:t>址：</w:t>
      </w:r>
      <w:r>
        <w:rPr>
          <w:spacing w:val="-5"/>
          <w:sz w:val="24"/>
          <w:highlight w:val="none"/>
        </w:rPr>
        <w:t xml:space="preserve">湖南省长沙市湘府中路二段 </w:t>
      </w:r>
      <w:r>
        <w:rPr>
          <w:rFonts w:ascii="Times New Roman" w:eastAsia="Times New Roman"/>
          <w:sz w:val="24"/>
          <w:highlight w:val="none"/>
        </w:rPr>
        <w:t xml:space="preserve">199 </w:t>
      </w:r>
      <w:r>
        <w:rPr>
          <w:spacing w:val="-11"/>
          <w:sz w:val="24"/>
          <w:highlight w:val="none"/>
        </w:rPr>
        <w:t xml:space="preserve">号招标大厦 </w:t>
      </w:r>
      <w:r>
        <w:rPr>
          <w:rFonts w:ascii="Times New Roman" w:eastAsia="Times New Roman"/>
          <w:sz w:val="24"/>
          <w:highlight w:val="none"/>
        </w:rPr>
        <w:t xml:space="preserve">14 </w:t>
      </w:r>
      <w:r>
        <w:rPr>
          <w:sz w:val="24"/>
          <w:highlight w:val="none"/>
        </w:rPr>
        <w:t>楼</w:t>
      </w:r>
    </w:p>
    <w:p>
      <w:pPr>
        <w:pStyle w:val="11"/>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firstLine="0"/>
        <w:textAlignment w:val="auto"/>
        <w:rPr>
          <w:rFonts w:ascii="Times New Roman"/>
          <w:sz w:val="24"/>
          <w:highlight w:val="none"/>
        </w:rPr>
      </w:pPr>
      <w:r>
        <w:rPr>
          <w:sz w:val="24"/>
          <w:highlight w:val="none"/>
        </w:rPr>
        <w:t>邮政编码：</w:t>
      </w:r>
      <w:r>
        <w:rPr>
          <w:rFonts w:ascii="Times New Roman"/>
          <w:sz w:val="24"/>
          <w:highlight w:val="none"/>
        </w:rPr>
        <w:t>410001</w:t>
      </w:r>
    </w:p>
    <w:p>
      <w:pPr>
        <w:pStyle w:val="11"/>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firstLine="0"/>
        <w:textAlignment w:val="auto"/>
        <w:rPr>
          <w:rFonts w:hint="default" w:eastAsia="宋体"/>
          <w:sz w:val="24"/>
          <w:highlight w:val="none"/>
          <w:lang w:val="en-US" w:eastAsia="zh-CN"/>
        </w:rPr>
      </w:pPr>
      <w:r>
        <w:rPr>
          <w:rFonts w:hint="eastAsia"/>
          <w:sz w:val="24"/>
          <w:highlight w:val="none"/>
          <w:lang w:eastAsia="zh-CN"/>
        </w:rPr>
        <w:t>项目负责</w:t>
      </w:r>
      <w:r>
        <w:rPr>
          <w:sz w:val="24"/>
          <w:highlight w:val="none"/>
        </w:rPr>
        <w:t>人：</w:t>
      </w:r>
      <w:r>
        <w:rPr>
          <w:rFonts w:hint="eastAsia"/>
          <w:sz w:val="24"/>
          <w:highlight w:val="none"/>
          <w:lang w:eastAsia="zh-CN"/>
        </w:rPr>
        <w:t>匡文菲</w:t>
      </w:r>
      <w:r>
        <w:rPr>
          <w:rFonts w:hint="eastAsia"/>
          <w:sz w:val="24"/>
          <w:highlight w:val="none"/>
          <w:lang w:val="en-US" w:eastAsia="zh-CN"/>
        </w:rPr>
        <w:t xml:space="preserve">  林丹</w:t>
      </w:r>
    </w:p>
    <w:p>
      <w:pPr>
        <w:pStyle w:val="11"/>
        <w:keepNext w:val="0"/>
        <w:keepLines w:val="0"/>
        <w:pageBreakBefore w:val="0"/>
        <w:widowControl w:val="0"/>
        <w:tabs>
          <w:tab w:val="left" w:pos="769"/>
        </w:tabs>
        <w:kinsoku/>
        <w:wordWrap/>
        <w:overflowPunct/>
        <w:topLinePunct w:val="0"/>
        <w:autoSpaceDE w:val="0"/>
        <w:autoSpaceDN w:val="0"/>
        <w:bidi w:val="0"/>
        <w:adjustRightInd/>
        <w:snapToGrid w:val="0"/>
        <w:spacing w:before="0" w:line="240" w:lineRule="auto"/>
        <w:ind w:left="0" w:leftChars="0" w:right="0" w:firstLine="0"/>
        <w:textAlignment w:val="auto"/>
        <w:rPr>
          <w:rFonts w:ascii="Times New Roman" w:eastAsia="Times New Roman"/>
          <w:sz w:val="24"/>
          <w:highlight w:val="none"/>
        </w:rPr>
      </w:pPr>
      <w:r>
        <w:rPr>
          <w:sz w:val="24"/>
          <w:highlight w:val="none"/>
        </w:rPr>
        <w:t>电</w:t>
      </w:r>
      <w:r>
        <w:rPr>
          <w:sz w:val="24"/>
          <w:highlight w:val="none"/>
        </w:rPr>
        <w:tab/>
      </w:r>
      <w:r>
        <w:rPr>
          <w:sz w:val="24"/>
          <w:highlight w:val="none"/>
        </w:rPr>
        <w:t>话：</w:t>
      </w:r>
      <w:r>
        <w:rPr>
          <w:rFonts w:ascii="Times New Roman" w:eastAsia="Times New Roman"/>
          <w:sz w:val="24"/>
          <w:highlight w:val="none"/>
        </w:rPr>
        <w:t>0731-84553843</w:t>
      </w:r>
      <w:r>
        <w:rPr>
          <w:sz w:val="24"/>
          <w:highlight w:val="none"/>
        </w:rPr>
        <w:t>、</w:t>
      </w:r>
      <w:r>
        <w:rPr>
          <w:rFonts w:ascii="Times New Roman" w:eastAsia="Times New Roman"/>
          <w:sz w:val="24"/>
          <w:highlight w:val="none"/>
        </w:rPr>
        <w:t>0731-84555411</w:t>
      </w:r>
    </w:p>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firstLine="0"/>
        <w:jc w:val="left"/>
        <w:textAlignment w:val="auto"/>
        <w:rPr>
          <w:sz w:val="24"/>
          <w:highlight w:val="none"/>
        </w:rPr>
      </w:pPr>
      <w:r>
        <w:rPr>
          <w:sz w:val="24"/>
          <w:highlight w:val="none"/>
        </w:rPr>
        <w:t>监督部门：湖南省交通运输厅</w:t>
      </w:r>
    </w:p>
    <w:p>
      <w:pPr>
        <w:keepNext w:val="0"/>
        <w:keepLines w:val="0"/>
        <w:pageBreakBefore w:val="0"/>
        <w:widowControl w:val="0"/>
        <w:tabs>
          <w:tab w:val="left" w:pos="1840"/>
        </w:tabs>
        <w:kinsoku/>
        <w:wordWrap/>
        <w:overflowPunct/>
        <w:topLinePunct w:val="0"/>
        <w:autoSpaceDE w:val="0"/>
        <w:autoSpaceDN w:val="0"/>
        <w:bidi w:val="0"/>
        <w:adjustRightInd/>
        <w:snapToGrid w:val="0"/>
        <w:spacing w:before="0" w:line="240" w:lineRule="auto"/>
        <w:ind w:left="0" w:leftChars="0" w:right="0" w:firstLine="0"/>
        <w:jc w:val="left"/>
        <w:textAlignment w:val="auto"/>
        <w:rPr>
          <w:sz w:val="24"/>
          <w:highlight w:val="none"/>
        </w:rPr>
      </w:pPr>
      <w:r>
        <w:rPr>
          <w:sz w:val="24"/>
          <w:highlight w:val="none"/>
        </w:rPr>
        <w:t>地</w:t>
      </w:r>
      <w:r>
        <w:rPr>
          <w:rFonts w:hint="eastAsia"/>
          <w:sz w:val="24"/>
          <w:highlight w:val="none"/>
          <w:lang w:val="en-US" w:eastAsia="zh-CN"/>
        </w:rPr>
        <w:t xml:space="preserve">    </w:t>
      </w:r>
      <w:r>
        <w:rPr>
          <w:sz w:val="24"/>
          <w:highlight w:val="none"/>
        </w:rPr>
        <w:t>址：长沙市湘府西路</w:t>
      </w:r>
      <w:r>
        <w:rPr>
          <w:spacing w:val="-62"/>
          <w:sz w:val="24"/>
          <w:highlight w:val="none"/>
        </w:rPr>
        <w:t xml:space="preserve"> </w:t>
      </w:r>
      <w:r>
        <w:rPr>
          <w:sz w:val="24"/>
          <w:highlight w:val="none"/>
        </w:rPr>
        <w:t>199</w:t>
      </w:r>
      <w:r>
        <w:rPr>
          <w:spacing w:val="-63"/>
          <w:sz w:val="24"/>
          <w:highlight w:val="none"/>
        </w:rPr>
        <w:t xml:space="preserve"> </w:t>
      </w:r>
      <w:r>
        <w:rPr>
          <w:sz w:val="24"/>
          <w:highlight w:val="none"/>
        </w:rPr>
        <w:t>号</w:t>
      </w:r>
    </w:p>
    <w:p>
      <w:pPr>
        <w:keepNext w:val="0"/>
        <w:keepLines w:val="0"/>
        <w:pageBreakBefore w:val="0"/>
        <w:widowControl w:val="0"/>
        <w:tabs>
          <w:tab w:val="left" w:pos="1840"/>
        </w:tabs>
        <w:kinsoku/>
        <w:wordWrap/>
        <w:overflowPunct/>
        <w:topLinePunct w:val="0"/>
        <w:autoSpaceDE w:val="0"/>
        <w:autoSpaceDN w:val="0"/>
        <w:bidi w:val="0"/>
        <w:adjustRightInd/>
        <w:snapToGrid w:val="0"/>
        <w:spacing w:before="0" w:line="240" w:lineRule="auto"/>
        <w:ind w:left="0" w:leftChars="0" w:right="0" w:firstLine="0"/>
        <w:jc w:val="left"/>
        <w:textAlignment w:val="auto"/>
        <w:rPr>
          <w:sz w:val="24"/>
          <w:highlight w:val="none"/>
        </w:rPr>
      </w:pPr>
      <w:r>
        <w:rPr>
          <w:sz w:val="24"/>
          <w:highlight w:val="none"/>
        </w:rPr>
        <w:t>电</w:t>
      </w:r>
      <w:r>
        <w:rPr>
          <w:rFonts w:hint="eastAsia"/>
          <w:sz w:val="24"/>
          <w:highlight w:val="none"/>
          <w:lang w:val="en-US" w:eastAsia="zh-CN"/>
        </w:rPr>
        <w:t xml:space="preserve">    </w:t>
      </w:r>
      <w:r>
        <w:rPr>
          <w:sz w:val="24"/>
          <w:highlight w:val="none"/>
        </w:rPr>
        <w:t>话：0731-88770091（基本建设处</w:t>
      </w:r>
      <w:r>
        <w:rPr>
          <w:spacing w:val="-17"/>
          <w:sz w:val="24"/>
          <w:highlight w:val="none"/>
        </w:rPr>
        <w:t xml:space="preserve">） </w:t>
      </w:r>
      <w:r>
        <w:rPr>
          <w:sz w:val="24"/>
          <w:highlight w:val="none"/>
        </w:rPr>
        <w:t>0731-88770122（基本建设处</w:t>
      </w:r>
      <w:r>
        <w:rPr>
          <w:spacing w:val="-18"/>
          <w:sz w:val="24"/>
          <w:highlight w:val="none"/>
        </w:rPr>
        <w:t>）</w:t>
      </w:r>
    </w:p>
    <w:p>
      <w:pPr>
        <w:keepNext w:val="0"/>
        <w:keepLines w:val="0"/>
        <w:pageBreakBefore w:val="0"/>
        <w:widowControl w:val="0"/>
        <w:tabs>
          <w:tab w:val="left" w:pos="1840"/>
        </w:tabs>
        <w:kinsoku/>
        <w:wordWrap/>
        <w:overflowPunct/>
        <w:topLinePunct w:val="0"/>
        <w:autoSpaceDE w:val="0"/>
        <w:autoSpaceDN w:val="0"/>
        <w:bidi w:val="0"/>
        <w:adjustRightInd/>
        <w:snapToGrid w:val="0"/>
        <w:spacing w:before="0" w:line="240" w:lineRule="auto"/>
        <w:ind w:left="0" w:leftChars="0" w:right="0" w:firstLine="0"/>
        <w:jc w:val="left"/>
        <w:textAlignment w:val="auto"/>
        <w:rPr>
          <w:rFonts w:hint="eastAsia" w:eastAsia="宋体"/>
          <w:highlight w:val="none"/>
          <w:lang w:val="en-US" w:eastAsia="zh-CN"/>
        </w:rPr>
      </w:pPr>
      <w:r>
        <w:rPr>
          <w:sz w:val="24"/>
          <w:highlight w:val="none"/>
        </w:rPr>
        <w:t>邮</w:t>
      </w:r>
      <w:r>
        <w:rPr>
          <w:rFonts w:hint="eastAsia"/>
          <w:sz w:val="24"/>
          <w:highlight w:val="none"/>
          <w:lang w:val="en-US" w:eastAsia="zh-CN"/>
        </w:rPr>
        <w:t xml:space="preserve">    </w:t>
      </w:r>
      <w:r>
        <w:rPr>
          <w:sz w:val="24"/>
          <w:highlight w:val="none"/>
        </w:rPr>
        <w:t>编：41000</w:t>
      </w:r>
      <w:bookmarkEnd w:id="3"/>
      <w:r>
        <w:rPr>
          <w:rFonts w:hint="eastAsia"/>
          <w:sz w:val="24"/>
          <w:highlight w:val="none"/>
          <w:lang w:val="en-US" w:eastAsia="zh-CN"/>
        </w:rPr>
        <w:t>4</w:t>
      </w:r>
    </w:p>
    <w:p>
      <w:pPr>
        <w:spacing w:line="440" w:lineRule="atLeast"/>
        <w:ind w:firstLine="480" w:firstLineChars="200"/>
        <w:rPr>
          <w:rFonts w:ascii="Times New Roman" w:hAnsi="Times New Roman" w:eastAsia="黑体"/>
          <w:color w:val="000000"/>
          <w:sz w:val="24"/>
          <w:szCs w:val="24"/>
          <w:highlight w:val="none"/>
        </w:rPr>
      </w:pPr>
    </w:p>
    <w:p>
      <w:pPr>
        <w:spacing w:line="440" w:lineRule="atLeast"/>
        <w:ind w:firstLine="480" w:firstLineChars="200"/>
        <w:rPr>
          <w:rFonts w:ascii="Times New Roman" w:hAnsi="Times New Roman" w:eastAsia="黑体"/>
          <w:color w:val="000000"/>
          <w:sz w:val="24"/>
          <w:szCs w:val="24"/>
          <w:highlight w:val="none"/>
        </w:rPr>
      </w:pPr>
    </w:p>
    <w:p>
      <w:pPr>
        <w:spacing w:line="440" w:lineRule="atLeast"/>
        <w:ind w:firstLine="480" w:firstLineChars="200"/>
        <w:rPr>
          <w:rFonts w:ascii="Times New Roman" w:hAnsi="Times New Roman" w:eastAsia="黑体"/>
          <w:color w:val="000000"/>
          <w:sz w:val="24"/>
          <w:szCs w:val="24"/>
          <w:highlight w:val="none"/>
        </w:rPr>
      </w:pPr>
    </w:p>
    <w:p>
      <w:pPr>
        <w:spacing w:line="440" w:lineRule="atLeast"/>
        <w:ind w:firstLine="480" w:firstLineChars="200"/>
        <w:rPr>
          <w:rFonts w:ascii="Times New Roman" w:hAnsi="Times New Roman" w:eastAsia="黑体"/>
          <w:color w:val="000000"/>
          <w:sz w:val="24"/>
          <w:szCs w:val="24"/>
          <w:highlight w:val="none"/>
        </w:rPr>
      </w:pPr>
    </w:p>
    <w:p>
      <w:pPr>
        <w:spacing w:line="440" w:lineRule="atLeast"/>
        <w:ind w:firstLine="480" w:firstLineChars="200"/>
        <w:rPr>
          <w:rFonts w:ascii="Times New Roman" w:hAnsi="Times New Roman" w:eastAsia="黑体"/>
          <w:color w:val="000000"/>
          <w:sz w:val="24"/>
          <w:szCs w:val="24"/>
          <w:highlight w:val="none"/>
        </w:rPr>
      </w:pPr>
    </w:p>
    <w:p>
      <w:pPr>
        <w:spacing w:line="440" w:lineRule="atLeast"/>
        <w:ind w:firstLine="480" w:firstLineChars="20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附件1：资格审查条件要求</w:t>
      </w:r>
    </w:p>
    <w:p>
      <w:pPr>
        <w:keepNext/>
        <w:keepLines/>
        <w:spacing w:before="240" w:after="240" w:line="440" w:lineRule="atLeast"/>
        <w:jc w:val="center"/>
        <w:outlineLvl w:val="2"/>
        <w:rPr>
          <w:rFonts w:ascii="Times New Roman" w:hAnsi="Times New Roman"/>
          <w:b/>
          <w:color w:val="000000"/>
          <w:kern w:val="44"/>
          <w:sz w:val="44"/>
          <w:szCs w:val="20"/>
          <w:highlight w:val="none"/>
        </w:rPr>
      </w:pPr>
      <w:r>
        <w:rPr>
          <w:rFonts w:ascii="Times New Roman" w:hAnsi="Times New Roman" w:eastAsia="黑体"/>
          <w:b/>
          <w:color w:val="000000"/>
          <w:kern w:val="44"/>
          <w:sz w:val="28"/>
          <w:szCs w:val="28"/>
          <w:highlight w:val="none"/>
        </w:rPr>
        <w:t>附录1  资格审查条件（资质最低要求）</w:t>
      </w:r>
    </w:p>
    <w:tbl>
      <w:tblPr>
        <w:tblStyle w:val="7"/>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5000" w:type="pct"/>
            <w:noWrap w:val="0"/>
            <w:vAlign w:val="center"/>
          </w:tcPr>
          <w:p>
            <w:pPr>
              <w:adjustRightInd w:val="0"/>
              <w:snapToGrid w:val="0"/>
              <w:spacing w:line="440" w:lineRule="atLeast"/>
              <w:jc w:val="center"/>
              <w:rPr>
                <w:rFonts w:ascii="Times New Roman" w:hAnsi="Times New Roman"/>
                <w:color w:val="000000"/>
                <w:szCs w:val="21"/>
                <w:highlight w:val="none"/>
              </w:rPr>
            </w:pPr>
            <w:r>
              <w:rPr>
                <w:rFonts w:ascii="Times New Roman" w:hAnsi="Times New Roman"/>
                <w:color w:val="000000"/>
                <w:szCs w:val="21"/>
                <w:highlight w:val="none"/>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jc w:val="center"/>
        </w:trPr>
        <w:tc>
          <w:tcPr>
            <w:tcW w:w="5000" w:type="pct"/>
            <w:noWrap w:val="0"/>
            <w:vAlign w:val="center"/>
          </w:tcPr>
          <w:p>
            <w:pPr>
              <w:adjustRightInd w:val="0"/>
              <w:snapToGrid w:val="0"/>
              <w:spacing w:line="440" w:lineRule="atLeast"/>
              <w:rPr>
                <w:rFonts w:hint="eastAsia"/>
                <w:highlight w:val="none"/>
              </w:rPr>
            </w:pPr>
            <w:bookmarkStart w:id="12" w:name="EB2542dbdc59744fd9b3a2addb90612b90"/>
            <w:r>
              <w:rPr>
                <w:rFonts w:hint="eastAsia"/>
                <w:highlight w:val="none"/>
              </w:rPr>
              <w:t>第ZYSB01-02、ZYSB04、ZYSB06-08标段：</w:t>
            </w:r>
          </w:p>
          <w:p>
            <w:pPr>
              <w:adjustRightInd w:val="0"/>
              <w:snapToGrid w:val="0"/>
              <w:spacing w:line="440" w:lineRule="atLeast"/>
              <w:rPr>
                <w:highlight w:val="none"/>
              </w:rPr>
            </w:pPr>
            <w:r>
              <w:rPr>
                <w:rFonts w:hint="eastAsia"/>
                <w:highlight w:val="none"/>
              </w:rPr>
              <w:t>1、投标人具有独立法人资格，持有有效的营业执照；</w:t>
            </w:r>
          </w:p>
          <w:p>
            <w:pPr>
              <w:adjustRightInd w:val="0"/>
              <w:snapToGrid w:val="0"/>
              <w:spacing w:line="440" w:lineRule="atLeast"/>
              <w:rPr>
                <w:rFonts w:hint="eastAsia"/>
                <w:highlight w:val="none"/>
              </w:rPr>
            </w:pPr>
            <w:r>
              <w:rPr>
                <w:rFonts w:hint="eastAsia"/>
                <w:highlight w:val="none"/>
              </w:rPr>
              <w:t>2、本项目允许制造商或代理商参加投标。投标人是代理商投标的，需要提供生产厂家（制造商）出具针对本项目的产品唯一授权书；</w:t>
            </w:r>
          </w:p>
          <w:p>
            <w:pPr>
              <w:adjustRightInd w:val="0"/>
              <w:snapToGrid w:val="0"/>
              <w:spacing w:line="440" w:lineRule="atLeast"/>
              <w:rPr>
                <w:rFonts w:hint="eastAsia"/>
                <w:highlight w:val="none"/>
              </w:rPr>
            </w:pPr>
            <w:r>
              <w:rPr>
                <w:rFonts w:hint="eastAsia"/>
                <w:highlight w:val="none"/>
              </w:rPr>
              <w:t>3、投标人所投标段的所有设备需为同一品牌。</w:t>
            </w:r>
          </w:p>
          <w:p>
            <w:pPr>
              <w:adjustRightInd w:val="0"/>
              <w:snapToGrid w:val="0"/>
              <w:spacing w:line="440" w:lineRule="atLeast"/>
              <w:rPr>
                <w:rFonts w:hint="eastAsia" w:eastAsia="宋体"/>
                <w:highlight w:val="none"/>
                <w:lang w:val="en-US" w:eastAsia="zh-CN"/>
              </w:rPr>
            </w:pPr>
            <w:r>
              <w:rPr>
                <w:rFonts w:hint="eastAsia"/>
                <w:highlight w:val="none"/>
              </w:rPr>
              <w:t>4、制造商和所授权的代理商不能对同一标段提出投标申请。</w:t>
            </w:r>
            <w:bookmarkEnd w:id="12"/>
          </w:p>
        </w:tc>
      </w:tr>
    </w:tbl>
    <w:p>
      <w:pPr>
        <w:keepNext/>
        <w:keepLines/>
        <w:spacing w:before="240" w:after="240" w:line="240" w:lineRule="atLeast"/>
        <w:jc w:val="center"/>
        <w:outlineLvl w:val="2"/>
        <w:rPr>
          <w:rFonts w:ascii="Times New Roman" w:hAnsi="Times New Roman" w:eastAsia="黑体"/>
          <w:b/>
          <w:color w:val="000000"/>
          <w:kern w:val="44"/>
          <w:sz w:val="28"/>
          <w:szCs w:val="28"/>
          <w:highlight w:val="none"/>
        </w:rPr>
      </w:pPr>
      <w:r>
        <w:rPr>
          <w:rFonts w:ascii="Times New Roman" w:hAnsi="Times New Roman" w:eastAsia="黑体"/>
          <w:b/>
          <w:color w:val="000000"/>
          <w:kern w:val="44"/>
          <w:sz w:val="28"/>
          <w:szCs w:val="28"/>
          <w:highlight w:val="none"/>
        </w:rPr>
        <w:t>附录2  资格审查条件（财务最低要求）</w:t>
      </w:r>
    </w:p>
    <w:tbl>
      <w:tblPr>
        <w:tblStyle w:val="7"/>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noWrap w:val="0"/>
            <w:vAlign w:val="center"/>
          </w:tcPr>
          <w:p>
            <w:pPr>
              <w:adjustRightInd w:val="0"/>
              <w:snapToGrid w:val="0"/>
              <w:spacing w:line="400" w:lineRule="atLeast"/>
              <w:jc w:val="center"/>
              <w:rPr>
                <w:rFonts w:ascii="Times New Roman" w:hAnsi="Times New Roman"/>
                <w:color w:val="auto"/>
                <w:szCs w:val="21"/>
                <w:highlight w:val="none"/>
              </w:rPr>
            </w:pPr>
            <w:r>
              <w:rPr>
                <w:rFonts w:ascii="Times New Roman" w:hAnsi="Times New Roman"/>
                <w:color w:val="auto"/>
                <w:szCs w:val="21"/>
                <w:highlight w:val="none"/>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5000" w:type="pct"/>
            <w:noWrap w:val="0"/>
            <w:vAlign w:val="center"/>
          </w:tcPr>
          <w:p>
            <w:pPr>
              <w:adjustRightInd w:val="0"/>
              <w:snapToGrid w:val="0"/>
              <w:spacing w:line="400" w:lineRule="atLeast"/>
              <w:rPr>
                <w:rFonts w:hint="eastAsia" w:ascii="Times New Roman" w:hAnsi="Times New Roman"/>
                <w:color w:val="auto"/>
                <w:szCs w:val="21"/>
                <w:highlight w:val="none"/>
              </w:rPr>
            </w:pPr>
            <w:bookmarkStart w:id="13" w:name="EB02eb68212b0a41dcbe98560363a7eb87"/>
            <w:r>
              <w:rPr>
                <w:rFonts w:hint="eastAsia" w:ascii="Times New Roman" w:hAnsi="Times New Roman"/>
                <w:color w:val="auto"/>
                <w:szCs w:val="21"/>
                <w:highlight w:val="none"/>
              </w:rPr>
              <w:t>第ZYSB01标段：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2021年净资产不少于</w:t>
            </w:r>
            <w:r>
              <w:rPr>
                <w:rFonts w:hint="eastAsia" w:ascii="Times New Roman" w:hAnsi="Times New Roman"/>
                <w:color w:val="auto"/>
                <w:szCs w:val="21"/>
                <w:highlight w:val="none"/>
                <w:lang w:val="en-US" w:eastAsia="zh-CN"/>
              </w:rPr>
              <w:t>320</w:t>
            </w:r>
            <w:r>
              <w:rPr>
                <w:rFonts w:hint="eastAsia" w:ascii="Times New Roman" w:hAnsi="Times New Roman"/>
                <w:color w:val="auto"/>
                <w:szCs w:val="21"/>
                <w:highlight w:val="none"/>
              </w:rPr>
              <w:t>万元。</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第ZYSB02标段：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2021年净资产不少于</w:t>
            </w:r>
            <w:r>
              <w:rPr>
                <w:rFonts w:hint="eastAsia" w:ascii="Times New Roman" w:hAnsi="Times New Roman"/>
                <w:color w:val="auto"/>
                <w:szCs w:val="21"/>
                <w:highlight w:val="none"/>
                <w:lang w:val="en-US" w:eastAsia="zh-CN"/>
              </w:rPr>
              <w:t>250</w:t>
            </w:r>
            <w:r>
              <w:rPr>
                <w:rFonts w:hint="eastAsia" w:ascii="Times New Roman" w:hAnsi="Times New Roman"/>
                <w:color w:val="auto"/>
                <w:szCs w:val="21"/>
                <w:highlight w:val="none"/>
              </w:rPr>
              <w:t>万元。</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第ZYSB04标段：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2021年净资产不少于</w:t>
            </w:r>
            <w:r>
              <w:rPr>
                <w:rFonts w:hint="eastAsia" w:ascii="Times New Roman" w:hAnsi="Times New Roman"/>
                <w:color w:val="auto"/>
                <w:szCs w:val="21"/>
                <w:highlight w:val="none"/>
                <w:lang w:val="en-US" w:eastAsia="zh-CN"/>
              </w:rPr>
              <w:t>150</w:t>
            </w:r>
            <w:r>
              <w:rPr>
                <w:rFonts w:hint="eastAsia" w:ascii="Times New Roman" w:hAnsi="Times New Roman"/>
                <w:color w:val="auto"/>
                <w:szCs w:val="21"/>
                <w:highlight w:val="none"/>
              </w:rPr>
              <w:t>元。</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第ZYSB06标段：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2021年净资产不少于</w:t>
            </w:r>
            <w:r>
              <w:rPr>
                <w:rFonts w:hint="eastAsia" w:ascii="Times New Roman" w:hAnsi="Times New Roman"/>
                <w:color w:val="auto"/>
                <w:szCs w:val="21"/>
                <w:highlight w:val="none"/>
                <w:lang w:val="en-US" w:eastAsia="zh-CN"/>
              </w:rPr>
              <w:t>600</w:t>
            </w:r>
            <w:r>
              <w:rPr>
                <w:rFonts w:hint="eastAsia" w:ascii="Times New Roman" w:hAnsi="Times New Roman"/>
                <w:color w:val="auto"/>
                <w:szCs w:val="21"/>
                <w:highlight w:val="none"/>
              </w:rPr>
              <w:t>万元。</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第ZYSB07标段：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2021年净资产不少于</w:t>
            </w:r>
            <w:r>
              <w:rPr>
                <w:rFonts w:hint="eastAsia" w:ascii="Times New Roman" w:hAnsi="Times New Roman"/>
                <w:color w:val="auto"/>
                <w:szCs w:val="21"/>
                <w:highlight w:val="none"/>
                <w:lang w:val="en-US" w:eastAsia="zh-CN"/>
              </w:rPr>
              <w:t>150</w:t>
            </w:r>
            <w:r>
              <w:rPr>
                <w:rFonts w:hint="eastAsia" w:ascii="Times New Roman" w:hAnsi="Times New Roman"/>
                <w:color w:val="auto"/>
                <w:szCs w:val="21"/>
                <w:highlight w:val="none"/>
              </w:rPr>
              <w:t>万元。</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第ZYSB08标段：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2021年净资产不少于1100万元。</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注：投标人应根据招标文件第二章“投标人须知”第 3.5.2 项的要求在“近年财务状况表”后附相关证明材料。</w:t>
            </w:r>
            <w:bookmarkEnd w:id="13"/>
          </w:p>
        </w:tc>
      </w:tr>
    </w:tbl>
    <w:p>
      <w:pPr>
        <w:rPr>
          <w:highlight w:val="none"/>
        </w:rPr>
      </w:pPr>
      <w:bookmarkStart w:id="14" w:name="EB0b84de3407cc4b35b94c08f9908a4971"/>
      <w:r>
        <w:rPr>
          <w:rFonts w:hint="eastAsia"/>
          <w:color w:val="000080"/>
          <w:sz w:val="20"/>
          <w:highlight w:val="none"/>
        </w:rPr>
        <w:t xml:space="preserve"> </w:t>
      </w:r>
      <w:bookmarkEnd w:id="14"/>
    </w:p>
    <w:p>
      <w:pPr>
        <w:jc w:val="center"/>
        <w:rPr>
          <w:rFonts w:ascii="Times New Roman" w:hAnsi="Times New Roman" w:eastAsia="黑体"/>
          <w:b/>
          <w:color w:val="000000"/>
          <w:kern w:val="44"/>
          <w:sz w:val="28"/>
          <w:szCs w:val="28"/>
          <w:highlight w:val="none"/>
        </w:rPr>
      </w:pPr>
      <w:r>
        <w:rPr>
          <w:highlight w:val="none"/>
        </w:rPr>
        <w:br w:type="page"/>
      </w:r>
      <w:bookmarkStart w:id="15" w:name="EBca9dc06dbb074e38a6270b23009b0986"/>
      <w:r>
        <w:rPr>
          <w:rFonts w:hint="eastAsia"/>
          <w:color w:val="000080"/>
          <w:sz w:val="20"/>
          <w:highlight w:val="none"/>
        </w:rPr>
        <w:t xml:space="preserve"> </w:t>
      </w:r>
      <w:bookmarkEnd w:id="15"/>
      <w:bookmarkStart w:id="16" w:name="EB928e38c9b18a412e8525d7cf65635dbf"/>
      <w:r>
        <w:rPr>
          <w:rFonts w:hint="eastAsia"/>
          <w:color w:val="000080"/>
          <w:sz w:val="20"/>
          <w:highlight w:val="none"/>
        </w:rPr>
        <w:t xml:space="preserve"> </w:t>
      </w:r>
      <w:bookmarkEnd w:id="16"/>
      <w:r>
        <w:rPr>
          <w:rFonts w:ascii="Times New Roman" w:hAnsi="Times New Roman" w:eastAsia="黑体"/>
          <w:b/>
          <w:color w:val="000000"/>
          <w:kern w:val="44"/>
          <w:sz w:val="28"/>
          <w:szCs w:val="28"/>
          <w:highlight w:val="none"/>
        </w:rPr>
        <w:t>附录3  资格审查条件（业绩最低要求）</w:t>
      </w:r>
    </w:p>
    <w:tbl>
      <w:tblPr>
        <w:tblStyle w:val="7"/>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000" w:type="pct"/>
            <w:noWrap w:val="0"/>
            <w:vAlign w:val="center"/>
          </w:tcPr>
          <w:p>
            <w:pPr>
              <w:adjustRightInd w:val="0"/>
              <w:snapToGrid w:val="0"/>
              <w:spacing w:line="400" w:lineRule="atLeast"/>
              <w:jc w:val="center"/>
              <w:rPr>
                <w:rFonts w:ascii="Times New Roman" w:hAnsi="Times New Roman"/>
                <w:color w:val="auto"/>
                <w:szCs w:val="21"/>
                <w:highlight w:val="none"/>
              </w:rPr>
            </w:pPr>
            <w:r>
              <w:rPr>
                <w:rFonts w:ascii="Times New Roman" w:hAnsi="Times New Roman"/>
                <w:color w:val="auto"/>
                <w:szCs w:val="21"/>
                <w:highlight w:val="none"/>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5000" w:type="pct"/>
            <w:noWrap w:val="0"/>
            <w:vAlign w:val="center"/>
          </w:tcPr>
          <w:p>
            <w:pPr>
              <w:adjustRightInd w:val="0"/>
              <w:snapToGrid w:val="0"/>
              <w:spacing w:line="400" w:lineRule="atLeast"/>
              <w:rPr>
                <w:rFonts w:hint="eastAsia" w:ascii="Times New Roman" w:hAnsi="Times New Roman"/>
                <w:color w:val="auto"/>
                <w:szCs w:val="21"/>
                <w:highlight w:val="none"/>
              </w:rPr>
            </w:pPr>
            <w:bookmarkStart w:id="17" w:name="EB7ed266c47f39465690358456e4047798"/>
            <w:r>
              <w:rPr>
                <w:rFonts w:hint="eastAsia" w:ascii="Times New Roman" w:hAnsi="Times New Roman"/>
                <w:color w:val="auto"/>
                <w:szCs w:val="21"/>
                <w:highlight w:val="none"/>
              </w:rPr>
              <w:t>第ZYSB01标段：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最近5年（指递交投标文件截止之日前一日回溯5年）中的1年内（指连续12个月），累计承担过合同金额不少于</w:t>
            </w:r>
            <w:r>
              <w:rPr>
                <w:rFonts w:hint="eastAsia" w:ascii="Times New Roman" w:hAnsi="Times New Roman"/>
                <w:color w:val="auto"/>
                <w:szCs w:val="21"/>
                <w:highlight w:val="none"/>
                <w:lang w:val="en-US" w:eastAsia="zh-CN"/>
              </w:rPr>
              <w:t>500</w:t>
            </w:r>
            <w:r>
              <w:rPr>
                <w:rFonts w:hint="eastAsia" w:ascii="Times New Roman" w:hAnsi="Times New Roman"/>
                <w:color w:val="auto"/>
                <w:szCs w:val="21"/>
                <w:highlight w:val="none"/>
              </w:rPr>
              <w:t>万元的摄像机设备供货业绩。</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第ZYSB02标段：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最近5年（指递交投标文件截止之日前一日回溯5年）中的1年内（指连续12个月），累计承担过合同金额不少于</w:t>
            </w:r>
            <w:r>
              <w:rPr>
                <w:rFonts w:hint="eastAsia" w:ascii="Times New Roman" w:hAnsi="Times New Roman"/>
                <w:color w:val="auto"/>
                <w:szCs w:val="21"/>
                <w:highlight w:val="none"/>
                <w:lang w:val="en-US" w:eastAsia="zh-CN"/>
              </w:rPr>
              <w:t>400</w:t>
            </w:r>
            <w:r>
              <w:rPr>
                <w:rFonts w:hint="eastAsia" w:ascii="Times New Roman" w:hAnsi="Times New Roman"/>
                <w:color w:val="auto"/>
                <w:szCs w:val="21"/>
                <w:highlight w:val="none"/>
              </w:rPr>
              <w:t>万元的可变信息标志供货业绩。</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第ZYSB04标段：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最近5年（指递交投标文件截止之日前一日回溯5年）中的1年内（指连续12个月），累计承担过合同金额不少于</w:t>
            </w:r>
            <w:r>
              <w:rPr>
                <w:rFonts w:hint="eastAsia" w:ascii="Times New Roman" w:hAnsi="Times New Roman"/>
                <w:color w:val="auto"/>
                <w:szCs w:val="21"/>
                <w:highlight w:val="none"/>
                <w:lang w:val="en-US" w:eastAsia="zh-CN"/>
              </w:rPr>
              <w:t>200</w:t>
            </w:r>
            <w:r>
              <w:rPr>
                <w:rFonts w:hint="eastAsia" w:ascii="Times New Roman" w:hAnsi="Times New Roman"/>
                <w:color w:val="auto"/>
                <w:szCs w:val="21"/>
                <w:highlight w:val="none"/>
              </w:rPr>
              <w:t>万元的ETC天线及控制器设备供货业绩。</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第ZYSB06标段：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最近5年（指递交投标文件截止之日前一日回溯5年）中的1年内（指连续12个月），累计承担过合同金额不少于</w:t>
            </w:r>
            <w:r>
              <w:rPr>
                <w:rFonts w:hint="eastAsia" w:ascii="Times New Roman" w:hAnsi="Times New Roman"/>
                <w:color w:val="auto"/>
                <w:szCs w:val="21"/>
                <w:highlight w:val="none"/>
                <w:lang w:val="en-US" w:eastAsia="zh-CN"/>
              </w:rPr>
              <w:t>900</w:t>
            </w:r>
            <w:r>
              <w:rPr>
                <w:rFonts w:hint="eastAsia" w:ascii="Times New Roman" w:hAnsi="Times New Roman"/>
                <w:color w:val="auto"/>
                <w:szCs w:val="21"/>
                <w:highlight w:val="none"/>
              </w:rPr>
              <w:t>万元的服务器及磁盘阵列设备供货业绩。</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第ZYSB07标段：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最近5年（指递交投标文件截止之日前一日回溯5年）中的1年内（指连续12个月），累计承担过合同金额不少于</w:t>
            </w:r>
            <w:r>
              <w:rPr>
                <w:rFonts w:hint="eastAsia" w:ascii="Times New Roman" w:hAnsi="Times New Roman"/>
                <w:color w:val="auto"/>
                <w:szCs w:val="21"/>
                <w:highlight w:val="none"/>
                <w:lang w:val="en-US" w:eastAsia="zh-CN"/>
              </w:rPr>
              <w:t>200</w:t>
            </w:r>
            <w:r>
              <w:rPr>
                <w:rFonts w:hint="eastAsia" w:ascii="Times New Roman" w:hAnsi="Times New Roman"/>
                <w:color w:val="auto"/>
                <w:szCs w:val="21"/>
                <w:highlight w:val="none"/>
              </w:rPr>
              <w:t>万元的不间断电源供货业绩。</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第ZYSB08标段：</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最近5年（指递交投标文件截止之日前一日回溯5年）中的1年内（指连续12个月），累计承担过合同金额不少于17</w:t>
            </w:r>
            <w:r>
              <w:rPr>
                <w:rFonts w:hint="eastAsia" w:ascii="Times New Roman" w:hAnsi="Times New Roman"/>
                <w:color w:val="auto"/>
                <w:szCs w:val="21"/>
                <w:highlight w:val="none"/>
                <w:lang w:val="en-US" w:eastAsia="zh-CN"/>
              </w:rPr>
              <w:t>0</w:t>
            </w:r>
            <w:r>
              <w:rPr>
                <w:rFonts w:hint="eastAsia" w:ascii="Times New Roman" w:hAnsi="Times New Roman"/>
                <w:color w:val="auto"/>
                <w:szCs w:val="21"/>
                <w:highlight w:val="none"/>
              </w:rPr>
              <w:t>0万元的LED灯设备供货业绩。</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注：</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1.投标人应根据招标文件第二章“投标人须知”第 3.5.3 项的要求在“近年完成的类似项目情况表”后附相关证明材料。</w:t>
            </w:r>
          </w:p>
          <w:p>
            <w:pPr>
              <w:adjustRightInd w:val="0"/>
              <w:snapToGrid w:val="0"/>
              <w:spacing w:line="400" w:lineRule="atLeast"/>
              <w:rPr>
                <w:rFonts w:hint="eastAsia" w:ascii="Times New Roman" w:hAnsi="Times New Roman"/>
                <w:color w:val="auto"/>
                <w:szCs w:val="21"/>
                <w:highlight w:val="none"/>
              </w:rPr>
            </w:pPr>
            <w:r>
              <w:rPr>
                <w:rFonts w:hint="eastAsia" w:ascii="Times New Roman" w:hAnsi="Times New Roman"/>
                <w:color w:val="auto"/>
                <w:szCs w:val="21"/>
                <w:highlight w:val="none"/>
              </w:rPr>
              <w:t>2.如近年来，投标人法人机构发生合法变更或重组或法人名称变更时，应提供相关部门的合法批件或其他相关证明材料来证明其所附业绩的继承性。</w:t>
            </w:r>
            <w:bookmarkEnd w:id="17"/>
          </w:p>
        </w:tc>
      </w:tr>
    </w:tbl>
    <w:p>
      <w:pPr>
        <w:jc w:val="center"/>
        <w:rPr>
          <w:rFonts w:ascii="Times New Roman" w:hAnsi="Times New Roman" w:eastAsia="黑体"/>
          <w:b/>
          <w:color w:val="000000"/>
          <w:kern w:val="44"/>
          <w:sz w:val="28"/>
          <w:szCs w:val="28"/>
          <w:highlight w:val="none"/>
        </w:rPr>
      </w:pPr>
      <w:r>
        <w:rPr>
          <w:rFonts w:ascii="Times New Roman" w:hAnsi="Times New Roman" w:eastAsia="黑体"/>
          <w:b/>
          <w:color w:val="000000"/>
          <w:kern w:val="44"/>
          <w:sz w:val="28"/>
          <w:szCs w:val="28"/>
          <w:highlight w:val="none"/>
        </w:rPr>
        <w:t>附录4  资格审查条件（信誉最低要求）</w:t>
      </w:r>
    </w:p>
    <w:tbl>
      <w:tblPr>
        <w:tblStyle w:val="7"/>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noWrap w:val="0"/>
            <w:vAlign w:val="center"/>
          </w:tcPr>
          <w:p>
            <w:pPr>
              <w:adjustRightInd w:val="0"/>
              <w:snapToGrid w:val="0"/>
              <w:spacing w:line="440" w:lineRule="atLeast"/>
              <w:jc w:val="center"/>
              <w:rPr>
                <w:rFonts w:ascii="Times New Roman" w:hAnsi="Times New Roman"/>
                <w:color w:val="auto"/>
                <w:szCs w:val="21"/>
                <w:highlight w:val="none"/>
              </w:rPr>
            </w:pPr>
            <w:r>
              <w:rPr>
                <w:rFonts w:ascii="Times New Roman" w:hAnsi="Times New Roman"/>
                <w:color w:val="auto"/>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5000" w:type="pct"/>
            <w:noWrap w:val="0"/>
            <w:vAlign w:val="center"/>
          </w:tcPr>
          <w:p>
            <w:pPr>
              <w:adjustRightInd w:val="0"/>
              <w:snapToGrid w:val="0"/>
              <w:spacing w:line="440" w:lineRule="atLeast"/>
              <w:rPr>
                <w:rFonts w:ascii="Times New Roman" w:hAnsi="Times New Roman"/>
                <w:color w:val="auto"/>
                <w:szCs w:val="21"/>
                <w:highlight w:val="none"/>
              </w:rPr>
            </w:pPr>
            <w:bookmarkStart w:id="18" w:name="EBc822485524ce41be9fc5a70e490b21a1"/>
            <w:r>
              <w:rPr>
                <w:rFonts w:hint="eastAsia" w:ascii="Times New Roman" w:hAnsi="Times New Roman"/>
                <w:color w:val="auto"/>
                <w:szCs w:val="21"/>
                <w:highlight w:val="none"/>
              </w:rPr>
              <w:t>投标人不得存在投标人须知 1.4.3 款的情形：</w:t>
            </w:r>
          </w:p>
          <w:p>
            <w:pPr>
              <w:adjustRightInd w:val="0"/>
              <w:snapToGrid w:val="0"/>
              <w:spacing w:line="440" w:lineRule="atLeast"/>
              <w:rPr>
                <w:rFonts w:hint="eastAsia" w:ascii="Times New Roman" w:hAnsi="Times New Roman"/>
                <w:color w:val="auto"/>
                <w:szCs w:val="21"/>
                <w:highlight w:val="none"/>
              </w:rPr>
            </w:pPr>
            <w:r>
              <w:rPr>
                <w:rFonts w:hint="eastAsia" w:ascii="Times New Roman" w:hAnsi="Times New Roman"/>
                <w:color w:val="auto"/>
                <w:szCs w:val="21"/>
                <w:highlight w:val="none"/>
              </w:rPr>
              <w:t>注： 投标人应根据招标文件第二章“投标人须知”前附表附录 4 的规定，逐条说明其信誉情况”。</w:t>
            </w:r>
            <w:bookmarkEnd w:id="18"/>
          </w:p>
        </w:tc>
      </w:tr>
    </w:tbl>
    <w:p>
      <w:pPr>
        <w:rPr>
          <w:highlight w:val="none"/>
        </w:rPr>
      </w:pPr>
      <w:bookmarkStart w:id="19" w:name="EB777df729a0054ed5adfd06ac630cac04"/>
      <w:r>
        <w:rPr>
          <w:rFonts w:hint="eastAsia"/>
          <w:color w:val="000080"/>
          <w:sz w:val="20"/>
          <w:highlight w:val="none"/>
        </w:rPr>
        <w:t xml:space="preserve"> </w:t>
      </w:r>
      <w:bookmarkEnd w:id="19"/>
    </w:p>
    <w:p>
      <w:pPr>
        <w:pStyle w:val="2"/>
      </w:pPr>
      <w:r>
        <w:rPr>
          <w:highlight w:val="none"/>
        </w:rPr>
        <w:br w:type="page"/>
      </w:r>
    </w:p>
    <w:p>
      <w:pPr>
        <w:spacing w:line="440" w:lineRule="atLeast"/>
        <w:ind w:firstLine="480" w:firstLineChars="20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附件2：评标办法</w:t>
      </w:r>
    </w:p>
    <w:p>
      <w:pPr>
        <w:pStyle w:val="2"/>
      </w:pPr>
    </w:p>
    <w:p>
      <w:pPr>
        <w:pStyle w:val="6"/>
        <w:outlineLvl w:val="1"/>
        <w:rPr>
          <w:sz w:val="28"/>
          <w:szCs w:val="28"/>
          <w:highlight w:val="none"/>
        </w:rPr>
      </w:pPr>
      <w:r>
        <w:rPr>
          <w:sz w:val="28"/>
          <w:szCs w:val="28"/>
          <w:highlight w:val="none"/>
        </w:rPr>
        <w:t>评标办法（经评审的最低投标价法）</w:t>
      </w:r>
    </w:p>
    <w:p>
      <w:pPr>
        <w:keepNext/>
        <w:keepLines/>
        <w:spacing w:before="260" w:after="260" w:line="440" w:lineRule="atLeast"/>
        <w:outlineLvl w:val="2"/>
        <w:rPr>
          <w:sz w:val="24"/>
          <w:szCs w:val="24"/>
          <w:highlight w:val="none"/>
        </w:rPr>
      </w:pPr>
      <w:r>
        <w:rPr>
          <w:rFonts w:ascii="Times New Roman" w:hAnsi="Times New Roman" w:eastAsia="黑体"/>
          <w:b/>
          <w:color w:val="000000"/>
          <w:sz w:val="24"/>
          <w:szCs w:val="24"/>
          <w:highlight w:val="none"/>
        </w:rPr>
        <w:t>评标办法前附表</w:t>
      </w:r>
      <w:bookmarkStart w:id="20" w:name="EBed094c7f68e84aadac23b1343fe96ad1"/>
    </w:p>
    <w:bookmarkEnd w:id="20"/>
    <w:tbl>
      <w:tblPr>
        <w:tblStyle w:val="7"/>
        <w:tblW w:w="946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82"/>
        <w:gridCol w:w="2375"/>
        <w:gridCol w:w="50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82" w:type="dxa"/>
            <w:gridSpan w:val="2"/>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674" w:right="666"/>
              <w:jc w:val="center"/>
              <w:textAlignment w:val="auto"/>
              <w:rPr>
                <w:b/>
                <w:sz w:val="21"/>
                <w:szCs w:val="21"/>
                <w:highlight w:val="none"/>
              </w:rPr>
            </w:pPr>
            <w:r>
              <w:rPr>
                <w:rFonts w:hint="eastAsia"/>
                <w:b/>
                <w:sz w:val="21"/>
                <w:szCs w:val="21"/>
                <w:highlight w:val="none"/>
              </w:rPr>
              <w:t>条款号</w:t>
            </w: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7" w:right="156"/>
              <w:jc w:val="center"/>
              <w:textAlignment w:val="auto"/>
              <w:rPr>
                <w:b/>
                <w:sz w:val="21"/>
                <w:szCs w:val="21"/>
                <w:highlight w:val="none"/>
              </w:rPr>
            </w:pPr>
            <w:r>
              <w:rPr>
                <w:rFonts w:hint="eastAsia"/>
                <w:b/>
                <w:sz w:val="21"/>
                <w:szCs w:val="21"/>
                <w:highlight w:val="none"/>
              </w:rPr>
              <w:t>评审因素</w:t>
            </w:r>
          </w:p>
        </w:tc>
        <w:tc>
          <w:tcPr>
            <w:tcW w:w="5009"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87" w:right="1675"/>
              <w:jc w:val="center"/>
              <w:textAlignment w:val="auto"/>
              <w:rPr>
                <w:b/>
                <w:sz w:val="21"/>
                <w:szCs w:val="21"/>
                <w:highlight w:val="none"/>
              </w:rPr>
            </w:pPr>
            <w:r>
              <w:rPr>
                <w:rFonts w:hint="eastAsia"/>
                <w:b/>
                <w:sz w:val="21"/>
                <w:szCs w:val="21"/>
                <w:highlight w:val="none"/>
              </w:rPr>
              <w:t>评审标准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700"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firstLine="414" w:firstLineChars="200"/>
              <w:jc w:val="both"/>
              <w:textAlignment w:val="auto"/>
              <w:rPr>
                <w:rFonts w:ascii="Times New Roman"/>
                <w:sz w:val="21"/>
                <w:szCs w:val="21"/>
                <w:highlight w:val="none"/>
              </w:rPr>
            </w:pPr>
            <w:r>
              <w:rPr>
                <w:rFonts w:ascii="Times New Roman"/>
                <w:w w:val="99"/>
                <w:sz w:val="21"/>
                <w:szCs w:val="21"/>
                <w:highlight w:val="none"/>
              </w:rPr>
              <w:t>1</w:t>
            </w:r>
          </w:p>
        </w:tc>
        <w:tc>
          <w:tcPr>
            <w:tcW w:w="1382"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r>
              <w:rPr>
                <w:rFonts w:hint="eastAsia"/>
                <w:sz w:val="21"/>
                <w:szCs w:val="21"/>
                <w:highlight w:val="none"/>
              </w:rPr>
              <w:t>评标方法</w:t>
            </w: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中标候选人排序方法</w:t>
            </w:r>
          </w:p>
        </w:tc>
        <w:tc>
          <w:tcPr>
            <w:tcW w:w="5009" w:type="dxa"/>
            <w:tcBorders>
              <w:tl2br w:val="nil"/>
              <w:tr2bl w:val="nil"/>
            </w:tcBorders>
            <w:vAlign w:val="center"/>
          </w:tcPr>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jc w:val="both"/>
              <w:textAlignment w:val="auto"/>
              <w:rPr>
                <w:rFonts w:hint="eastAsia"/>
                <w:sz w:val="21"/>
                <w:szCs w:val="21"/>
                <w:highlight w:val="none"/>
              </w:rPr>
            </w:pPr>
            <w:r>
              <w:rPr>
                <w:rFonts w:hint="eastAsia"/>
                <w:sz w:val="21"/>
                <w:szCs w:val="21"/>
                <w:highlight w:val="none"/>
              </w:rPr>
              <w:t>经评审的投标价相等时，评标委员会依次按照以下优先顺序推荐中标候选人或确定中标人：</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jc w:val="both"/>
              <w:textAlignment w:val="auto"/>
              <w:rPr>
                <w:rFonts w:hint="eastAsia"/>
                <w:sz w:val="21"/>
                <w:szCs w:val="21"/>
                <w:highlight w:val="none"/>
              </w:rPr>
            </w:pPr>
            <w:r>
              <w:rPr>
                <w:rFonts w:hint="eastAsia"/>
                <w:sz w:val="21"/>
                <w:szCs w:val="21"/>
                <w:highlight w:val="none"/>
              </w:rPr>
              <w:t>（1）技术参数高的投标人优先；</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jc w:val="both"/>
              <w:textAlignment w:val="auto"/>
              <w:rPr>
                <w:rFonts w:hint="eastAsia"/>
                <w:sz w:val="21"/>
                <w:szCs w:val="21"/>
                <w:highlight w:val="none"/>
              </w:rPr>
            </w:pPr>
            <w:r>
              <w:rPr>
                <w:rFonts w:hint="eastAsia"/>
                <w:sz w:val="21"/>
                <w:szCs w:val="21"/>
                <w:highlight w:val="none"/>
              </w:rPr>
              <w:t>（2）备品备件多的投标人优先；</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（3）随机摇号确定排序。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700"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sz w:val="21"/>
                <w:szCs w:val="21"/>
                <w:highlight w:val="none"/>
              </w:rPr>
            </w:pPr>
            <w:r>
              <w:rPr>
                <w:rFonts w:ascii="Times New Roman"/>
                <w:sz w:val="21"/>
                <w:szCs w:val="21"/>
                <w:highlight w:val="none"/>
              </w:rPr>
              <w:t>2.1.1</w:t>
            </w:r>
          </w:p>
        </w:tc>
        <w:tc>
          <w:tcPr>
            <w:tcW w:w="1382"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right="132"/>
              <w:jc w:val="center"/>
              <w:textAlignment w:val="auto"/>
              <w:rPr>
                <w:sz w:val="21"/>
                <w:szCs w:val="21"/>
                <w:highlight w:val="none"/>
              </w:rPr>
            </w:pPr>
            <w:r>
              <w:rPr>
                <w:rFonts w:hint="eastAsia"/>
                <w:sz w:val="21"/>
                <w:szCs w:val="21"/>
                <w:highlight w:val="none"/>
              </w:rPr>
              <w:t>形式评审标准</w:t>
            </w:r>
          </w:p>
        </w:tc>
        <w:tc>
          <w:tcPr>
            <w:tcW w:w="7384" w:type="dxa"/>
            <w:gridSpan w:val="2"/>
            <w:tcBorders>
              <w:tl2br w:val="nil"/>
              <w:tr2bl w:val="nil"/>
            </w:tcBorders>
            <w:vAlign w:val="center"/>
          </w:tcPr>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(1)开标形式评审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a. 开标后投标人投标函所列标段与招标标段一致；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b. 投标人在规定的时间内解密投标文件第一信封（商务和技术文件）；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c. 不同投标人的投标文件编制识别码不一致(若一致则视为投标人相互串通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投标)。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d.不同投标人提交电子投标文件 IP 地址不相同（若相同时能合理说明）；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e.不同投标人提交电子投标文件 IP 地址不在某一特定区域（若在某一特定区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域时能合理说明）；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f.电子投标文件硬件信息不相同（若相同时能合理说明）；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g.在投标函上填写了投标总价；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h.投标报价未超出招标人公布的最高投标限价。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(2)投标文件按照招标文件规定的格式、内容填写，字迹清晰可辨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a.投标函按招标文件规定填报了项目名称、标段号、补遗书编号（如有）、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投标总报价、设备名称、技术服务内容及质保期服务内容和期限；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b.投标文件组成齐全完整，内容均按规定填写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(3)投标文件上法定代表人的签章、投标人的单位章盖章齐全，符合招标文件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规定。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(4)投标人按照招标文件的规定提供了投标保证金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a.投标保证金金额符合招标文件规定的金额，且投标保证金有效期与投标有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效期一致；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b.若投标保证金采用现金或支票形式提交，投标人应在递交投标文件截止时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间之前，将投标保证金由投标人的基本账户转入招标人指定账户；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c.若投标保证金采用银行保函形式提交，银行保函的格式、开具保函的银行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均满足招标文件要求，且在递交投标文件截止时间之前向招标人提交了银行 </w:t>
            </w:r>
          </w:p>
          <w:p>
            <w:pPr>
              <w:keepNext w:val="0"/>
              <w:keepLines w:val="0"/>
              <w:widowControl/>
              <w:suppressLineNumbers w:val="0"/>
              <w:jc w:val="both"/>
              <w:rPr>
                <w:color w:val="auto"/>
                <w:sz w:val="21"/>
                <w:szCs w:val="21"/>
              </w:rPr>
            </w:pPr>
            <w:r>
              <w:rPr>
                <w:rFonts w:hint="eastAsia" w:ascii="宋体" w:hAnsi="宋体" w:eastAsia="宋体" w:cs="宋体"/>
                <w:color w:val="000000"/>
                <w:kern w:val="0"/>
                <w:sz w:val="21"/>
                <w:szCs w:val="21"/>
                <w:lang w:val="en-US" w:eastAsia="zh-CN"/>
              </w:rPr>
              <w:t>保函原件。</w:t>
            </w:r>
            <w:r>
              <w:rPr>
                <w:rFonts w:ascii="黑体" w:hAnsi="宋体" w:eastAsia="黑体" w:cs="黑体"/>
                <w:color w:val="auto"/>
                <w:kern w:val="0"/>
                <w:sz w:val="21"/>
                <w:szCs w:val="21"/>
                <w:lang w:val="en-US" w:eastAsia="zh-CN"/>
              </w:rPr>
              <w:t xml:space="preserve">若保函仅加盖银行业务公章的，同时提交了银行出具的同等法律 </w:t>
            </w:r>
          </w:p>
          <w:p>
            <w:pPr>
              <w:keepNext w:val="0"/>
              <w:keepLines w:val="0"/>
              <w:widowControl/>
              <w:suppressLineNumbers w:val="0"/>
              <w:jc w:val="both"/>
              <w:rPr>
                <w:color w:val="auto"/>
                <w:sz w:val="21"/>
                <w:szCs w:val="21"/>
              </w:rPr>
            </w:pPr>
            <w:r>
              <w:rPr>
                <w:rFonts w:hint="eastAsia" w:ascii="黑体" w:hAnsi="宋体" w:eastAsia="黑体" w:cs="黑体"/>
                <w:color w:val="auto"/>
                <w:kern w:val="0"/>
                <w:sz w:val="21"/>
                <w:szCs w:val="21"/>
                <w:lang w:val="en-US" w:eastAsia="zh-CN"/>
              </w:rPr>
              <w:t>效力证明的原件。</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(5)同一投标人未提交两个以上不同的投标文件和（或）两个以上不同的投标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报价，但招标文件要求提交备选投标的除外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(6)投标人法定代表人授权委托代理人签署投标文件的，提交了授权委托书，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且授权人和被授权人均在授权委托书上签名。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(7)投标人法定代表人亲自签署投标文件的，提供了法定代表人身份证明，且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法定代表人在法定代表人身份证明上签名。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(8)投标人以联合体形式投标时，联合体满足招标文件的要求投标人按照招标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文件提供的格式签订了联合体协议书，明确各方承 担连带责任，并明确了联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合体牵头人。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(9)投标报价的报价未超过招标文件设定的最高投标限价（如有）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(10)投标报价中报价的大写金额能够确定具体数值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(11)投标文件载明的招标项目完成期限符合招标文件规定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(12)投标文件对招标文件的实质性要求和条件作出响应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(13)权利义务符合招标文件规定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a.投标人应接受招标文件规定的风险划分原则，未提出新的风险划分办法；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b.投标人未增加委托人的责任范围，或减少投标人义务；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c.投标人未提出不同的支付办法；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d.投标人对合同纠纷、事故处理办法未提出异议； </w:t>
            </w:r>
          </w:p>
          <w:p>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rPr>
              <w:t xml:space="preserve">e.投标人在投标活动中无欺诈行为； </w:t>
            </w:r>
          </w:p>
          <w:p>
            <w:pPr>
              <w:keepNext w:val="0"/>
              <w:keepLines w:val="0"/>
              <w:widowControl/>
              <w:suppressLineNumbers w:val="0"/>
              <w:jc w:val="both"/>
              <w:rPr>
                <w:sz w:val="21"/>
                <w:szCs w:val="21"/>
                <w:highlight w:val="none"/>
              </w:rPr>
            </w:pPr>
            <w:r>
              <w:rPr>
                <w:rFonts w:hint="eastAsia" w:ascii="宋体" w:hAnsi="宋体" w:eastAsia="宋体" w:cs="宋体"/>
                <w:color w:val="000000"/>
                <w:kern w:val="0"/>
                <w:sz w:val="21"/>
                <w:szCs w:val="21"/>
                <w:lang w:val="en-US" w:eastAsia="zh-CN"/>
              </w:rPr>
              <w:t>f.投标人未对合同条款有重要保留。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700"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sz w:val="21"/>
                <w:szCs w:val="21"/>
                <w:highlight w:val="none"/>
              </w:rPr>
            </w:pPr>
            <w:r>
              <w:rPr>
                <w:rFonts w:ascii="Times New Roman"/>
                <w:sz w:val="21"/>
                <w:szCs w:val="21"/>
                <w:highlight w:val="none"/>
              </w:rPr>
              <w:t>2.1.2</w:t>
            </w:r>
          </w:p>
        </w:tc>
        <w:tc>
          <w:tcPr>
            <w:tcW w:w="1382"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right="132"/>
              <w:jc w:val="center"/>
              <w:textAlignment w:val="auto"/>
              <w:rPr>
                <w:sz w:val="21"/>
                <w:szCs w:val="21"/>
                <w:highlight w:val="none"/>
              </w:rPr>
            </w:pPr>
            <w:r>
              <w:rPr>
                <w:rFonts w:hint="eastAsia"/>
                <w:sz w:val="21"/>
                <w:szCs w:val="21"/>
                <w:highlight w:val="none"/>
              </w:rPr>
              <w:t>资格评审标准</w:t>
            </w: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right="34"/>
              <w:jc w:val="center"/>
              <w:textAlignment w:val="auto"/>
              <w:rPr>
                <w:sz w:val="21"/>
                <w:szCs w:val="21"/>
                <w:highlight w:val="none"/>
              </w:rPr>
            </w:pPr>
            <w:r>
              <w:rPr>
                <w:rFonts w:hint="eastAsia"/>
                <w:sz w:val="21"/>
                <w:szCs w:val="21"/>
                <w:highlight w:val="none"/>
              </w:rPr>
              <w:t>营业执照（事业单位法人证书）和组织机构代码证</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3.5.1 </w:t>
            </w:r>
            <w:r>
              <w:rPr>
                <w:rFonts w:hint="eastAsia"/>
                <w:sz w:val="21"/>
                <w:szCs w:val="21"/>
                <w:highlight w:val="none"/>
              </w:rPr>
              <w:t>项规定，具备有效的营业执照（事业单位法人证书）和组织机构代码证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资质要求</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财务要求</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业绩要求</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信誉要求</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其他要求</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7" w:right="159"/>
              <w:jc w:val="center"/>
              <w:textAlignment w:val="auto"/>
              <w:rPr>
                <w:sz w:val="21"/>
                <w:szCs w:val="21"/>
                <w:highlight w:val="none"/>
              </w:rPr>
            </w:pPr>
            <w:r>
              <w:rPr>
                <w:rFonts w:hint="eastAsia"/>
                <w:sz w:val="21"/>
                <w:szCs w:val="21"/>
                <w:highlight w:val="none"/>
              </w:rPr>
              <w:t>联合体投标人</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1.4.2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7" w:right="159"/>
              <w:jc w:val="center"/>
              <w:textAlignment w:val="auto"/>
              <w:rPr>
                <w:sz w:val="21"/>
                <w:szCs w:val="21"/>
                <w:highlight w:val="none"/>
              </w:rPr>
            </w:pPr>
            <w:r>
              <w:rPr>
                <w:rFonts w:hint="eastAsia"/>
                <w:sz w:val="21"/>
                <w:szCs w:val="21"/>
                <w:highlight w:val="none"/>
              </w:rPr>
              <w:t>不存在禁止投标的情形</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不存在第二章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1.4.3 </w:t>
            </w:r>
            <w:r>
              <w:rPr>
                <w:rFonts w:hint="eastAsia"/>
                <w:sz w:val="21"/>
                <w:szCs w:val="21"/>
                <w:highlight w:val="none"/>
              </w:rPr>
              <w:t>项规定的任何一种情形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right="177"/>
              <w:jc w:val="center"/>
              <w:textAlignment w:val="auto"/>
              <w:rPr>
                <w:sz w:val="21"/>
                <w:szCs w:val="21"/>
                <w:highlight w:val="none"/>
              </w:rPr>
            </w:pPr>
            <w:r>
              <w:rPr>
                <w:rFonts w:hint="eastAsia"/>
                <w:sz w:val="21"/>
                <w:szCs w:val="21"/>
                <w:highlight w:val="none"/>
              </w:rPr>
              <w:t>投标材料制造商的资质要求（如有）</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right="34"/>
              <w:jc w:val="center"/>
              <w:textAlignment w:val="auto"/>
              <w:rPr>
                <w:rFonts w:hint="eastAsia"/>
                <w:sz w:val="21"/>
                <w:szCs w:val="21"/>
                <w:highlight w:val="none"/>
              </w:rPr>
            </w:pPr>
            <w:r>
              <w:rPr>
                <w:rFonts w:hint="eastAsia"/>
                <w:sz w:val="21"/>
                <w:szCs w:val="21"/>
                <w:highlight w:val="none"/>
              </w:rPr>
              <w:t>投标材料的业绩要求</w:t>
            </w:r>
          </w:p>
          <w:p>
            <w:pPr>
              <w:pStyle w:val="11"/>
              <w:keepNext w:val="0"/>
              <w:keepLines w:val="0"/>
              <w:pageBreakBefore w:val="0"/>
              <w:widowControl w:val="0"/>
              <w:kinsoku/>
              <w:wordWrap/>
              <w:overflowPunct/>
              <w:topLinePunct w:val="0"/>
              <w:autoSpaceDE w:val="0"/>
              <w:autoSpaceDN w:val="0"/>
              <w:bidi w:val="0"/>
              <w:adjustRightInd/>
              <w:snapToGrid/>
              <w:spacing w:line="360" w:lineRule="exact"/>
              <w:ind w:right="34"/>
              <w:jc w:val="center"/>
              <w:textAlignment w:val="auto"/>
              <w:rPr>
                <w:sz w:val="21"/>
                <w:szCs w:val="21"/>
                <w:highlight w:val="none"/>
              </w:rPr>
            </w:pPr>
            <w:r>
              <w:rPr>
                <w:rFonts w:hint="eastAsia"/>
                <w:sz w:val="21"/>
                <w:szCs w:val="21"/>
                <w:highlight w:val="none"/>
              </w:rPr>
              <w:t>（如有）</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700"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ascii="Times New Roman"/>
                <w:sz w:val="21"/>
                <w:szCs w:val="21"/>
                <w:highlight w:val="none"/>
              </w:rPr>
            </w:pPr>
            <w:r>
              <w:rPr>
                <w:rFonts w:ascii="Times New Roman"/>
                <w:sz w:val="21"/>
                <w:szCs w:val="21"/>
                <w:highlight w:val="none"/>
              </w:rPr>
              <w:t>2.1.3</w:t>
            </w:r>
          </w:p>
        </w:tc>
        <w:tc>
          <w:tcPr>
            <w:tcW w:w="1382"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246" w:right="132" w:hanging="106"/>
              <w:jc w:val="center"/>
              <w:textAlignment w:val="auto"/>
              <w:rPr>
                <w:sz w:val="21"/>
                <w:szCs w:val="21"/>
                <w:highlight w:val="none"/>
              </w:rPr>
            </w:pPr>
            <w:r>
              <w:rPr>
                <w:rFonts w:hint="eastAsia"/>
                <w:sz w:val="21"/>
                <w:szCs w:val="21"/>
                <w:highlight w:val="none"/>
              </w:rPr>
              <w:t>响应性评审标准</w:t>
            </w: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right="159"/>
              <w:jc w:val="center"/>
              <w:textAlignment w:val="auto"/>
              <w:rPr>
                <w:sz w:val="21"/>
                <w:szCs w:val="21"/>
                <w:highlight w:val="none"/>
              </w:rPr>
            </w:pPr>
            <w:r>
              <w:rPr>
                <w:rFonts w:hint="eastAsia"/>
                <w:sz w:val="21"/>
                <w:szCs w:val="21"/>
                <w:highlight w:val="none"/>
              </w:rPr>
              <w:t>投标报价</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符合第二章</w:t>
            </w:r>
            <w:r>
              <w:t>“</w:t>
            </w:r>
            <w:r>
              <w:rPr>
                <w:rFonts w:hint="eastAsia"/>
              </w:rPr>
              <w:t>投标人须知</w:t>
            </w:r>
            <w:r>
              <w:t>”</w:t>
            </w:r>
            <w:r>
              <w:rPr>
                <w:rFonts w:hint="eastAsia"/>
              </w:rPr>
              <w:t xml:space="preserve">第 </w:t>
            </w:r>
            <w:r>
              <w:t xml:space="preserve">3.2 </w:t>
            </w:r>
            <w:r>
              <w:rPr>
                <w:rFonts w:hint="eastAsia"/>
              </w:rPr>
              <w:t>款规定</w:t>
            </w:r>
            <w:r>
              <w:t>，投标报价中报价的大写金额能够确定具体数值</w:t>
            </w:r>
            <w:r>
              <w:rPr>
                <w:rFonts w:hint="eastAsia"/>
                <w:lang w:eastAsia="zh-CN"/>
              </w:rPr>
              <w:t>。</w:t>
            </w:r>
            <w:r>
              <w:rPr>
                <w:rFonts w:hint="eastAsia"/>
              </w:rPr>
              <w:t>评审价格为报价文件填报的大写含税价格。</w:t>
            </w: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eastAsia="宋体"/>
                <w:lang w:val="en-US" w:eastAsia="zh-CN"/>
              </w:rPr>
            </w:pPr>
            <w:r>
              <w:rPr>
                <w:rFonts w:hint="eastAsia"/>
              </w:rPr>
              <w:t>评审价格</w:t>
            </w:r>
            <w:r>
              <w:t>=</w:t>
            </w:r>
            <w:r>
              <w:rPr>
                <w:rFonts w:hint="eastAsia"/>
              </w:rPr>
              <w:t>投标函总报价</w:t>
            </w:r>
            <w:r>
              <w:rPr>
                <w:rFonts w:hint="eastAsia"/>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第 3.2.5项规定</w:t>
            </w:r>
            <w:r>
              <w:rPr>
                <w:rFonts w:hint="eastAsia"/>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投标内容</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1.3.1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7" w:right="159"/>
              <w:jc w:val="center"/>
              <w:textAlignment w:val="auto"/>
              <w:rPr>
                <w:sz w:val="21"/>
                <w:szCs w:val="21"/>
                <w:highlight w:val="none"/>
              </w:rPr>
            </w:pPr>
            <w:r>
              <w:rPr>
                <w:rFonts w:hint="eastAsia"/>
                <w:sz w:val="21"/>
                <w:szCs w:val="21"/>
                <w:highlight w:val="none"/>
              </w:rPr>
              <w:t>交货期</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1.3.2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交货地点</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1.3.3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质量要求</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1.3.4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投标有效期</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3.3.1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投标保证金</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3.4.1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right="159"/>
              <w:jc w:val="center"/>
              <w:textAlignment w:val="auto"/>
              <w:rPr>
                <w:sz w:val="21"/>
                <w:szCs w:val="21"/>
                <w:highlight w:val="none"/>
              </w:rPr>
            </w:pPr>
            <w:r>
              <w:rPr>
                <w:rFonts w:hint="eastAsia"/>
                <w:sz w:val="21"/>
                <w:szCs w:val="21"/>
                <w:highlight w:val="none"/>
              </w:rPr>
              <w:t>权利义务</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1.11.1 </w:t>
            </w:r>
            <w:r>
              <w:rPr>
                <w:rFonts w:hint="eastAsia"/>
                <w:sz w:val="21"/>
                <w:szCs w:val="21"/>
                <w:highlight w:val="none"/>
              </w:rPr>
              <w:t>项规定和第四章</w:t>
            </w:r>
            <w:r>
              <w:rPr>
                <w:sz w:val="21"/>
                <w:szCs w:val="21"/>
                <w:highlight w:val="none"/>
              </w:rPr>
              <w:t>“</w:t>
            </w:r>
            <w:r>
              <w:rPr>
                <w:rFonts w:hint="eastAsia"/>
                <w:sz w:val="21"/>
                <w:szCs w:val="21"/>
                <w:highlight w:val="none"/>
              </w:rPr>
              <w:t>合同条款及格式</w:t>
            </w:r>
            <w:r>
              <w:rPr>
                <w:sz w:val="21"/>
                <w:szCs w:val="21"/>
                <w:highlight w:val="none"/>
              </w:rPr>
              <w:t>”</w:t>
            </w:r>
            <w:r>
              <w:rPr>
                <w:rFonts w:hint="eastAsia"/>
                <w:sz w:val="21"/>
                <w:szCs w:val="21"/>
                <w:highlight w:val="none"/>
              </w:rPr>
              <w:t>中的实质性要求和条件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Fonts w:hint="eastAsia"/>
                <w:sz w:val="21"/>
                <w:szCs w:val="21"/>
                <w:highlight w:val="none"/>
              </w:rPr>
              <w:t>投标设备及技术服务和质保期服务</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eastAsia="宋体"/>
                <w:sz w:val="21"/>
                <w:szCs w:val="21"/>
                <w:highlight w:val="none"/>
                <w:lang w:eastAsia="zh-CN"/>
              </w:rPr>
            </w:pPr>
            <w:r>
              <w:rPr>
                <w:rFonts w:hint="eastAsia"/>
                <w:sz w:val="21"/>
                <w:szCs w:val="21"/>
                <w:highlight w:val="none"/>
              </w:rPr>
              <w:t>符合第五章</w:t>
            </w:r>
            <w:r>
              <w:rPr>
                <w:sz w:val="21"/>
                <w:szCs w:val="21"/>
                <w:highlight w:val="none"/>
              </w:rPr>
              <w:t>“</w:t>
            </w:r>
            <w:r>
              <w:rPr>
                <w:rFonts w:hint="eastAsia"/>
                <w:sz w:val="21"/>
                <w:szCs w:val="21"/>
                <w:highlight w:val="none"/>
              </w:rPr>
              <w:t>供货要求</w:t>
            </w:r>
            <w:r>
              <w:rPr>
                <w:sz w:val="21"/>
                <w:szCs w:val="21"/>
                <w:highlight w:val="none"/>
              </w:rPr>
              <w:t>”</w:t>
            </w:r>
            <w:r>
              <w:rPr>
                <w:rFonts w:hint="eastAsia"/>
                <w:sz w:val="21"/>
                <w:szCs w:val="21"/>
                <w:highlight w:val="none"/>
              </w:rPr>
              <w:t>中的实质性要求和条件</w:t>
            </w:r>
            <w:r>
              <w:rPr>
                <w:rFonts w:hint="eastAsia"/>
                <w:sz w:val="21"/>
                <w:szCs w:val="21"/>
                <w:highlight w:val="none"/>
                <w:lang w:eastAsia="zh-CN"/>
              </w:rPr>
              <w:t>，关键参数不允许负偏离。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138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7" w:right="159"/>
              <w:jc w:val="center"/>
              <w:textAlignment w:val="auto"/>
              <w:rPr>
                <w:sz w:val="21"/>
                <w:szCs w:val="21"/>
                <w:highlight w:val="none"/>
              </w:rPr>
            </w:pPr>
            <w:r>
              <w:rPr>
                <w:rFonts w:hint="eastAsia"/>
                <w:sz w:val="21"/>
                <w:szCs w:val="21"/>
                <w:highlight w:val="none"/>
              </w:rPr>
              <w:t>技术支持资料</w:t>
            </w:r>
          </w:p>
        </w:tc>
        <w:tc>
          <w:tcPr>
            <w:tcW w:w="500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sz w:val="21"/>
                <w:szCs w:val="21"/>
                <w:highlight w:val="none"/>
              </w:rPr>
            </w:pPr>
            <w:r>
              <w:rPr>
                <w:rFonts w:hint="eastAsia"/>
                <w:sz w:val="21"/>
                <w:szCs w:val="21"/>
                <w:highlight w:val="none"/>
              </w:rPr>
              <w:t>符合第二章</w:t>
            </w:r>
            <w:r>
              <w:rPr>
                <w:sz w:val="21"/>
                <w:szCs w:val="21"/>
                <w:highlight w:val="none"/>
              </w:rPr>
              <w:t>“</w:t>
            </w:r>
            <w:r>
              <w:rPr>
                <w:rFonts w:hint="eastAsia"/>
                <w:sz w:val="21"/>
                <w:szCs w:val="21"/>
                <w:highlight w:val="none"/>
              </w:rPr>
              <w:t>投标人须知</w:t>
            </w:r>
            <w:r>
              <w:rPr>
                <w:sz w:val="21"/>
                <w:szCs w:val="21"/>
                <w:highlight w:val="none"/>
              </w:rPr>
              <w:t>”</w:t>
            </w:r>
            <w:r>
              <w:rPr>
                <w:rFonts w:hint="eastAsia"/>
                <w:sz w:val="21"/>
                <w:szCs w:val="21"/>
                <w:highlight w:val="none"/>
              </w:rPr>
              <w:t xml:space="preserve">第 </w:t>
            </w:r>
            <w:r>
              <w:rPr>
                <w:sz w:val="21"/>
                <w:szCs w:val="21"/>
                <w:highlight w:val="none"/>
              </w:rPr>
              <w:t xml:space="preserve">1.11.3 </w:t>
            </w:r>
            <w:r>
              <w:rPr>
                <w:rFonts w:hint="eastAsia"/>
                <w:sz w:val="21"/>
                <w:szCs w:val="21"/>
                <w:highlight w:val="none"/>
              </w:rPr>
              <w:t>项规定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082" w:type="dxa"/>
            <w:gridSpan w:val="2"/>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674" w:right="666"/>
              <w:jc w:val="center"/>
              <w:textAlignment w:val="auto"/>
              <w:rPr>
                <w:b/>
                <w:sz w:val="21"/>
                <w:szCs w:val="21"/>
                <w:highlight w:val="none"/>
              </w:rPr>
            </w:pPr>
            <w:r>
              <w:rPr>
                <w:rFonts w:hint="eastAsia"/>
                <w:b/>
                <w:sz w:val="21"/>
                <w:szCs w:val="21"/>
                <w:highlight w:val="none"/>
              </w:rPr>
              <w:t>条款号</w:t>
            </w: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7" w:right="154"/>
              <w:jc w:val="center"/>
              <w:textAlignment w:val="auto"/>
              <w:rPr>
                <w:b/>
                <w:sz w:val="21"/>
                <w:szCs w:val="21"/>
                <w:highlight w:val="none"/>
              </w:rPr>
            </w:pPr>
            <w:r>
              <w:rPr>
                <w:rFonts w:hint="eastAsia"/>
                <w:b/>
                <w:sz w:val="21"/>
                <w:szCs w:val="21"/>
                <w:highlight w:val="none"/>
              </w:rPr>
              <w:t>价格调整因素</w:t>
            </w:r>
          </w:p>
        </w:tc>
        <w:tc>
          <w:tcPr>
            <w:tcW w:w="5009"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87" w:right="1678"/>
              <w:jc w:val="center"/>
              <w:textAlignment w:val="auto"/>
              <w:rPr>
                <w:b/>
                <w:sz w:val="21"/>
                <w:szCs w:val="21"/>
                <w:highlight w:val="none"/>
              </w:rPr>
            </w:pPr>
            <w:r>
              <w:rPr>
                <w:rFonts w:hint="eastAsia"/>
                <w:b/>
                <w:sz w:val="21"/>
                <w:szCs w:val="21"/>
                <w:highlight w:val="none"/>
              </w:rPr>
              <w:t>价格调整标准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0"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center"/>
              <w:textAlignment w:val="auto"/>
              <w:rPr>
                <w:rFonts w:ascii="Times New Roman"/>
                <w:sz w:val="21"/>
                <w:szCs w:val="21"/>
                <w:highlight w:val="none"/>
              </w:rPr>
            </w:pPr>
            <w:r>
              <w:rPr>
                <w:rFonts w:ascii="Times New Roman"/>
                <w:sz w:val="21"/>
                <w:szCs w:val="21"/>
                <w:highlight w:val="none"/>
              </w:rPr>
              <w:t>2.2</w:t>
            </w:r>
          </w:p>
        </w:tc>
        <w:tc>
          <w:tcPr>
            <w:tcW w:w="1382" w:type="dxa"/>
            <w:vMerge w:val="restart"/>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352" w:right="132" w:hanging="212"/>
              <w:jc w:val="center"/>
              <w:textAlignment w:val="auto"/>
              <w:rPr>
                <w:sz w:val="21"/>
                <w:szCs w:val="21"/>
                <w:highlight w:val="none"/>
              </w:rPr>
            </w:pPr>
            <w:r>
              <w:rPr>
                <w:rFonts w:hint="eastAsia"/>
                <w:sz w:val="21"/>
                <w:szCs w:val="21"/>
                <w:highlight w:val="none"/>
              </w:rPr>
              <w:t>详细评审标准</w:t>
            </w: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sz w:val="21"/>
                <w:szCs w:val="21"/>
                <w:highlight w:val="none"/>
              </w:rPr>
            </w:pPr>
            <w:r>
              <w:rPr>
                <w:rStyle w:val="8"/>
                <w:rFonts w:ascii="宋体" w:hAnsi="宋体" w:eastAsia="宋体" w:cs="宋体"/>
                <w:b w:val="0"/>
                <w:sz w:val="21"/>
                <w:szCs w:val="24"/>
              </w:rPr>
              <w:t>本项目不进行价格调整。</w:t>
            </w:r>
          </w:p>
        </w:tc>
        <w:tc>
          <w:tcPr>
            <w:tcW w:w="5009"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82" w:right="1678"/>
              <w:jc w:val="center"/>
              <w:textAlignment w:val="auto"/>
              <w:rPr>
                <w:rFonts w:hint="eastAsia" w:ascii="Times New Roman" w:hAnsi="Times New Roman" w:eastAsia="宋体"/>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0" w:type="dxa"/>
            <w:vMerge w:val="continue"/>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center"/>
              <w:textAlignment w:val="auto"/>
              <w:rPr>
                <w:rFonts w:ascii="Times New Roman"/>
                <w:sz w:val="21"/>
                <w:szCs w:val="21"/>
                <w:highlight w:val="none"/>
              </w:rPr>
            </w:pPr>
          </w:p>
        </w:tc>
        <w:tc>
          <w:tcPr>
            <w:tcW w:w="1382" w:type="dxa"/>
            <w:vMerge w:val="continue"/>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352" w:right="132" w:hanging="212"/>
              <w:jc w:val="center"/>
              <w:textAlignment w:val="auto"/>
              <w:rPr>
                <w:rFonts w:hint="eastAsia"/>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rStyle w:val="8"/>
                <w:rFonts w:ascii="宋体" w:hAnsi="宋体" w:eastAsia="宋体" w:cs="宋体"/>
                <w:b w:val="0"/>
                <w:sz w:val="21"/>
                <w:szCs w:val="24"/>
              </w:rPr>
            </w:pPr>
            <w:r>
              <w:rPr>
                <w:rStyle w:val="8"/>
                <w:rFonts w:hint="eastAsia" w:ascii="宋体" w:hAnsi="宋体" w:eastAsia="宋体" w:cs="宋体"/>
                <w:b w:val="0"/>
                <w:sz w:val="21"/>
                <w:szCs w:val="24"/>
              </w:rPr>
              <w:t>投标人未以低于成本报价竞标。</w:t>
            </w:r>
          </w:p>
        </w:tc>
        <w:tc>
          <w:tcPr>
            <w:tcW w:w="5009"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82" w:right="1678"/>
              <w:jc w:val="center"/>
              <w:textAlignment w:val="auto"/>
              <w:rPr>
                <w:rFonts w:hint="eastAsia" w:ascii="Times New Roman" w:hAnsi="Times New Roman" w:eastAsia="宋体"/>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0" w:type="dxa"/>
            <w:vMerge w:val="continue"/>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center"/>
              <w:textAlignment w:val="auto"/>
              <w:rPr>
                <w:rFonts w:ascii="Times New Roman"/>
                <w:sz w:val="21"/>
                <w:szCs w:val="21"/>
                <w:highlight w:val="none"/>
              </w:rPr>
            </w:pPr>
          </w:p>
        </w:tc>
        <w:tc>
          <w:tcPr>
            <w:tcW w:w="1382" w:type="dxa"/>
            <w:vMerge w:val="continue"/>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352" w:right="132" w:hanging="212"/>
              <w:jc w:val="center"/>
              <w:textAlignment w:val="auto"/>
              <w:rPr>
                <w:rFonts w:hint="eastAsia"/>
                <w:sz w:val="21"/>
                <w:szCs w:val="21"/>
                <w:highlight w:val="none"/>
              </w:rPr>
            </w:pPr>
          </w:p>
        </w:tc>
        <w:tc>
          <w:tcPr>
            <w:tcW w:w="2375" w:type="dxa"/>
            <w:tcBorders>
              <w:tl2br w:val="nil"/>
              <w:tr2bl w:val="nil"/>
            </w:tcBorders>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65" w:right="159"/>
              <w:jc w:val="center"/>
              <w:textAlignment w:val="auto"/>
              <w:rPr>
                <w:rStyle w:val="8"/>
                <w:rFonts w:hint="eastAsia" w:ascii="宋体" w:hAnsi="宋体" w:eastAsia="宋体" w:cs="宋体"/>
                <w:b w:val="0"/>
                <w:sz w:val="21"/>
                <w:szCs w:val="24"/>
              </w:rPr>
            </w:pPr>
            <w:r>
              <w:rPr>
                <w:rFonts w:ascii="宋体" w:hAnsi="宋体" w:eastAsia="宋体" w:cs="宋体"/>
                <w:b w:val="0"/>
                <w:kern w:val="2"/>
                <w:sz w:val="21"/>
                <w:szCs w:val="22"/>
                <w:highlight w:val="none"/>
                <w:lang w:val="en-US" w:eastAsia="zh-CN" w:bidi="ar-SA"/>
              </w:rPr>
              <w:t>中标候选人排序方法</w:t>
            </w:r>
          </w:p>
        </w:tc>
        <w:tc>
          <w:tcPr>
            <w:tcW w:w="5009" w:type="dxa"/>
            <w:tcBorders>
              <w:tl2br w:val="nil"/>
              <w:tr2bl w:val="nil"/>
            </w:tcBorders>
            <w:vAlign w:val="center"/>
          </w:tcPr>
          <w:p>
            <w:pPr>
              <w:widowControl w:val="0"/>
              <w:jc w:val="left"/>
              <w:rPr>
                <w:rFonts w:ascii="宋体" w:hAnsi="宋体" w:eastAsia="宋体" w:cs="宋体"/>
                <w:b w:val="0"/>
                <w:kern w:val="2"/>
                <w:sz w:val="21"/>
                <w:szCs w:val="22"/>
                <w:highlight w:val="none"/>
                <w:lang w:val="en-US" w:eastAsia="zh-CN" w:bidi="ar-SA"/>
              </w:rPr>
            </w:pPr>
            <w:r>
              <w:rPr>
                <w:rFonts w:ascii="宋体" w:hAnsi="宋体" w:eastAsia="宋体" w:cs="宋体"/>
                <w:b w:val="0"/>
                <w:kern w:val="2"/>
                <w:sz w:val="21"/>
                <w:szCs w:val="22"/>
                <w:highlight w:val="none"/>
                <w:lang w:val="en-US" w:eastAsia="zh-CN" w:bidi="ar-SA"/>
              </w:rPr>
              <w:t>经评审的投标价相等时，评标委员会依次按照以下优先顺序推荐中标候选人或确定中标人：</w:t>
            </w:r>
          </w:p>
          <w:p>
            <w:pPr>
              <w:widowControl w:val="0"/>
              <w:jc w:val="left"/>
              <w:rPr>
                <w:rFonts w:ascii="宋体" w:hAnsi="宋体" w:eastAsia="宋体" w:cs="宋体"/>
                <w:b w:val="0"/>
                <w:kern w:val="2"/>
                <w:sz w:val="21"/>
                <w:szCs w:val="22"/>
                <w:highlight w:val="none"/>
                <w:lang w:val="en-US" w:eastAsia="zh-CN" w:bidi="ar-SA"/>
              </w:rPr>
            </w:pPr>
            <w:r>
              <w:rPr>
                <w:rFonts w:ascii="宋体" w:hAnsi="宋体" w:eastAsia="宋体" w:cs="宋体"/>
                <w:b w:val="0"/>
                <w:kern w:val="2"/>
                <w:sz w:val="21"/>
                <w:szCs w:val="22"/>
                <w:highlight w:val="none"/>
                <w:lang w:val="en-US" w:eastAsia="zh-CN" w:bidi="ar-SA"/>
              </w:rPr>
              <w:t>（1）技术参数高的投标人优先；</w:t>
            </w:r>
          </w:p>
          <w:p>
            <w:pPr>
              <w:widowControl w:val="0"/>
              <w:jc w:val="left"/>
              <w:rPr>
                <w:rFonts w:ascii="宋体" w:hAnsi="宋体" w:eastAsia="宋体" w:cs="宋体"/>
                <w:b w:val="0"/>
                <w:kern w:val="2"/>
                <w:sz w:val="21"/>
                <w:szCs w:val="22"/>
                <w:highlight w:val="none"/>
                <w:lang w:val="en-US" w:eastAsia="zh-CN" w:bidi="ar-SA"/>
              </w:rPr>
            </w:pPr>
            <w:r>
              <w:rPr>
                <w:rFonts w:ascii="宋体" w:hAnsi="宋体" w:eastAsia="宋体" w:cs="宋体"/>
                <w:b w:val="0"/>
                <w:kern w:val="2"/>
                <w:sz w:val="21"/>
                <w:szCs w:val="22"/>
                <w:highlight w:val="none"/>
                <w:lang w:val="en-US" w:eastAsia="zh-CN" w:bidi="ar-SA"/>
              </w:rPr>
              <w:t>（2）备品备件多的投标人优先；</w:t>
            </w:r>
          </w:p>
          <w:p>
            <w:pPr>
              <w:pStyle w:val="11"/>
              <w:keepNext w:val="0"/>
              <w:keepLines w:val="0"/>
              <w:pageBreakBefore w:val="0"/>
              <w:widowControl w:val="0"/>
              <w:kinsoku/>
              <w:wordWrap/>
              <w:overflowPunct/>
              <w:topLinePunct w:val="0"/>
              <w:autoSpaceDE w:val="0"/>
              <w:autoSpaceDN w:val="0"/>
              <w:bidi w:val="0"/>
              <w:adjustRightInd/>
              <w:snapToGrid/>
              <w:spacing w:line="360" w:lineRule="exact"/>
              <w:ind w:right="1678"/>
              <w:jc w:val="both"/>
              <w:textAlignment w:val="auto"/>
              <w:rPr>
                <w:rFonts w:hint="eastAsia" w:ascii="Times New Roman" w:hAnsi="Times New Roman" w:eastAsia="宋体"/>
                <w:sz w:val="21"/>
                <w:szCs w:val="21"/>
                <w:highlight w:val="none"/>
                <w:lang w:val="en-US" w:eastAsia="zh-CN"/>
              </w:rPr>
            </w:pPr>
            <w:r>
              <w:rPr>
                <w:rFonts w:ascii="宋体" w:hAnsi="宋体" w:eastAsia="宋体" w:cs="宋体"/>
                <w:b w:val="0"/>
                <w:kern w:val="2"/>
                <w:sz w:val="21"/>
                <w:szCs w:val="22"/>
                <w:highlight w:val="none"/>
                <w:lang w:val="en-US" w:eastAsia="zh-CN" w:bidi="ar-SA"/>
              </w:rPr>
              <w:t>（3）随机摇号确定排序。</w:t>
            </w:r>
          </w:p>
        </w:tc>
      </w:tr>
    </w:tbl>
    <w:p>
      <w:pPr>
        <w:rPr>
          <w:rFonts w:hint="eastAsia"/>
          <w:color w:val="000080"/>
          <w:sz w:val="20"/>
          <w:highlight w:val="none"/>
        </w:rPr>
      </w:pPr>
    </w:p>
    <w:p>
      <w:pPr>
        <w:keepNext/>
        <w:keepLines/>
        <w:spacing w:before="260" w:after="260" w:line="440" w:lineRule="atLeast"/>
        <w:outlineLvl w:val="2"/>
        <w:rPr>
          <w:rFonts w:ascii="Times New Roman" w:hAnsi="Times New Roman" w:eastAsia="黑体"/>
          <w:b/>
          <w:color w:val="000000"/>
          <w:sz w:val="32"/>
          <w:szCs w:val="20"/>
          <w:highlight w:val="none"/>
        </w:rPr>
      </w:pPr>
      <w:r>
        <w:rPr>
          <w:rFonts w:ascii="Times New Roman" w:hAnsi="Times New Roman" w:eastAsia="黑体"/>
          <w:b/>
          <w:color w:val="000000"/>
          <w:sz w:val="32"/>
          <w:szCs w:val="20"/>
          <w:highlight w:val="none"/>
        </w:rPr>
        <w:t>1. 评标方法</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本次评标采用经评审的最低投标价法。评标委员会对满足招标文件实质性要求的投标文件，根据本章第2.2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pPr>
        <w:keepNext/>
        <w:keepLines/>
        <w:spacing w:before="260" w:after="260" w:line="440" w:lineRule="atLeast"/>
        <w:outlineLvl w:val="2"/>
        <w:rPr>
          <w:rFonts w:ascii="Times New Roman" w:hAnsi="Times New Roman" w:eastAsia="黑体"/>
          <w:b/>
          <w:color w:val="000000"/>
          <w:sz w:val="32"/>
          <w:szCs w:val="20"/>
          <w:highlight w:val="none"/>
        </w:rPr>
      </w:pPr>
      <w:r>
        <w:rPr>
          <w:rFonts w:ascii="Times New Roman" w:hAnsi="Times New Roman" w:eastAsia="黑体"/>
          <w:b/>
          <w:color w:val="000000"/>
          <w:sz w:val="32"/>
          <w:szCs w:val="20"/>
          <w:highlight w:val="none"/>
        </w:rPr>
        <w:t>2. 评审标准</w:t>
      </w:r>
    </w:p>
    <w:p>
      <w:pPr>
        <w:keepNext/>
        <w:keepLines/>
        <w:spacing w:before="260" w:after="260" w:line="440" w:lineRule="atLeast"/>
        <w:ind w:firstLine="137" w:firstLineChars="49"/>
        <w:outlineLvl w:val="3"/>
        <w:rPr>
          <w:rFonts w:ascii="Times New Roman" w:hAnsi="Times New Roman" w:eastAsia="黑体"/>
          <w:color w:val="000000"/>
          <w:sz w:val="28"/>
          <w:szCs w:val="20"/>
          <w:highlight w:val="none"/>
        </w:rPr>
      </w:pPr>
      <w:r>
        <w:rPr>
          <w:rFonts w:ascii="Times New Roman" w:hAnsi="Times New Roman" w:eastAsia="黑体"/>
          <w:color w:val="000000"/>
          <w:sz w:val="28"/>
          <w:szCs w:val="20"/>
          <w:highlight w:val="none"/>
        </w:rPr>
        <w:t>2.1 初步评审标准</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2.1.1 形式评审标准：见评标办法前附表。</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2.1.2 资格评审标准：见评标办法前附表。</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2.1.3 响应性评审标准：见评标办法前附表。</w:t>
      </w:r>
    </w:p>
    <w:p>
      <w:pPr>
        <w:keepNext/>
        <w:keepLines/>
        <w:spacing w:before="260" w:after="260" w:line="440" w:lineRule="atLeast"/>
        <w:ind w:firstLine="137" w:firstLineChars="49"/>
        <w:outlineLvl w:val="3"/>
        <w:rPr>
          <w:rFonts w:ascii="Times New Roman" w:hAnsi="Times New Roman" w:eastAsia="黑体"/>
          <w:color w:val="000000"/>
          <w:sz w:val="28"/>
          <w:szCs w:val="20"/>
          <w:highlight w:val="none"/>
        </w:rPr>
      </w:pPr>
      <w:r>
        <w:rPr>
          <w:rFonts w:ascii="Times New Roman" w:hAnsi="Times New Roman" w:eastAsia="黑体"/>
          <w:color w:val="000000"/>
          <w:sz w:val="28"/>
          <w:szCs w:val="20"/>
          <w:highlight w:val="none"/>
        </w:rPr>
        <w:t>2.2 详细评审标准</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详细评审标准：见评标办法前附表。</w:t>
      </w:r>
    </w:p>
    <w:p>
      <w:pPr>
        <w:keepNext/>
        <w:keepLines/>
        <w:spacing w:before="260" w:after="260" w:line="440" w:lineRule="atLeast"/>
        <w:outlineLvl w:val="2"/>
        <w:rPr>
          <w:rFonts w:ascii="Times New Roman" w:hAnsi="Times New Roman" w:eastAsia="黑体"/>
          <w:b/>
          <w:color w:val="000000"/>
          <w:sz w:val="32"/>
          <w:szCs w:val="20"/>
          <w:highlight w:val="none"/>
        </w:rPr>
      </w:pPr>
      <w:r>
        <w:rPr>
          <w:rFonts w:ascii="Times New Roman" w:hAnsi="Times New Roman" w:eastAsia="黑体"/>
          <w:b/>
          <w:color w:val="000000"/>
          <w:sz w:val="32"/>
          <w:szCs w:val="20"/>
          <w:highlight w:val="none"/>
        </w:rPr>
        <w:t>3. 评标程序</w:t>
      </w:r>
    </w:p>
    <w:p>
      <w:pPr>
        <w:keepNext/>
        <w:keepLines/>
        <w:spacing w:before="260" w:after="260" w:line="440" w:lineRule="atLeast"/>
        <w:ind w:firstLine="137" w:firstLineChars="49"/>
        <w:outlineLvl w:val="3"/>
        <w:rPr>
          <w:rFonts w:ascii="Times New Roman" w:hAnsi="Times New Roman" w:eastAsia="黑体"/>
          <w:color w:val="000000"/>
          <w:sz w:val="28"/>
          <w:szCs w:val="20"/>
          <w:highlight w:val="none"/>
        </w:rPr>
      </w:pPr>
      <w:r>
        <w:rPr>
          <w:rFonts w:ascii="Times New Roman" w:hAnsi="Times New Roman" w:eastAsia="黑体"/>
          <w:color w:val="000000"/>
          <w:sz w:val="28"/>
          <w:szCs w:val="20"/>
          <w:highlight w:val="none"/>
        </w:rPr>
        <w:t>3.1 初步评审</w:t>
      </w:r>
    </w:p>
    <w:p>
      <w:pPr>
        <w:spacing w:line="440" w:lineRule="atLeast"/>
        <w:ind w:firstLine="420" w:firstLineChars="200"/>
        <w:rPr>
          <w:rFonts w:ascii="Times New Roman" w:hAnsi="Times New Roman"/>
          <w:color w:val="000000"/>
          <w:highlight w:val="none"/>
        </w:rPr>
      </w:pPr>
      <w:r>
        <w:rPr>
          <w:rFonts w:hint="eastAsia" w:ascii="Times New Roman" w:hAnsi="Times New Roman"/>
          <w:color w:val="000000"/>
          <w:highlight w:val="none"/>
        </w:rPr>
        <w:t>*</w:t>
      </w:r>
      <w:r>
        <w:rPr>
          <w:rFonts w:ascii="Times New Roman" w:hAnsi="Times New Roman"/>
          <w:color w:val="000000"/>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40" w:lineRule="atLeast"/>
        <w:ind w:firstLine="420" w:firstLineChars="200"/>
        <w:rPr>
          <w:rFonts w:ascii="Times New Roman" w:hAnsi="Times New Roman"/>
          <w:color w:val="000000"/>
          <w:highlight w:val="none"/>
        </w:rPr>
      </w:pPr>
      <w:r>
        <w:rPr>
          <w:rFonts w:hint="eastAsia" w:ascii="Times New Roman" w:hAnsi="Times New Roman"/>
          <w:color w:val="000000"/>
          <w:highlight w:val="none"/>
        </w:rPr>
        <w:t>*</w:t>
      </w:r>
      <w:r>
        <w:rPr>
          <w:rFonts w:ascii="Times New Roman" w:hAnsi="Times New Roman"/>
          <w:color w:val="000000"/>
          <w:highlight w:val="none"/>
        </w:rPr>
        <w:t>3.1.2 投标人有以下情形之一的，评标委员会应当否决其投标：</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（1）投标文件没有对招标文件的实质性要求和条件作出响应，或者对招标文件的偏差超出招标文件规定的偏差范围或最高项数；</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（2）有串通投标、弄虚作假、行贿等违法行为。</w:t>
      </w:r>
    </w:p>
    <w:p>
      <w:pPr>
        <w:spacing w:line="440" w:lineRule="atLeast"/>
        <w:ind w:firstLine="420" w:firstLineChars="200"/>
        <w:rPr>
          <w:rFonts w:ascii="Times New Roman" w:hAnsi="Times New Roman"/>
          <w:color w:val="000000"/>
          <w:highlight w:val="none"/>
        </w:rPr>
      </w:pPr>
      <w:r>
        <w:rPr>
          <w:rFonts w:hint="eastAsia" w:ascii="Times New Roman" w:hAnsi="Times New Roman"/>
          <w:color w:val="000000"/>
          <w:highlight w:val="none"/>
        </w:rPr>
        <w:t>*</w:t>
      </w:r>
      <w:r>
        <w:rPr>
          <w:rFonts w:ascii="Times New Roman" w:hAnsi="Times New Roman"/>
          <w:color w:val="000000"/>
          <w:highlight w:val="none"/>
        </w:rPr>
        <w:t>3.1.3 投标报价有算术错误及其他错误的，评标委员会按以下原则对投标报价进行修正，并要求投标人书面澄清确认。投标人拒不澄清确认的，评标委员会应当否决其投标：</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（1）投标文件中的大写金额与小写金额不一致的，以大写金额为准；</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（2）总价金额与单价金额不一致的，以单价金额为准，但单价金额小数点有明显错误的除外；</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（3）投标报价为各分项报价金额之和，投标报价与分项报价的合价不一致的，应以各分项合价累计数为准，修正投标报价；</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（4）如果分项报价中存在缺漏项，则视为缺漏项价格已包含在其他分项报价之中。</w:t>
      </w:r>
    </w:p>
    <w:p>
      <w:pPr>
        <w:keepNext/>
        <w:keepLines/>
        <w:spacing w:before="260" w:after="260" w:line="440" w:lineRule="atLeast"/>
        <w:ind w:firstLine="137" w:firstLineChars="49"/>
        <w:outlineLvl w:val="3"/>
        <w:rPr>
          <w:rFonts w:ascii="Times New Roman" w:hAnsi="Times New Roman" w:eastAsia="黑体"/>
          <w:color w:val="000000"/>
          <w:sz w:val="28"/>
          <w:szCs w:val="20"/>
          <w:highlight w:val="none"/>
        </w:rPr>
      </w:pPr>
      <w:r>
        <w:rPr>
          <w:rFonts w:ascii="Times New Roman" w:hAnsi="Times New Roman" w:eastAsia="黑体"/>
          <w:color w:val="000000"/>
          <w:sz w:val="28"/>
          <w:szCs w:val="20"/>
          <w:highlight w:val="none"/>
        </w:rPr>
        <w:t>3.2 详细评审</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3.2.1 评标委员会按本章第2.2款规定的评标价格调整方法进行必要的价格调整，并编制“标价比较表”。</w:t>
      </w:r>
    </w:p>
    <w:p>
      <w:pPr>
        <w:spacing w:line="440" w:lineRule="atLeast"/>
        <w:ind w:firstLine="420" w:firstLineChars="200"/>
        <w:rPr>
          <w:rFonts w:ascii="Times New Roman" w:hAnsi="Times New Roman"/>
          <w:color w:val="000000"/>
          <w:highlight w:val="none"/>
        </w:rPr>
      </w:pPr>
      <w:r>
        <w:rPr>
          <w:rFonts w:hint="eastAsia" w:ascii="Times New Roman" w:hAnsi="Times New Roman"/>
          <w:color w:val="000000"/>
          <w:highlight w:val="none"/>
        </w:rPr>
        <w:t>*</w:t>
      </w:r>
      <w:r>
        <w:rPr>
          <w:rFonts w:ascii="Times New Roman" w:hAnsi="Times New Roman"/>
          <w:color w:val="000000"/>
          <w:highlight w:val="none"/>
        </w:rPr>
        <w:t>3.2.2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pPr>
        <w:keepNext/>
        <w:keepLines/>
        <w:spacing w:before="260" w:after="260" w:line="440" w:lineRule="atLeast"/>
        <w:ind w:firstLine="137" w:firstLineChars="49"/>
        <w:outlineLvl w:val="3"/>
        <w:rPr>
          <w:rFonts w:ascii="Times New Roman" w:hAnsi="Times New Roman" w:eastAsia="黑体"/>
          <w:color w:val="000000"/>
          <w:sz w:val="28"/>
          <w:szCs w:val="20"/>
          <w:highlight w:val="none"/>
        </w:rPr>
      </w:pPr>
      <w:r>
        <w:rPr>
          <w:rFonts w:ascii="Times New Roman" w:hAnsi="Times New Roman" w:eastAsia="黑体"/>
          <w:color w:val="000000"/>
          <w:sz w:val="28"/>
          <w:szCs w:val="20"/>
          <w:highlight w:val="none"/>
        </w:rPr>
        <w:t>3.3 投标文件的澄清</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3.3.1 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3.3.2 澄清、说明或补正不得超出投标文件的范围且不得改变投标文件的实质性内容，并构成投标文件的组成部分。</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3.3.3 评标委员会对投标人提交的澄清、说明或补正有疑问的，可以要求投标人进一步澄清、说明或补正，直至满足评标委员会的要求。</w:t>
      </w:r>
    </w:p>
    <w:p>
      <w:pPr>
        <w:keepNext/>
        <w:keepLines/>
        <w:spacing w:before="260" w:after="260" w:line="440" w:lineRule="atLeast"/>
        <w:ind w:firstLine="137" w:firstLineChars="49"/>
        <w:outlineLvl w:val="3"/>
        <w:rPr>
          <w:rFonts w:ascii="Times New Roman" w:hAnsi="Times New Roman" w:eastAsia="黑体"/>
          <w:color w:val="000000"/>
          <w:sz w:val="28"/>
          <w:szCs w:val="20"/>
          <w:highlight w:val="none"/>
        </w:rPr>
      </w:pPr>
      <w:r>
        <w:rPr>
          <w:rFonts w:ascii="Times New Roman" w:hAnsi="Times New Roman" w:eastAsia="黑体"/>
          <w:color w:val="000000"/>
          <w:sz w:val="28"/>
          <w:szCs w:val="20"/>
          <w:highlight w:val="none"/>
        </w:rPr>
        <w:t>3.4 评标结果</w:t>
      </w:r>
    </w:p>
    <w:p>
      <w:pPr>
        <w:spacing w:line="440" w:lineRule="atLeast"/>
        <w:ind w:firstLine="420" w:firstLineChars="200"/>
        <w:rPr>
          <w:rFonts w:ascii="Times New Roman" w:hAnsi="Times New Roman"/>
          <w:color w:val="000000"/>
          <w:highlight w:val="none"/>
        </w:rPr>
      </w:pPr>
      <w:r>
        <w:rPr>
          <w:rFonts w:ascii="Times New Roman" w:hAnsi="Times New Roman"/>
          <w:color w:val="000000"/>
          <w:highlight w:val="none"/>
        </w:rPr>
        <w:t>3.4.1 除第二章“投标人须知”前附表授权直接确定中标人外，评标委员会按照经评审的价格由低到高的顺序推荐中标候选人，并标明排序。</w:t>
      </w:r>
    </w:p>
    <w:p>
      <w:pPr>
        <w:spacing w:line="440" w:lineRule="atLeast"/>
        <w:ind w:firstLine="420" w:firstLineChars="200"/>
        <w:rPr>
          <w:rFonts w:hint="eastAsia" w:ascii="Times New Roman" w:hAnsi="Times New Roman"/>
          <w:color w:val="000000"/>
          <w:highlight w:val="none"/>
        </w:rPr>
      </w:pPr>
      <w:r>
        <w:rPr>
          <w:rFonts w:ascii="Times New Roman" w:hAnsi="Times New Roman"/>
          <w:color w:val="000000"/>
          <w:highlight w:val="none"/>
        </w:rPr>
        <w:t>3.4.2 评标委员会完成评标后，应当向招标人提交书面评标报告和中标候选人名单。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5"/>
        <w:rPr>
          <w:rFonts w:ascii="黑体" w:hAnsi="黑体" w:eastAsia="黑体" w:cs="黑体"/>
        </w:rPr>
      </w:pPr>
      <w:r>
        <w:rPr>
          <w:rStyle w:val="9"/>
          <w:rFonts w:ascii="黑体" w:hAnsi="黑体" w:eastAsia="黑体" w:cs="黑体"/>
        </w:rPr>
        <w:footnoteRef/>
      </w:r>
      <w:r>
        <w:rPr>
          <w:rFonts w:hint="eastAsia" w:ascii="黑体" w:hAnsi="黑体" w:eastAsia="黑体" w:cs="黑体"/>
        </w:rPr>
        <w:t xml:space="preserve"> 单位负责人，是指单位法定代表人或者法律、行政法规规定代表单位行使职权的主要负责人。（招标文件中所列“单位负责人”均作本条解释）</w:t>
      </w:r>
    </w:p>
  </w:footnote>
  <w:footnote w:id="1">
    <w:p>
      <w:pPr>
        <w:pStyle w:val="5"/>
        <w:rPr>
          <w:rFonts w:ascii="黑体" w:hAnsi="黑体" w:eastAsia="黑体" w:cs="黑体"/>
        </w:rPr>
      </w:pPr>
      <w:r>
        <w:rPr>
          <w:rStyle w:val="9"/>
          <w:rFonts w:ascii="黑体" w:hAnsi="黑体" w:eastAsia="黑体" w:cs="黑体"/>
        </w:rPr>
        <w:footnoteRef/>
      </w:r>
      <w:r>
        <w:rPr>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2">
    <w:p>
      <w:pPr>
        <w:pStyle w:val="5"/>
        <w:rPr>
          <w:rFonts w:ascii="华文新魏" w:hAnsi="黑体" w:eastAsia="华文新魏" w:cs="黑体"/>
        </w:rPr>
      </w:pPr>
      <w:r>
        <w:rPr>
          <w:rStyle w:val="9"/>
          <w:rFonts w:ascii="黑体" w:hAnsi="黑体" w:eastAsia="黑体" w:cs="黑体"/>
        </w:rPr>
        <w:footnoteRef/>
      </w:r>
      <w:r>
        <w:rPr>
          <w:rFonts w:hint="eastAsia" w:ascii="黑体" w:hAnsi="黑体" w:eastAsia="黑体" w:cs="黑体"/>
        </w:rPr>
        <w:t xml:space="preserve"> 管理，是指不具有出资持股关系的其他单位之间存在的管理与被管理关系。（招标文件中所列“管理”均作本条解释）</w:t>
      </w:r>
    </w:p>
  </w:footnote>
  <w:footnote w:id="3">
    <w:p>
      <w:pPr>
        <w:pStyle w:val="5"/>
        <w:spacing w:line="320" w:lineRule="atLeast"/>
        <w:ind w:left="180" w:hanging="180" w:hangingChars="100"/>
        <w:jc w:val="both"/>
      </w:pPr>
      <w:r>
        <w:rPr>
          <w:rStyle w:val="9"/>
        </w:rPr>
        <w:footnoteRef/>
      </w:r>
      <w:r>
        <w:rPr>
          <w:rFonts w:hint="eastAsia" w:ascii="黑体" w:hAnsi="黑体" w:eastAsia="黑体"/>
        </w:rPr>
        <w:t>本款适用于在有关公共资源交易网下载/获取招标文件的项目。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ZTU5OTk4ZjZkMGZlMTAyYTQyNjQ5MjQ3ODM3MzUifQ=="/>
  </w:docVars>
  <w:rsids>
    <w:rsidRoot w:val="48CA52F7"/>
    <w:rsid w:val="08F4506E"/>
    <w:rsid w:val="17D7369E"/>
    <w:rsid w:val="3AF844FA"/>
    <w:rsid w:val="46D12F87"/>
    <w:rsid w:val="48CA52F7"/>
    <w:rsid w:val="50003EEE"/>
    <w:rsid w:val="60E738C8"/>
    <w:rsid w:val="66D61DBA"/>
    <w:rsid w:val="6E20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Normal Indent"/>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5">
    <w:name w:val="footnote text"/>
    <w:basedOn w:val="1"/>
    <w:unhideWhenUsed/>
    <w:qFormat/>
    <w:uiPriority w:val="0"/>
    <w:pPr>
      <w:snapToGrid w:val="0"/>
      <w:jc w:val="left"/>
    </w:pPr>
    <w:rPr>
      <w:rFonts w:ascii="Calibri" w:hAnsi="Calibri" w:eastAsia="宋体" w:cs="Times New Roman"/>
      <w:sz w:val="18"/>
      <w:szCs w:val="18"/>
    </w:rPr>
  </w:style>
  <w:style w:type="paragraph" w:styleId="6">
    <w:name w:val="Title"/>
    <w:basedOn w:val="1"/>
    <w:qFormat/>
    <w:uiPriority w:val="0"/>
    <w:pPr>
      <w:adjustRightInd w:val="0"/>
      <w:spacing w:before="240" w:after="60" w:line="420" w:lineRule="atLeast"/>
      <w:jc w:val="center"/>
      <w:textAlignment w:val="baseline"/>
      <w:outlineLvl w:val="0"/>
    </w:pPr>
    <w:rPr>
      <w:rFonts w:ascii="Arial" w:hAnsi="Arial" w:eastAsia="黑体" w:cs="Times New Roman"/>
      <w:b/>
      <w:kern w:val="0"/>
      <w:sz w:val="56"/>
      <w:szCs w:val="20"/>
    </w:rPr>
  </w:style>
  <w:style w:type="character" w:styleId="9">
    <w:name w:val="footnote reference"/>
    <w:unhideWhenUsed/>
    <w:qFormat/>
    <w:uiPriority w:val="0"/>
    <w:rPr>
      <w:vertAlign w:val="superscript"/>
    </w:rPr>
  </w:style>
  <w:style w:type="paragraph" w:customStyle="1" w:styleId="10">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rPr>
  </w:style>
  <w:style w:type="paragraph" w:customStyle="1" w:styleId="1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7595</Words>
  <Characters>8579</Characters>
  <Lines>0</Lines>
  <Paragraphs>0</Paragraphs>
  <TotalTime>3</TotalTime>
  <ScaleCrop>false</ScaleCrop>
  <LinksUpToDate>false</LinksUpToDate>
  <CharactersWithSpaces>8874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2022-07-20T06:38:00Z</dcterms:created>
  <dc:creator>匡不出来</dc:creator>
  <cp:lastModifiedBy>匡不出来</cp:lastModifiedBy>
  <dcterms:modified xsi:type="dcterms:W3CDTF">2022-07-21T06:53:09Z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5204ABD1066B4E50843600C1B2628C8C</vt:lpwstr>
  </property>
</Properties>
</file>