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40" w:lineRule="exact"/>
        <w:jc w:val="center"/>
        <w:outlineLvl w:val="2"/>
        <w:rPr>
          <w:rStyle w:val="3"/>
          <w:rFonts w:hint="eastAsia" w:ascii="Times New Roman" w:hAnsi="Times New Roman" w:eastAsia="黑体"/>
          <w:sz w:val="28"/>
          <w:szCs w:val="28"/>
        </w:rPr>
      </w:pPr>
      <w:r>
        <w:rPr>
          <w:rStyle w:val="3"/>
          <w:rFonts w:hint="eastAsia" w:ascii="Times New Roman" w:hAnsi="Times New Roman" w:eastAsia="黑体"/>
          <w:sz w:val="28"/>
          <w:szCs w:val="28"/>
        </w:rPr>
        <w:t>G59呼北高速张家界至官庄段</w:t>
      </w:r>
      <w:bookmarkStart w:id="0" w:name="EB7cfaeae6b9734fdfa24427211f0e51c0_0"/>
      <w:r>
        <w:rPr>
          <w:rStyle w:val="3"/>
          <w:rFonts w:hint="eastAsia" w:ascii="Times New Roman" w:hAnsi="Times New Roman" w:eastAsia="黑体"/>
          <w:sz w:val="28"/>
          <w:szCs w:val="28"/>
        </w:rPr>
        <w:t>洞庭溪沅水特大桥</w:t>
      </w:r>
    </w:p>
    <w:p>
      <w:pPr>
        <w:pStyle w:val="5"/>
        <w:spacing w:line="440" w:lineRule="exact"/>
        <w:jc w:val="center"/>
        <w:outlineLvl w:val="2"/>
        <w:rPr>
          <w:rStyle w:val="3"/>
          <w:rFonts w:eastAsia="黑体"/>
          <w:sz w:val="28"/>
          <w:szCs w:val="28"/>
        </w:rPr>
      </w:pPr>
      <w:r>
        <w:rPr>
          <w:rStyle w:val="3"/>
          <w:rFonts w:hint="eastAsia" w:ascii="Times New Roman" w:hAnsi="Calibri" w:eastAsia="黑体"/>
          <w:sz w:val="28"/>
          <w:szCs w:val="28"/>
        </w:rPr>
        <w:t>第</w:t>
      </w:r>
      <w:bookmarkEnd w:id="0"/>
      <w:r>
        <w:rPr>
          <w:rStyle w:val="3"/>
          <w:rFonts w:hint="eastAsia" w:ascii="Times New Roman" w:hAnsi="Calibri" w:eastAsia="黑体"/>
          <w:sz w:val="28"/>
          <w:szCs w:val="28"/>
        </w:rPr>
        <w:t>JL</w:t>
      </w:r>
      <w:r>
        <w:rPr>
          <w:rStyle w:val="3"/>
          <w:rFonts w:hint="eastAsia" w:ascii="Calibri" w:hAnsi="Calibri" w:eastAsia="黑体"/>
          <w:sz w:val="28"/>
          <w:szCs w:val="28"/>
        </w:rPr>
        <w:t>标段施工监理招标公告</w:t>
      </w:r>
    </w:p>
    <w:p>
      <w:pPr>
        <w:pStyle w:val="6"/>
        <w:spacing w:line="440" w:lineRule="exact"/>
        <w:jc w:val="center"/>
        <w:outlineLvl w:val="2"/>
        <w:rPr>
          <w:rStyle w:val="3"/>
          <w:rFonts w:eastAsia="黑体"/>
          <w:sz w:val="20"/>
          <w:szCs w:val="20"/>
        </w:rPr>
      </w:pPr>
      <w:r>
        <w:rPr>
          <w:rStyle w:val="3"/>
          <w:rFonts w:eastAsia="黑体"/>
          <w:sz w:val="20"/>
          <w:szCs w:val="20"/>
        </w:rPr>
        <w:t xml:space="preserve">               </w:t>
      </w:r>
    </w:p>
    <w:p>
      <w:pPr>
        <w:pStyle w:val="6"/>
        <w:keepNext/>
        <w:keepLines/>
        <w:spacing w:before="240" w:after="240" w:line="240" w:lineRule="atLeast"/>
        <w:outlineLvl w:val="2"/>
        <w:rPr>
          <w:rStyle w:val="3"/>
          <w:b/>
          <w:bCs/>
          <w:kern w:val="44"/>
          <w:sz w:val="28"/>
          <w:szCs w:val="28"/>
        </w:rPr>
      </w:pPr>
      <w:bookmarkStart w:id="1" w:name="_Toc503235714"/>
      <w:bookmarkStart w:id="2" w:name="_Toc256000002"/>
      <w:bookmarkStart w:id="3" w:name="_Toc510015649"/>
      <w:r>
        <w:rPr>
          <w:rStyle w:val="3"/>
          <w:b/>
          <w:bCs/>
          <w:kern w:val="44"/>
          <w:sz w:val="28"/>
          <w:szCs w:val="28"/>
        </w:rPr>
        <w:t xml:space="preserve">1. </w:t>
      </w:r>
      <w:r>
        <w:rPr>
          <w:rStyle w:val="3"/>
          <w:rFonts w:hint="eastAsia" w:eastAsia="黑体"/>
          <w:b/>
          <w:bCs/>
          <w:kern w:val="44"/>
          <w:sz w:val="28"/>
          <w:szCs w:val="28"/>
        </w:rPr>
        <w:t>招标条件</w:t>
      </w:r>
      <w:bookmarkEnd w:id="1"/>
      <w:bookmarkEnd w:id="2"/>
      <w:bookmarkEnd w:id="3"/>
    </w:p>
    <w:p>
      <w:pPr>
        <w:pStyle w:val="7"/>
        <w:spacing w:line="400" w:lineRule="exact"/>
        <w:ind w:firstLine="480" w:firstLineChars="200"/>
        <w:outlineLvl w:val="2"/>
        <w:rPr>
          <w:rStyle w:val="3"/>
          <w:sz w:val="24"/>
          <w:szCs w:val="24"/>
        </w:rPr>
      </w:pPr>
      <w:r>
        <w:rPr>
          <w:rStyle w:val="3"/>
          <w:rFonts w:hint="eastAsia"/>
          <w:sz w:val="24"/>
          <w:szCs w:val="24"/>
        </w:rPr>
        <w:t>本招标项目</w:t>
      </w:r>
      <w:r>
        <w:rPr>
          <w:rStyle w:val="3"/>
          <w:sz w:val="24"/>
          <w:szCs w:val="24"/>
          <w:u w:val="single"/>
        </w:rPr>
        <w:t xml:space="preserve"> </w:t>
      </w:r>
      <w:r>
        <w:rPr>
          <w:rStyle w:val="3"/>
          <w:rFonts w:hint="eastAsia" w:ascii="宋体" w:hAnsi="宋体" w:cs="宋体"/>
          <w:sz w:val="24"/>
          <w:u w:val="single"/>
        </w:rPr>
        <w:t>G59呼北高速张家界至官庄段（简称“张官高速”）</w:t>
      </w:r>
      <w:r>
        <w:rPr>
          <w:rStyle w:val="3"/>
          <w:sz w:val="24"/>
          <w:szCs w:val="24"/>
          <w:u w:val="single"/>
        </w:rPr>
        <w:t xml:space="preserve">              </w:t>
      </w:r>
      <w:r>
        <w:rPr>
          <w:rStyle w:val="3"/>
          <w:rFonts w:hint="eastAsia"/>
          <w:sz w:val="24"/>
          <w:szCs w:val="24"/>
        </w:rPr>
        <w:t>（项目名称）已由</w:t>
      </w:r>
      <w:r>
        <w:rPr>
          <w:rStyle w:val="3"/>
          <w:rFonts w:hint="eastAsia"/>
          <w:sz w:val="24"/>
          <w:szCs w:val="24"/>
          <w:u w:val="single"/>
        </w:rPr>
        <w:t xml:space="preserve"> </w:t>
      </w:r>
      <w:r>
        <w:rPr>
          <w:rStyle w:val="3"/>
          <w:rFonts w:hint="eastAsia" w:ascii="宋体" w:hAnsi="宋体" w:cs="宋体"/>
          <w:sz w:val="24"/>
          <w:u w:val="single"/>
        </w:rPr>
        <w:t>湖南省发展和改革委员会</w:t>
      </w:r>
      <w:r>
        <w:rPr>
          <w:rStyle w:val="3"/>
          <w:sz w:val="24"/>
          <w:szCs w:val="24"/>
          <w:u w:val="single"/>
        </w:rPr>
        <w:t xml:space="preserve"> </w:t>
      </w:r>
      <w:r>
        <w:rPr>
          <w:rStyle w:val="3"/>
          <w:rFonts w:hint="eastAsia"/>
          <w:sz w:val="24"/>
          <w:szCs w:val="24"/>
        </w:rPr>
        <w:t>（项目审批、核准或备案机关名称）以</w:t>
      </w:r>
      <w:r>
        <w:rPr>
          <w:rStyle w:val="3"/>
          <w:rFonts w:hint="eastAsia" w:ascii="宋体" w:hAnsi="宋体" w:cs="宋体"/>
          <w:sz w:val="24"/>
          <w:u w:val="single"/>
        </w:rPr>
        <w:t>湘发改基础〔2020〕564号</w:t>
      </w:r>
      <w:r>
        <w:rPr>
          <w:rStyle w:val="3"/>
          <w:sz w:val="24"/>
          <w:szCs w:val="24"/>
          <w:u w:val="single"/>
        </w:rPr>
        <w:t xml:space="preserve"> </w:t>
      </w:r>
      <w:r>
        <w:rPr>
          <w:rStyle w:val="3"/>
          <w:rFonts w:hint="eastAsia"/>
          <w:sz w:val="24"/>
          <w:szCs w:val="24"/>
        </w:rPr>
        <w:t>（批文名称及编号）批准建设，初步设计已由</w:t>
      </w:r>
      <w:r>
        <w:rPr>
          <w:rStyle w:val="3"/>
          <w:rFonts w:hint="eastAsia"/>
          <w:sz w:val="24"/>
          <w:szCs w:val="24"/>
          <w:u w:val="single"/>
        </w:rPr>
        <w:t>交通运输部</w:t>
      </w:r>
      <w:r>
        <w:rPr>
          <w:rStyle w:val="3"/>
          <w:rFonts w:hint="eastAsia"/>
          <w:sz w:val="24"/>
          <w:szCs w:val="24"/>
        </w:rPr>
        <w:t>（批准机关名称）以</w:t>
      </w:r>
      <w:r>
        <w:rPr>
          <w:rStyle w:val="3"/>
          <w:rFonts w:hint="eastAsia"/>
          <w:sz w:val="24"/>
          <w:szCs w:val="24"/>
          <w:u w:val="single"/>
        </w:rPr>
        <w:t>〔2020</w:t>
      </w:r>
      <w:bookmarkStart w:id="4" w:name="EB2fb3d77be9254edcb8505ad01e0f63b9"/>
      <w:r>
        <w:rPr>
          <w:rStyle w:val="3"/>
          <w:rFonts w:hint="eastAsia"/>
          <w:sz w:val="24"/>
          <w:szCs w:val="24"/>
          <w:u w:val="single"/>
        </w:rPr>
        <w:t>〕922</w:t>
      </w:r>
      <w:r>
        <w:rPr>
          <w:rStyle w:val="3"/>
          <w:rFonts w:hint="eastAsia" w:ascii="宋体" w:hAnsi="宋体" w:cs="宋体"/>
          <w:sz w:val="24"/>
          <w:u w:val="single"/>
        </w:rPr>
        <w:t>号</w:t>
      </w:r>
      <w:bookmarkEnd w:id="4"/>
      <w:r>
        <w:rPr>
          <w:rStyle w:val="3"/>
          <w:rFonts w:hint="eastAsia"/>
          <w:sz w:val="24"/>
          <w:szCs w:val="24"/>
        </w:rPr>
        <w:t>（批文名称及编号）批准，项目业主为</w:t>
      </w:r>
      <w:r>
        <w:rPr>
          <w:rStyle w:val="3"/>
          <w:sz w:val="24"/>
          <w:szCs w:val="24"/>
          <w:u w:val="single"/>
        </w:rPr>
        <w:t xml:space="preserve"> </w:t>
      </w:r>
      <w:r>
        <w:rPr>
          <w:rStyle w:val="3"/>
          <w:rFonts w:hint="eastAsia" w:ascii="宋体" w:hAnsi="宋体" w:cs="宋体"/>
          <w:sz w:val="24"/>
          <w:u w:val="single"/>
        </w:rPr>
        <w:t>湖南省新新张官高速公路建设开发有限公司</w:t>
      </w:r>
      <w:r>
        <w:rPr>
          <w:rStyle w:val="3"/>
          <w:sz w:val="24"/>
          <w:szCs w:val="24"/>
          <w:u w:val="single"/>
        </w:rPr>
        <w:t xml:space="preserve"> </w:t>
      </w:r>
      <w:r>
        <w:rPr>
          <w:rStyle w:val="3"/>
          <w:rFonts w:hint="eastAsia"/>
          <w:sz w:val="24"/>
          <w:szCs w:val="24"/>
        </w:rPr>
        <w:t>，建设资金来自</w:t>
      </w:r>
      <w:r>
        <w:rPr>
          <w:rStyle w:val="3"/>
          <w:rFonts w:hint="eastAsia"/>
          <w:sz w:val="24"/>
          <w:szCs w:val="24"/>
          <w:u w:val="single"/>
        </w:rPr>
        <w:t>政府补助、建设单位自筹及银行贷款</w:t>
      </w:r>
      <w:r>
        <w:rPr>
          <w:rStyle w:val="3"/>
          <w:sz w:val="24"/>
          <w:szCs w:val="24"/>
          <w:u w:val="single"/>
        </w:rPr>
        <w:t xml:space="preserve"> </w:t>
      </w:r>
      <w:r>
        <w:rPr>
          <w:rStyle w:val="3"/>
          <w:rFonts w:hint="eastAsia"/>
          <w:sz w:val="24"/>
          <w:szCs w:val="24"/>
        </w:rPr>
        <w:t>（资金来源），招标人为</w:t>
      </w:r>
      <w:r>
        <w:rPr>
          <w:rStyle w:val="3"/>
          <w:sz w:val="24"/>
          <w:szCs w:val="24"/>
          <w:u w:val="single"/>
        </w:rPr>
        <w:t xml:space="preserve"> </w:t>
      </w:r>
      <w:r>
        <w:rPr>
          <w:rStyle w:val="3"/>
          <w:rFonts w:hint="eastAsia" w:ascii="宋体" w:hAnsi="宋体" w:cs="宋体"/>
          <w:sz w:val="24"/>
          <w:u w:val="single"/>
        </w:rPr>
        <w:t>湖南省新新张官高速公路建设开发有限公司</w:t>
      </w:r>
      <w:r>
        <w:rPr>
          <w:rStyle w:val="3"/>
          <w:rFonts w:hint="eastAsia"/>
          <w:sz w:val="24"/>
          <w:szCs w:val="24"/>
        </w:rPr>
        <w:t>。项目已具备招标条件，现对该项目第JL标段</w:t>
      </w:r>
      <w:r>
        <w:rPr>
          <w:rStyle w:val="3"/>
          <w:rFonts w:hint="eastAsia" w:ascii="Calibri" w:hAnsi="Calibri"/>
          <w:sz w:val="24"/>
          <w:szCs w:val="24"/>
        </w:rPr>
        <w:t>(</w:t>
      </w:r>
      <w:r>
        <w:rPr>
          <w:rStyle w:val="3"/>
          <w:rFonts w:hint="eastAsia"/>
        </w:rPr>
        <w:t>K54+721.5</w:t>
      </w:r>
      <w:r>
        <w:rPr>
          <w:rStyle w:val="3"/>
          <w:rFonts w:hint="eastAsia" w:ascii="Calibri" w:hAnsi="Calibri"/>
          <w:sz w:val="24"/>
          <w:szCs w:val="24"/>
        </w:rPr>
        <w:t>-</w:t>
      </w:r>
      <w:r>
        <w:rPr>
          <w:rStyle w:val="3"/>
          <w:rFonts w:hint="eastAsia"/>
        </w:rPr>
        <w:t>K56+428.5</w:t>
      </w:r>
      <w:r>
        <w:rPr>
          <w:rStyle w:val="3"/>
          <w:rFonts w:hint="eastAsia" w:ascii="Calibri" w:hAnsi="Calibri"/>
          <w:sz w:val="24"/>
          <w:szCs w:val="24"/>
        </w:rPr>
        <w:t>)</w:t>
      </w:r>
      <w:r>
        <w:rPr>
          <w:rStyle w:val="3"/>
          <w:rFonts w:hint="eastAsia"/>
          <w:sz w:val="24"/>
          <w:szCs w:val="24"/>
        </w:rPr>
        <w:t>的工程施工监理进行公开招标。</w:t>
      </w:r>
      <w:r>
        <w:rPr>
          <w:rStyle w:val="3"/>
          <w:sz w:val="24"/>
          <w:szCs w:val="24"/>
        </w:rPr>
        <w:t xml:space="preserve"> </w:t>
      </w:r>
    </w:p>
    <w:p>
      <w:pPr>
        <w:pStyle w:val="6"/>
        <w:keepNext/>
        <w:keepLines/>
        <w:spacing w:before="240" w:after="240" w:line="240" w:lineRule="atLeast"/>
        <w:outlineLvl w:val="2"/>
        <w:rPr>
          <w:rStyle w:val="3"/>
          <w:rFonts w:eastAsia="黑体"/>
          <w:b/>
          <w:bCs/>
          <w:kern w:val="44"/>
          <w:sz w:val="28"/>
          <w:szCs w:val="28"/>
        </w:rPr>
      </w:pPr>
      <w:bookmarkStart w:id="5" w:name="_Toc256000003"/>
      <w:bookmarkStart w:id="6" w:name="_Toc503235715"/>
      <w:bookmarkStart w:id="7" w:name="_Toc510015650"/>
      <w:r>
        <w:rPr>
          <w:rStyle w:val="3"/>
          <w:rFonts w:eastAsia="黑体"/>
          <w:b/>
          <w:bCs/>
          <w:kern w:val="44"/>
          <w:sz w:val="28"/>
          <w:szCs w:val="28"/>
        </w:rPr>
        <w:t xml:space="preserve">2. </w:t>
      </w:r>
      <w:r>
        <w:rPr>
          <w:rStyle w:val="3"/>
          <w:rFonts w:hint="eastAsia" w:eastAsia="黑体"/>
          <w:b/>
          <w:bCs/>
          <w:kern w:val="44"/>
          <w:sz w:val="28"/>
          <w:szCs w:val="28"/>
        </w:rPr>
        <w:t>项目概况与招标范围</w:t>
      </w:r>
      <w:bookmarkEnd w:id="5"/>
      <w:bookmarkEnd w:id="6"/>
      <w:bookmarkEnd w:id="7"/>
    </w:p>
    <w:p>
      <w:pPr>
        <w:pStyle w:val="6"/>
        <w:spacing w:line="400" w:lineRule="atLeast"/>
        <w:ind w:firstLine="540" w:firstLineChars="225"/>
        <w:outlineLvl w:val="2"/>
        <w:rPr>
          <w:rStyle w:val="3"/>
          <w:rFonts w:eastAsia="黑体"/>
          <w:sz w:val="24"/>
          <w:szCs w:val="24"/>
        </w:rPr>
      </w:pPr>
      <w:r>
        <w:rPr>
          <w:rStyle w:val="3"/>
          <w:rFonts w:eastAsia="黑体"/>
          <w:sz w:val="24"/>
          <w:szCs w:val="24"/>
        </w:rPr>
        <w:t xml:space="preserve">2.1 </w:t>
      </w:r>
      <w:r>
        <w:rPr>
          <w:rStyle w:val="3"/>
          <w:rFonts w:hint="eastAsia" w:eastAsia="黑体"/>
          <w:sz w:val="24"/>
          <w:szCs w:val="24"/>
        </w:rPr>
        <w:t>建设地点：</w:t>
      </w:r>
      <w:r>
        <w:rPr>
          <w:rStyle w:val="3"/>
          <w:rFonts w:hint="eastAsia" w:eastAsia="黑体"/>
          <w:sz w:val="24"/>
          <w:szCs w:val="24"/>
          <w:u w:val="single"/>
        </w:rPr>
        <w:t>湖南省怀化市沅陵县</w:t>
      </w:r>
      <w:r>
        <w:rPr>
          <w:rStyle w:val="3"/>
          <w:rFonts w:hint="eastAsia" w:eastAsia="黑体"/>
          <w:sz w:val="24"/>
          <w:szCs w:val="24"/>
        </w:rPr>
        <w:t>境内。</w:t>
      </w:r>
    </w:p>
    <w:p>
      <w:pPr>
        <w:pStyle w:val="9"/>
        <w:ind w:firstLine="480"/>
        <w:rPr>
          <w:rStyle w:val="3"/>
          <w:rFonts w:hint="eastAsia" w:ascii="宋体" w:hAnsi="宋体"/>
        </w:rPr>
      </w:pPr>
      <w:r>
        <w:rPr>
          <w:rStyle w:val="3"/>
          <w:rFonts w:eastAsia="黑体"/>
        </w:rPr>
        <w:t xml:space="preserve">2.2 </w:t>
      </w:r>
      <w:r>
        <w:rPr>
          <w:rStyle w:val="3"/>
          <w:rFonts w:hint="eastAsia" w:eastAsia="黑体"/>
        </w:rPr>
        <w:t>项目建设规模及招标范围：</w:t>
      </w:r>
      <w:r>
        <w:rPr>
          <w:rStyle w:val="3"/>
          <w:rFonts w:hint="eastAsia"/>
        </w:rPr>
        <w:t>洞庭溪沅水特大桥位于怀化市沅陵县洞庭溪村和高坪村境内，跨越五强溪水库和五强溪国家湿地公园，桥位位于五强溪大坝上游约9公里处，拟建桥梁桥轴线走向呈南北向跨越沅江，沅江河谷呈“U”形，河面宽约550-580m左右</w:t>
      </w:r>
      <w:r>
        <w:rPr>
          <w:rStyle w:val="3"/>
        </w:rPr>
        <w:t>，</w:t>
      </w:r>
      <w:r>
        <w:rPr>
          <w:rStyle w:val="3"/>
          <w:rFonts w:hint="eastAsia"/>
        </w:rPr>
        <w:t>最大</w:t>
      </w:r>
      <w:r>
        <w:rPr>
          <w:rStyle w:val="3"/>
        </w:rPr>
        <w:t>水深</w:t>
      </w:r>
      <w:r>
        <w:rPr>
          <w:rStyle w:val="3"/>
          <w:rFonts w:hint="eastAsia"/>
        </w:rPr>
        <w:t>在68</w:t>
      </w:r>
      <w:r>
        <w:rPr>
          <w:rStyle w:val="3"/>
        </w:rPr>
        <w:t>m左右，</w:t>
      </w:r>
      <w:r>
        <w:rPr>
          <w:rStyle w:val="3"/>
          <w:rFonts w:hint="eastAsia"/>
        </w:rPr>
        <w:t>桥位区为水库变动回水区河段，桥型为16x30mT梁+800m单跨悬索桥方案+14x30mT梁，悬索桥主梁采用组合梁截面形式，索塔采用门型索塔，承台群桩基础，两岸锚碇均采用重力式锚碇。主缆跨径布置为220+800+238m，矢跨比1/10，中跨主缆中心距28m。引桥上部构造采用30m预应力混凝土T梁，桥墩分别采用圆柱墩、矩形墩，基础为钻孔桩基础。桥台为U型桥台、肋板式桥台。</w:t>
      </w:r>
      <w:r>
        <w:rPr>
          <w:rStyle w:val="3"/>
          <w:rFonts w:hint="eastAsia" w:ascii="宋体" w:hAnsi="宋体"/>
        </w:rPr>
        <w:t>设计速度100公里/小时，</w:t>
      </w:r>
      <w:r>
        <w:rPr>
          <w:rStyle w:val="3"/>
          <w:rFonts w:hint="eastAsia"/>
        </w:rPr>
        <w:t>设计荷载：公路－Ⅰ级，</w:t>
      </w:r>
      <w:r>
        <w:rPr>
          <w:rStyle w:val="3"/>
          <w:rFonts w:hint="eastAsia" w:ascii="宋体" w:hAnsi="宋体"/>
        </w:rPr>
        <w:t>主线路基宽度26m。</w:t>
      </w:r>
    </w:p>
    <w:p>
      <w:pPr>
        <w:pStyle w:val="10"/>
        <w:spacing w:line="400" w:lineRule="atLeast"/>
        <w:ind w:firstLine="540" w:firstLineChars="225"/>
        <w:outlineLvl w:val="2"/>
        <w:rPr>
          <w:rStyle w:val="3"/>
          <w:rFonts w:hint="eastAsia" w:ascii="仿宋" w:hAnsi="仿宋" w:eastAsia="仿宋" w:cs="仿宋"/>
          <w:sz w:val="24"/>
          <w:szCs w:val="24"/>
        </w:rPr>
      </w:pPr>
      <w:r>
        <w:rPr>
          <w:rStyle w:val="11"/>
          <w:rFonts w:hint="eastAsia" w:ascii="仿宋" w:hAnsi="仿宋" w:eastAsia="仿宋"/>
          <w:sz w:val="24"/>
          <w:szCs w:val="24"/>
        </w:rPr>
        <w:t>本项目第JL标段</w:t>
      </w:r>
      <w:r>
        <w:rPr>
          <w:rStyle w:val="11"/>
          <w:rFonts w:hint="eastAsia"/>
          <w:sz w:val="24"/>
          <w:szCs w:val="24"/>
        </w:rPr>
        <w:t>(</w:t>
      </w:r>
      <w:r>
        <w:rPr>
          <w:rStyle w:val="3"/>
          <w:rFonts w:hint="eastAsia"/>
        </w:rPr>
        <w:t>K54+721.5</w:t>
      </w:r>
      <w:r>
        <w:rPr>
          <w:rStyle w:val="11"/>
          <w:rFonts w:hint="eastAsia"/>
          <w:sz w:val="24"/>
          <w:szCs w:val="24"/>
        </w:rPr>
        <w:t>-</w:t>
      </w:r>
      <w:r>
        <w:rPr>
          <w:rStyle w:val="3"/>
          <w:rFonts w:hint="eastAsia"/>
        </w:rPr>
        <w:t>K56+428.5</w:t>
      </w:r>
      <w:r>
        <w:rPr>
          <w:rStyle w:val="11"/>
          <w:rFonts w:hint="eastAsia"/>
          <w:sz w:val="24"/>
          <w:szCs w:val="24"/>
        </w:rPr>
        <w:t>)</w:t>
      </w:r>
      <w:r>
        <w:rPr>
          <w:rStyle w:val="11"/>
          <w:rFonts w:hint="eastAsia" w:ascii="仿宋" w:hAnsi="仿宋" w:eastAsia="仿宋"/>
          <w:sz w:val="24"/>
          <w:szCs w:val="24"/>
        </w:rPr>
        <w:t>桥梁长1.707公里</w:t>
      </w:r>
      <w:r>
        <w:rPr>
          <w:rStyle w:val="11"/>
          <w:rFonts w:hint="eastAsia" w:ascii="仿宋" w:hAnsi="仿宋" w:eastAsia="仿宋"/>
          <w:b/>
          <w:bCs/>
          <w:sz w:val="24"/>
          <w:szCs w:val="24"/>
        </w:rPr>
        <w:t>。</w:t>
      </w:r>
      <w:r>
        <w:rPr>
          <w:rStyle w:val="11"/>
          <w:rFonts w:hint="eastAsia" w:ascii="仿宋" w:hAnsi="仿宋" w:eastAsia="仿宋"/>
          <w:sz w:val="24"/>
          <w:szCs w:val="24"/>
        </w:rPr>
        <w:t>现对该桥梁的索塔基础、索塔结构、缆索系统、钢结构、引桥、绿化环境保护、交通安全设施、附属设施、预埋管线、试验检测以及外部永久性用电工程（房建工程、机电工程除外）施工监理进行公开招标。</w:t>
      </w:r>
    </w:p>
    <w:p>
      <w:pPr>
        <w:pStyle w:val="10"/>
        <w:spacing w:line="400" w:lineRule="atLeast"/>
        <w:ind w:firstLine="540" w:firstLineChars="225"/>
        <w:outlineLvl w:val="2"/>
        <w:rPr>
          <w:rStyle w:val="3"/>
          <w:rFonts w:hint="eastAsia" w:ascii="宋体" w:hAnsi="宋体" w:cs="宋体"/>
          <w:sz w:val="24"/>
          <w:szCs w:val="24"/>
        </w:rPr>
      </w:pPr>
    </w:p>
    <w:p>
      <w:pPr>
        <w:pStyle w:val="10"/>
        <w:spacing w:line="400" w:lineRule="atLeast"/>
        <w:ind w:firstLine="540" w:firstLineChars="225"/>
        <w:outlineLvl w:val="2"/>
        <w:rPr>
          <w:rStyle w:val="3"/>
          <w:rFonts w:hint="eastAsia" w:ascii="宋体" w:hAnsi="宋体" w:cs="宋体"/>
          <w:sz w:val="24"/>
          <w:szCs w:val="24"/>
        </w:rPr>
      </w:pPr>
      <w:r>
        <w:rPr>
          <w:rStyle w:val="3"/>
          <w:rFonts w:hint="eastAsia" w:ascii="宋体" w:hAnsi="宋体" w:cs="宋体"/>
          <w:sz w:val="24"/>
          <w:szCs w:val="24"/>
        </w:rPr>
        <w:t>本次施工监理招标工程共分为 1 个标段。其标段划分及工程内容等见下表。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934"/>
        <w:gridCol w:w="797"/>
        <w:gridCol w:w="924"/>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3"/>
                <w:rFonts w:eastAsia="黑体"/>
                <w:sz w:val="18"/>
                <w:szCs w:val="18"/>
              </w:rPr>
            </w:pPr>
            <w:r>
              <w:rPr>
                <w:rStyle w:val="3"/>
                <w:rFonts w:hint="eastAsia" w:eastAsia="黑体"/>
                <w:sz w:val="18"/>
                <w:szCs w:val="18"/>
              </w:rPr>
              <w:t>标段号</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3"/>
                <w:rFonts w:eastAsia="黑体"/>
                <w:sz w:val="18"/>
                <w:szCs w:val="18"/>
              </w:rPr>
            </w:pPr>
            <w:r>
              <w:rPr>
                <w:rStyle w:val="3"/>
                <w:rFonts w:hint="eastAsia" w:eastAsia="黑体"/>
                <w:sz w:val="18"/>
                <w:szCs w:val="18"/>
              </w:rPr>
              <w:t>桩号</w:t>
            </w:r>
          </w:p>
        </w:tc>
        <w:tc>
          <w:tcPr>
            <w:tcW w:w="797"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3"/>
                <w:rFonts w:eastAsia="黑体"/>
                <w:sz w:val="18"/>
                <w:szCs w:val="18"/>
              </w:rPr>
            </w:pPr>
            <w:r>
              <w:rPr>
                <w:rStyle w:val="3"/>
                <w:rFonts w:hint="eastAsia" w:eastAsia="黑体"/>
                <w:sz w:val="18"/>
                <w:szCs w:val="18"/>
              </w:rPr>
              <w:t>所处行政区</w:t>
            </w:r>
          </w:p>
        </w:tc>
        <w:tc>
          <w:tcPr>
            <w:tcW w:w="924"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3"/>
                <w:rFonts w:eastAsia="黑体"/>
                <w:sz w:val="18"/>
                <w:szCs w:val="18"/>
              </w:rPr>
            </w:pPr>
            <w:r>
              <w:rPr>
                <w:rStyle w:val="3"/>
                <w:rFonts w:hint="eastAsia" w:eastAsia="黑体"/>
                <w:sz w:val="18"/>
                <w:szCs w:val="18"/>
              </w:rPr>
              <w:t>长度</w:t>
            </w:r>
          </w:p>
          <w:p>
            <w:pPr>
              <w:pStyle w:val="12"/>
              <w:spacing w:line="240" w:lineRule="exact"/>
              <w:jc w:val="center"/>
              <w:outlineLvl w:val="2"/>
              <w:rPr>
                <w:rStyle w:val="3"/>
                <w:rFonts w:eastAsia="黑体"/>
                <w:sz w:val="18"/>
                <w:szCs w:val="18"/>
              </w:rPr>
            </w:pPr>
            <w:r>
              <w:rPr>
                <w:rStyle w:val="3"/>
                <w:rFonts w:hint="eastAsia" w:eastAsia="黑体"/>
                <w:sz w:val="18"/>
                <w:szCs w:val="18"/>
              </w:rPr>
              <w:t>（</w:t>
            </w:r>
            <w:r>
              <w:rPr>
                <w:rStyle w:val="3"/>
                <w:rFonts w:eastAsia="黑体"/>
                <w:sz w:val="18"/>
                <w:szCs w:val="18"/>
              </w:rPr>
              <w:t>Km</w:t>
            </w:r>
            <w:r>
              <w:rPr>
                <w:rStyle w:val="3"/>
                <w:rFonts w:hint="eastAsia" w:eastAsia="黑体"/>
                <w:sz w:val="18"/>
                <w:szCs w:val="18"/>
              </w:rPr>
              <w:t>）</w:t>
            </w:r>
          </w:p>
        </w:tc>
        <w:tc>
          <w:tcPr>
            <w:tcW w:w="3874" w:type="dxa"/>
            <w:tcBorders>
              <w:top w:val="single" w:color="auto" w:sz="4" w:space="0"/>
              <w:left w:val="single" w:color="auto" w:sz="4" w:space="0"/>
              <w:bottom w:val="single" w:color="auto" w:sz="4" w:space="0"/>
              <w:right w:val="single" w:color="auto" w:sz="4" w:space="0"/>
            </w:tcBorders>
            <w:noWrap w:val="0"/>
            <w:vAlign w:val="center"/>
          </w:tcPr>
          <w:p>
            <w:pPr>
              <w:pStyle w:val="12"/>
              <w:spacing w:line="240" w:lineRule="exact"/>
              <w:jc w:val="center"/>
              <w:outlineLvl w:val="2"/>
              <w:rPr>
                <w:rStyle w:val="3"/>
                <w:rFonts w:hint="eastAsia" w:eastAsia="黑体"/>
                <w:sz w:val="18"/>
                <w:szCs w:val="18"/>
              </w:rPr>
            </w:pPr>
            <w:r>
              <w:rPr>
                <w:rStyle w:val="3"/>
                <w:rFonts w:hint="eastAsia" w:eastAsia="黑体"/>
                <w:sz w:val="18"/>
                <w:szCs w:val="18"/>
              </w:rPr>
              <w:t>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87" w:type="dxa"/>
            <w:tcBorders>
              <w:top w:val="single" w:color="auto" w:sz="4" w:space="0"/>
              <w:left w:val="single" w:color="auto" w:sz="4" w:space="0"/>
              <w:right w:val="single" w:color="auto" w:sz="4" w:space="0"/>
            </w:tcBorders>
            <w:noWrap w:val="0"/>
            <w:vAlign w:val="center"/>
          </w:tcPr>
          <w:p>
            <w:pPr>
              <w:pStyle w:val="10"/>
              <w:adjustRightInd w:val="0"/>
              <w:snapToGrid w:val="0"/>
              <w:spacing w:line="240" w:lineRule="exact"/>
              <w:jc w:val="center"/>
              <w:outlineLvl w:val="2"/>
              <w:rPr>
                <w:rStyle w:val="3"/>
                <w:rFonts w:eastAsia="黑体"/>
                <w:szCs w:val="21"/>
              </w:rPr>
            </w:pPr>
            <w:r>
              <w:rPr>
                <w:rStyle w:val="3"/>
                <w:rFonts w:hint="eastAsia" w:eastAsia="黑体"/>
                <w:szCs w:val="21"/>
              </w:rPr>
              <w:t>JL</w:t>
            </w:r>
          </w:p>
        </w:tc>
        <w:tc>
          <w:tcPr>
            <w:tcW w:w="1934" w:type="dxa"/>
            <w:tcBorders>
              <w:top w:val="single" w:color="auto" w:sz="4" w:space="0"/>
              <w:left w:val="single" w:color="auto" w:sz="4" w:space="0"/>
              <w:right w:val="single" w:color="auto" w:sz="4" w:space="0"/>
            </w:tcBorders>
            <w:noWrap w:val="0"/>
            <w:vAlign w:val="center"/>
          </w:tcPr>
          <w:p>
            <w:pPr>
              <w:pStyle w:val="10"/>
              <w:adjustRightInd w:val="0"/>
              <w:snapToGrid w:val="0"/>
              <w:jc w:val="center"/>
              <w:outlineLvl w:val="2"/>
              <w:rPr>
                <w:rStyle w:val="3"/>
                <w:rFonts w:hint="eastAsia" w:ascii="宋体" w:hAnsi="宋体"/>
                <w:iCs/>
                <w:sz w:val="18"/>
                <w:szCs w:val="18"/>
              </w:rPr>
            </w:pPr>
            <w:r>
              <w:rPr>
                <w:rStyle w:val="3"/>
                <w:rFonts w:hint="eastAsia" w:ascii="宋体" w:hAnsi="宋体"/>
                <w:iCs/>
                <w:sz w:val="18"/>
                <w:szCs w:val="18"/>
              </w:rPr>
              <w:t>K54+721.5-K56+428.5</w:t>
            </w:r>
          </w:p>
        </w:tc>
        <w:tc>
          <w:tcPr>
            <w:tcW w:w="797" w:type="dxa"/>
            <w:tcBorders>
              <w:top w:val="single" w:color="auto" w:sz="4" w:space="0"/>
              <w:left w:val="single" w:color="auto" w:sz="4" w:space="0"/>
              <w:right w:val="single" w:color="auto" w:sz="4" w:space="0"/>
            </w:tcBorders>
            <w:noWrap w:val="0"/>
            <w:vAlign w:val="center"/>
          </w:tcPr>
          <w:p>
            <w:pPr>
              <w:pStyle w:val="10"/>
              <w:adjustRightInd w:val="0"/>
              <w:snapToGrid w:val="0"/>
              <w:jc w:val="center"/>
              <w:outlineLvl w:val="2"/>
              <w:rPr>
                <w:rStyle w:val="3"/>
                <w:rFonts w:hint="eastAsia" w:ascii="宋体" w:hAnsi="宋体"/>
                <w:iCs/>
                <w:sz w:val="18"/>
                <w:szCs w:val="18"/>
              </w:rPr>
            </w:pPr>
            <w:r>
              <w:rPr>
                <w:rStyle w:val="3"/>
                <w:rFonts w:hint="eastAsia" w:ascii="宋体" w:hAnsi="宋体"/>
                <w:iCs/>
                <w:sz w:val="18"/>
                <w:szCs w:val="18"/>
              </w:rPr>
              <w:t>怀化市沅陵县</w:t>
            </w:r>
          </w:p>
        </w:tc>
        <w:tc>
          <w:tcPr>
            <w:tcW w:w="924" w:type="dxa"/>
            <w:tcBorders>
              <w:top w:val="single" w:color="auto" w:sz="4" w:space="0"/>
              <w:left w:val="single" w:color="auto" w:sz="4" w:space="0"/>
              <w:right w:val="single" w:color="auto" w:sz="4" w:space="0"/>
            </w:tcBorders>
            <w:noWrap w:val="0"/>
            <w:vAlign w:val="center"/>
          </w:tcPr>
          <w:p>
            <w:pPr>
              <w:pStyle w:val="10"/>
              <w:adjustRightInd w:val="0"/>
              <w:snapToGrid w:val="0"/>
              <w:spacing w:line="240" w:lineRule="exact"/>
              <w:jc w:val="center"/>
              <w:outlineLvl w:val="2"/>
              <w:rPr>
                <w:rStyle w:val="3"/>
                <w:rFonts w:ascii="宋体" w:hAnsi="宋体" w:cs="宋体"/>
                <w:kern w:val="0"/>
                <w:sz w:val="18"/>
                <w:szCs w:val="18"/>
              </w:rPr>
            </w:pPr>
            <w:r>
              <w:rPr>
                <w:rStyle w:val="3"/>
                <w:rFonts w:hint="eastAsia" w:ascii="宋体" w:hAnsi="宋体"/>
                <w:iCs/>
                <w:sz w:val="18"/>
                <w:szCs w:val="18"/>
              </w:rPr>
              <w:t>1.707</w:t>
            </w:r>
          </w:p>
        </w:tc>
        <w:tc>
          <w:tcPr>
            <w:tcW w:w="3874" w:type="dxa"/>
            <w:tcBorders>
              <w:top w:val="single" w:color="auto" w:sz="4" w:space="0"/>
              <w:left w:val="single" w:color="auto" w:sz="4" w:space="0"/>
              <w:right w:val="single" w:color="auto" w:sz="4" w:space="0"/>
            </w:tcBorders>
            <w:noWrap w:val="0"/>
            <w:vAlign w:val="center"/>
          </w:tcPr>
          <w:p>
            <w:pPr>
              <w:pStyle w:val="13"/>
              <w:adjustRightInd w:val="0"/>
              <w:snapToGrid w:val="0"/>
              <w:jc w:val="left"/>
              <w:rPr>
                <w:rStyle w:val="3"/>
                <w:rFonts w:hint="eastAsia" w:ascii="宋体" w:hAnsi="宋体"/>
                <w:iCs/>
                <w:color w:val="000000"/>
                <w:sz w:val="18"/>
                <w:szCs w:val="18"/>
              </w:rPr>
            </w:pPr>
            <w:r>
              <w:rPr>
                <w:rStyle w:val="3"/>
                <w:rFonts w:hint="eastAsia" w:ascii="宋体" w:hAnsi="宋体"/>
                <w:iCs/>
                <w:color w:val="000000"/>
                <w:sz w:val="18"/>
                <w:szCs w:val="18"/>
              </w:rPr>
              <w:t>1、该项目合同段范围内路基、桥梁的索塔基础、索塔结构、缆索系统、钢结构、引桥、绿化环境保护、交通安全设施、附属设施、预埋管线、外部永久性用电工程（房建工程、机电工程除外）及其他工程（包括改河、改路、改沟、临时设施、环保、水保、取弃土场防护等线外工程）等工程和相关变更工程及为本合同主体项目之外的附属工程（如进场道路，便桥便涵等）等工程的施工阶段（含施工准备阶段）、交工验收与缺陷责任期阶段的施工监理。</w:t>
            </w:r>
          </w:p>
          <w:p>
            <w:pPr>
              <w:pStyle w:val="13"/>
              <w:adjustRightInd w:val="0"/>
              <w:snapToGrid w:val="0"/>
              <w:jc w:val="left"/>
              <w:outlineLvl w:val="2"/>
              <w:rPr>
                <w:rStyle w:val="3"/>
                <w:rFonts w:hint="eastAsia" w:eastAsia="黑体"/>
                <w:sz w:val="18"/>
                <w:szCs w:val="18"/>
              </w:rPr>
            </w:pPr>
            <w:r>
              <w:rPr>
                <w:rStyle w:val="3"/>
                <w:rFonts w:hint="eastAsia" w:ascii="宋体" w:hAnsi="宋体"/>
                <w:iCs/>
                <w:color w:val="000000"/>
                <w:sz w:val="18"/>
                <w:szCs w:val="18"/>
              </w:rPr>
              <w:t>2、检测（包括但不限于）：①洞庭溪沅水特大桥本合同内施工准备、施工阶段的试验检测技术服务（试验样品采集、送检、试验操作、资料编制等），并接受委托人的监督管理；②承担本合同内所有工程的特殊专项材料（包括锚具、钢绞线、支座、伸缩缝、外加剂、防水材料、保温材料、高强螺栓等）第三方专项检测的取样、送检工作；③在授权范围内代表委托人对承包人的试验检测工作进行监督管理，参加本项目的交工验收工作等。</w:t>
            </w:r>
          </w:p>
        </w:tc>
      </w:tr>
    </w:tbl>
    <w:p>
      <w:pPr>
        <w:pStyle w:val="6"/>
        <w:spacing w:line="380" w:lineRule="exact"/>
        <w:ind w:firstLine="420" w:firstLineChars="200"/>
        <w:outlineLvl w:val="2"/>
        <w:rPr>
          <w:rStyle w:val="3"/>
          <w:rFonts w:hint="eastAsia" w:ascii="仿宋" w:hAnsi="仿宋" w:eastAsia="仿宋"/>
          <w:szCs w:val="21"/>
        </w:rPr>
      </w:pPr>
      <w:r>
        <w:rPr>
          <w:rStyle w:val="3"/>
          <w:rFonts w:hint="eastAsia" w:ascii="仿宋" w:hAnsi="仿宋" w:eastAsia="仿宋"/>
          <w:szCs w:val="21"/>
        </w:rPr>
        <w:t>备注：起点及终点桩号以最终施工标段划分为准。</w:t>
      </w:r>
    </w:p>
    <w:p>
      <w:pPr>
        <w:pStyle w:val="6"/>
        <w:widowControl/>
        <w:ind w:firstLine="480" w:firstLineChars="200"/>
        <w:jc w:val="left"/>
        <w:outlineLvl w:val="2"/>
        <w:rPr>
          <w:rStyle w:val="3"/>
          <w:rFonts w:hint="eastAsia" w:eastAsia="黑体"/>
          <w:sz w:val="24"/>
          <w:szCs w:val="24"/>
        </w:rPr>
      </w:pPr>
      <w:r>
        <w:rPr>
          <w:rStyle w:val="3"/>
          <w:rFonts w:hint="eastAsia" w:eastAsia="黑体"/>
          <w:sz w:val="24"/>
          <w:szCs w:val="24"/>
        </w:rPr>
        <w:t>2.3 本项目设二级监理机构。设置驻地监理工程师办公室（以下简称“驻地办”）1个。本次对第JL标段驻地办进行招标， 其类别划分、资质要求、业绩等要求详见附表。</w:t>
      </w:r>
    </w:p>
    <w:p>
      <w:pPr>
        <w:pStyle w:val="6"/>
        <w:spacing w:line="400" w:lineRule="atLeast"/>
        <w:ind w:firstLine="540" w:firstLineChars="225"/>
        <w:outlineLvl w:val="2"/>
        <w:rPr>
          <w:rStyle w:val="3"/>
          <w:rFonts w:eastAsia="黑体"/>
          <w:b/>
          <w:bCs/>
          <w:kern w:val="44"/>
          <w:sz w:val="28"/>
          <w:szCs w:val="28"/>
        </w:rPr>
      </w:pPr>
      <w:r>
        <w:rPr>
          <w:rStyle w:val="3"/>
          <w:rFonts w:hint="eastAsia" w:eastAsia="黑体"/>
          <w:sz w:val="24"/>
          <w:szCs w:val="24"/>
        </w:rPr>
        <w:t>2.4本次招标施工监理服务期限为：</w:t>
      </w:r>
      <w:r>
        <w:rPr>
          <w:rStyle w:val="3"/>
          <w:rFonts w:eastAsia="黑体"/>
          <w:bCs/>
          <w:kern w:val="44"/>
          <w:sz w:val="24"/>
          <w:szCs w:val="24"/>
          <w:u w:val="single"/>
        </w:rPr>
        <w:t xml:space="preserve">  </w:t>
      </w:r>
      <w:r>
        <w:rPr>
          <w:rStyle w:val="3"/>
          <w:rFonts w:hint="eastAsia" w:eastAsia="黑体"/>
          <w:bCs/>
          <w:kern w:val="44"/>
          <w:sz w:val="24"/>
          <w:szCs w:val="24"/>
          <w:u w:val="single"/>
        </w:rPr>
        <w:t>2280</w:t>
      </w:r>
      <w:r>
        <w:rPr>
          <w:rStyle w:val="3"/>
          <w:rFonts w:eastAsia="黑体"/>
          <w:bCs/>
          <w:kern w:val="44"/>
          <w:sz w:val="24"/>
          <w:szCs w:val="24"/>
          <w:u w:val="single"/>
        </w:rPr>
        <w:t xml:space="preserve">  </w:t>
      </w:r>
      <w:r>
        <w:rPr>
          <w:rStyle w:val="3"/>
          <w:rFonts w:hint="eastAsia" w:eastAsia="黑体"/>
          <w:bCs/>
          <w:kern w:val="44"/>
          <w:sz w:val="24"/>
          <w:szCs w:val="24"/>
        </w:rPr>
        <w:t>日历天，包括施工准备阶段监理</w:t>
      </w:r>
      <w:r>
        <w:rPr>
          <w:rStyle w:val="3"/>
          <w:rFonts w:eastAsia="黑体"/>
          <w:bCs/>
          <w:kern w:val="44"/>
          <w:sz w:val="24"/>
          <w:szCs w:val="24"/>
          <w:u w:val="single"/>
        </w:rPr>
        <w:t xml:space="preserve">  </w:t>
      </w:r>
      <w:r>
        <w:rPr>
          <w:rStyle w:val="3"/>
          <w:rFonts w:hint="eastAsia" w:eastAsia="黑体"/>
          <w:bCs/>
          <w:kern w:val="44"/>
          <w:sz w:val="24"/>
          <w:szCs w:val="24"/>
          <w:u w:val="single"/>
        </w:rPr>
        <w:t>90</w:t>
      </w:r>
      <w:r>
        <w:rPr>
          <w:rStyle w:val="3"/>
          <w:rFonts w:eastAsia="黑体"/>
          <w:bCs/>
          <w:kern w:val="44"/>
          <w:sz w:val="24"/>
          <w:szCs w:val="24"/>
          <w:u w:val="single"/>
        </w:rPr>
        <w:t xml:space="preserve">  </w:t>
      </w:r>
      <w:r>
        <w:rPr>
          <w:rStyle w:val="3"/>
          <w:rFonts w:hint="eastAsia" w:eastAsia="黑体"/>
          <w:bCs/>
          <w:kern w:val="44"/>
          <w:sz w:val="24"/>
          <w:szCs w:val="24"/>
        </w:rPr>
        <w:t>日历天，施工阶段监理</w:t>
      </w:r>
      <w:r>
        <w:rPr>
          <w:rStyle w:val="3"/>
          <w:rFonts w:eastAsia="黑体"/>
          <w:bCs/>
          <w:kern w:val="44"/>
          <w:sz w:val="24"/>
          <w:szCs w:val="24"/>
          <w:u w:val="single"/>
        </w:rPr>
        <w:t xml:space="preserve">  </w:t>
      </w:r>
      <w:r>
        <w:rPr>
          <w:rStyle w:val="3"/>
          <w:rFonts w:hint="eastAsia" w:eastAsia="黑体"/>
          <w:bCs/>
          <w:kern w:val="44"/>
          <w:sz w:val="24"/>
          <w:szCs w:val="24"/>
          <w:u w:val="single"/>
        </w:rPr>
        <w:t>1460</w:t>
      </w:r>
      <w:r>
        <w:rPr>
          <w:rStyle w:val="3"/>
          <w:rFonts w:eastAsia="黑体"/>
          <w:bCs/>
          <w:kern w:val="44"/>
          <w:sz w:val="24"/>
          <w:szCs w:val="24"/>
          <w:u w:val="single"/>
        </w:rPr>
        <w:t xml:space="preserve">  </w:t>
      </w:r>
      <w:r>
        <w:rPr>
          <w:rStyle w:val="3"/>
          <w:rFonts w:hint="eastAsia" w:eastAsia="黑体"/>
          <w:bCs/>
          <w:kern w:val="44"/>
          <w:sz w:val="24"/>
          <w:szCs w:val="24"/>
        </w:rPr>
        <w:t>日历天，交工验收及缺陷责任期监理</w:t>
      </w:r>
      <w:r>
        <w:rPr>
          <w:rStyle w:val="3"/>
          <w:rFonts w:eastAsia="黑体"/>
          <w:bCs/>
          <w:kern w:val="44"/>
          <w:sz w:val="24"/>
          <w:szCs w:val="24"/>
          <w:u w:val="single"/>
        </w:rPr>
        <w:t xml:space="preserve"> </w:t>
      </w:r>
      <w:r>
        <w:rPr>
          <w:rStyle w:val="3"/>
          <w:rFonts w:hint="eastAsia" w:eastAsia="黑体"/>
          <w:bCs/>
          <w:kern w:val="44"/>
          <w:sz w:val="24"/>
          <w:szCs w:val="24"/>
          <w:u w:val="single"/>
        </w:rPr>
        <w:t>730</w:t>
      </w:r>
      <w:r>
        <w:rPr>
          <w:rStyle w:val="3"/>
          <w:rFonts w:eastAsia="黑体"/>
          <w:bCs/>
          <w:kern w:val="44"/>
          <w:sz w:val="24"/>
          <w:szCs w:val="24"/>
          <w:u w:val="single"/>
        </w:rPr>
        <w:t xml:space="preserve">  </w:t>
      </w:r>
      <w:r>
        <w:rPr>
          <w:rStyle w:val="3"/>
          <w:rFonts w:hint="eastAsia" w:eastAsia="黑体"/>
          <w:bCs/>
          <w:kern w:val="44"/>
          <w:sz w:val="24"/>
          <w:szCs w:val="24"/>
        </w:rPr>
        <w:t>日历天。</w:t>
      </w:r>
    </w:p>
    <w:p>
      <w:pPr>
        <w:pStyle w:val="6"/>
        <w:keepNext/>
        <w:keepLines/>
        <w:spacing w:before="240" w:after="240" w:line="240" w:lineRule="atLeast"/>
        <w:outlineLvl w:val="2"/>
        <w:rPr>
          <w:rStyle w:val="3"/>
          <w:rFonts w:eastAsia="黑体"/>
          <w:b/>
          <w:bCs/>
          <w:kern w:val="44"/>
          <w:sz w:val="28"/>
          <w:szCs w:val="28"/>
        </w:rPr>
      </w:pPr>
      <w:bookmarkStart w:id="8" w:name="_Toc510015651"/>
      <w:bookmarkStart w:id="9" w:name="_Toc503235716"/>
      <w:bookmarkStart w:id="10" w:name="_Toc256000004"/>
      <w:r>
        <w:rPr>
          <w:rStyle w:val="3"/>
          <w:rFonts w:eastAsia="黑体"/>
          <w:b/>
          <w:bCs/>
          <w:kern w:val="44"/>
          <w:sz w:val="28"/>
          <w:szCs w:val="28"/>
        </w:rPr>
        <w:t xml:space="preserve">3. </w:t>
      </w:r>
      <w:r>
        <w:rPr>
          <w:rStyle w:val="3"/>
          <w:rFonts w:hint="eastAsia" w:eastAsia="黑体"/>
          <w:b/>
          <w:bCs/>
          <w:kern w:val="44"/>
          <w:sz w:val="28"/>
          <w:szCs w:val="28"/>
        </w:rPr>
        <w:t>投标人资格要求</w:t>
      </w:r>
      <w:bookmarkEnd w:id="8"/>
      <w:bookmarkEnd w:id="9"/>
      <w:bookmarkEnd w:id="10"/>
    </w:p>
    <w:p>
      <w:pPr>
        <w:pStyle w:val="6"/>
        <w:spacing w:line="400" w:lineRule="atLeast"/>
        <w:ind w:firstLine="480" w:firstLineChars="200"/>
        <w:outlineLvl w:val="2"/>
        <w:rPr>
          <w:rStyle w:val="3"/>
          <w:sz w:val="24"/>
          <w:szCs w:val="24"/>
        </w:rPr>
      </w:pPr>
      <w:r>
        <w:rPr>
          <w:rStyle w:val="3"/>
          <w:sz w:val="24"/>
          <w:szCs w:val="24"/>
        </w:rPr>
        <w:t xml:space="preserve">3.1 </w:t>
      </w:r>
      <w:r>
        <w:rPr>
          <w:rStyle w:val="3"/>
          <w:rFonts w:hint="eastAsia"/>
          <w:sz w:val="24"/>
          <w:szCs w:val="24"/>
        </w:rPr>
        <w:t>本次招标要求投标人须具备</w:t>
      </w:r>
      <w:r>
        <w:rPr>
          <w:rStyle w:val="3"/>
          <w:sz w:val="24"/>
          <w:szCs w:val="24"/>
          <w:u w:val="single"/>
        </w:rPr>
        <w:t xml:space="preserve"> </w:t>
      </w:r>
      <w:r>
        <w:rPr>
          <w:rStyle w:val="3"/>
          <w:rFonts w:hint="eastAsia"/>
          <w:sz w:val="24"/>
          <w:szCs w:val="24"/>
          <w:u w:val="single"/>
        </w:rPr>
        <w:t>独立法人</w:t>
      </w:r>
      <w:r>
        <w:rPr>
          <w:rStyle w:val="3"/>
          <w:sz w:val="24"/>
          <w:szCs w:val="24"/>
          <w:u w:val="single"/>
        </w:rPr>
        <w:t xml:space="preserve"> </w:t>
      </w:r>
      <w:r>
        <w:rPr>
          <w:rStyle w:val="3"/>
          <w:rFonts w:hint="eastAsia"/>
          <w:sz w:val="24"/>
          <w:szCs w:val="24"/>
        </w:rPr>
        <w:t>资质、</w:t>
      </w:r>
      <w:r>
        <w:rPr>
          <w:rStyle w:val="3"/>
          <w:sz w:val="24"/>
          <w:szCs w:val="24"/>
          <w:u w:val="single"/>
        </w:rPr>
        <w:t xml:space="preserve"> </w:t>
      </w:r>
      <w:r>
        <w:rPr>
          <w:rStyle w:val="3"/>
          <w:rFonts w:hint="eastAsia"/>
          <w:sz w:val="24"/>
          <w:szCs w:val="24"/>
          <w:u w:val="single"/>
        </w:rPr>
        <w:t>持有工商行政管理部门核发的有效企业法人营业执照、交通运输主管部门颁发的公路工程甲级监理资质、投标人须知附录2资格审查条件（业绩最低要求）</w:t>
      </w:r>
      <w:r>
        <w:rPr>
          <w:rStyle w:val="3"/>
          <w:sz w:val="24"/>
          <w:szCs w:val="24"/>
          <w:u w:val="single"/>
        </w:rPr>
        <w:t xml:space="preserve"> </w:t>
      </w:r>
      <w:r>
        <w:rPr>
          <w:rStyle w:val="3"/>
          <w:rFonts w:hint="eastAsia"/>
          <w:sz w:val="24"/>
          <w:szCs w:val="24"/>
        </w:rPr>
        <w:t>业绩，并在人员等方面具有相应的施工监理能力。</w:t>
      </w:r>
    </w:p>
    <w:p>
      <w:pPr>
        <w:pStyle w:val="6"/>
        <w:spacing w:line="400" w:lineRule="atLeast"/>
        <w:ind w:firstLine="480" w:firstLineChars="200"/>
        <w:outlineLvl w:val="2"/>
        <w:rPr>
          <w:rStyle w:val="3"/>
          <w:sz w:val="24"/>
          <w:szCs w:val="24"/>
        </w:rPr>
      </w:pPr>
      <w:r>
        <w:rPr>
          <w:rStyle w:val="3"/>
          <w:rFonts w:hint="eastAsia"/>
          <w:sz w:val="24"/>
          <w:szCs w:val="24"/>
        </w:rPr>
        <w:t>投标人应进入交通运输部</w:t>
      </w:r>
      <w:r>
        <w:rPr>
          <w:rStyle w:val="3"/>
          <w:sz w:val="24"/>
          <w:szCs w:val="24"/>
        </w:rPr>
        <w:t>“</w:t>
      </w:r>
      <w:r>
        <w:rPr>
          <w:rStyle w:val="3"/>
          <w:rFonts w:hint="eastAsia"/>
          <w:sz w:val="24"/>
          <w:szCs w:val="24"/>
        </w:rPr>
        <w:t>全国公路建设市场信用信息管理系统（</w:t>
      </w:r>
      <w:r>
        <w:rPr>
          <w:rStyle w:val="3"/>
          <w:sz w:val="24"/>
          <w:szCs w:val="24"/>
        </w:rPr>
        <w:t>http</w:t>
      </w:r>
      <w:r>
        <w:rPr>
          <w:rStyle w:val="3"/>
          <w:rFonts w:hint="eastAsia"/>
          <w:sz w:val="24"/>
          <w:szCs w:val="24"/>
        </w:rPr>
        <w:t>：</w:t>
      </w:r>
      <w:r>
        <w:rPr>
          <w:rStyle w:val="3"/>
          <w:sz w:val="24"/>
          <w:szCs w:val="24"/>
        </w:rPr>
        <w:t>//glxy.mot.gov.cn</w:t>
      </w:r>
      <w:r>
        <w:rPr>
          <w:rStyle w:val="3"/>
          <w:rFonts w:hint="eastAsia"/>
          <w:sz w:val="24"/>
          <w:szCs w:val="24"/>
        </w:rPr>
        <w:t>）</w:t>
      </w:r>
      <w:r>
        <w:rPr>
          <w:rStyle w:val="3"/>
          <w:sz w:val="24"/>
          <w:szCs w:val="24"/>
        </w:rPr>
        <w:t>”</w:t>
      </w:r>
      <w:r>
        <w:rPr>
          <w:rStyle w:val="3"/>
          <w:rFonts w:hint="eastAsia"/>
          <w:sz w:val="24"/>
          <w:szCs w:val="24"/>
        </w:rPr>
        <w:t>中的公路工程施工监理资质企业名录，且投标人名称和资质与该名录中的相应企业名称和资质完全一致。</w:t>
      </w:r>
      <w:r>
        <w:rPr>
          <w:rStyle w:val="3"/>
          <w:szCs w:val="24"/>
          <w:vertAlign w:val="superscript"/>
        </w:rPr>
        <w:footnoteReference w:id="0"/>
      </w:r>
    </w:p>
    <w:p>
      <w:pPr>
        <w:pStyle w:val="6"/>
        <w:spacing w:line="420" w:lineRule="exact"/>
        <w:ind w:firstLine="480" w:firstLineChars="200"/>
        <w:outlineLvl w:val="2"/>
        <w:rPr>
          <w:rStyle w:val="3"/>
          <w:rFonts w:hint="eastAsia"/>
          <w:sz w:val="24"/>
          <w:szCs w:val="24"/>
        </w:rPr>
      </w:pPr>
      <w:r>
        <w:rPr>
          <w:rStyle w:val="3"/>
          <w:sz w:val="24"/>
          <w:szCs w:val="20"/>
        </w:rPr>
        <w:t xml:space="preserve">3.2 </w:t>
      </w:r>
      <w:r>
        <w:rPr>
          <w:rStyle w:val="3"/>
          <w:rFonts w:hint="eastAsia"/>
          <w:sz w:val="24"/>
          <w:szCs w:val="24"/>
        </w:rPr>
        <w:t>本次招标</w:t>
      </w:r>
      <w:r>
        <w:rPr>
          <w:rStyle w:val="3"/>
          <w:rFonts w:hint="eastAsia"/>
          <w:sz w:val="24"/>
          <w:szCs w:val="24"/>
          <w:u w:val="single"/>
        </w:rPr>
        <w:t>不接受</w:t>
      </w:r>
      <w:r>
        <w:rPr>
          <w:rStyle w:val="3"/>
          <w:rFonts w:hint="eastAsia"/>
          <w:sz w:val="24"/>
          <w:szCs w:val="24"/>
        </w:rPr>
        <w:t>联合体投标。</w:t>
      </w:r>
      <w:bookmarkStart w:id="11" w:name="_Hlk2752085"/>
    </w:p>
    <w:p>
      <w:pPr>
        <w:pStyle w:val="14"/>
        <w:spacing w:line="420" w:lineRule="exact"/>
        <w:ind w:firstLine="480" w:firstLineChars="200"/>
        <w:outlineLvl w:val="2"/>
        <w:rPr>
          <w:rStyle w:val="3"/>
          <w:rFonts w:eastAsia="黑体"/>
          <w:sz w:val="24"/>
          <w:u w:val="single"/>
        </w:rPr>
      </w:pPr>
      <w:r>
        <w:rPr>
          <w:rStyle w:val="3"/>
          <w:rFonts w:eastAsia="黑体"/>
          <w:sz w:val="24"/>
          <w:szCs w:val="20"/>
        </w:rPr>
        <w:t>3.3</w:t>
      </w:r>
      <w:r>
        <w:rPr>
          <w:rStyle w:val="3"/>
          <w:rFonts w:eastAsia="黑体"/>
          <w:sz w:val="24"/>
          <w:szCs w:val="24"/>
        </w:rPr>
        <w:t xml:space="preserve"> </w:t>
      </w:r>
      <w:r>
        <w:rPr>
          <w:rStyle w:val="3"/>
          <w:rFonts w:hint="eastAsia" w:eastAsia="黑体"/>
          <w:sz w:val="24"/>
          <w:szCs w:val="24"/>
        </w:rPr>
        <w:t>每个投标人可在本次招标中对</w:t>
      </w:r>
      <w:r>
        <w:rPr>
          <w:rStyle w:val="3"/>
          <w:rFonts w:eastAsia="黑体"/>
          <w:sz w:val="24"/>
          <w:szCs w:val="24"/>
          <w:u w:val="single"/>
        </w:rPr>
        <w:t xml:space="preserve"> </w:t>
      </w:r>
      <w:r>
        <w:rPr>
          <w:rStyle w:val="3"/>
          <w:rFonts w:hint="eastAsia" w:eastAsia="黑体"/>
          <w:sz w:val="24"/>
          <w:szCs w:val="24"/>
          <w:u w:val="single"/>
        </w:rPr>
        <w:t>1</w:t>
      </w:r>
      <w:r>
        <w:rPr>
          <w:rStyle w:val="3"/>
          <w:rFonts w:eastAsia="黑体"/>
          <w:sz w:val="24"/>
          <w:szCs w:val="24"/>
          <w:u w:val="single"/>
        </w:rPr>
        <w:t xml:space="preserve"> </w:t>
      </w:r>
      <w:r>
        <w:rPr>
          <w:rStyle w:val="3"/>
          <w:rFonts w:hint="eastAsia" w:eastAsia="黑体"/>
          <w:sz w:val="24"/>
          <w:szCs w:val="24"/>
        </w:rPr>
        <w:t>个标段投标，被湖南省交通运输厅评为</w:t>
      </w:r>
      <w:r>
        <w:rPr>
          <w:rStyle w:val="3"/>
          <w:rFonts w:eastAsia="黑体"/>
          <w:sz w:val="24"/>
          <w:szCs w:val="24"/>
        </w:rPr>
        <w:t>AA</w:t>
      </w:r>
      <w:r>
        <w:rPr>
          <w:rStyle w:val="3"/>
          <w:rFonts w:hint="eastAsia" w:eastAsia="黑体"/>
          <w:sz w:val="24"/>
          <w:szCs w:val="24"/>
        </w:rPr>
        <w:t>级的投标人，可在本次招标中给予增加 / 个标段投标的奖励，奖励后的可投标段数不得超过本次招标工程类别的标段总数。每个投标人允许中</w:t>
      </w:r>
      <w:r>
        <w:rPr>
          <w:rStyle w:val="3"/>
          <w:rFonts w:eastAsia="黑体"/>
          <w:sz w:val="24"/>
          <w:szCs w:val="24"/>
          <w:u w:val="single"/>
        </w:rPr>
        <w:t xml:space="preserve"> </w:t>
      </w:r>
      <w:r>
        <w:rPr>
          <w:rStyle w:val="3"/>
          <w:rFonts w:hint="eastAsia" w:eastAsia="黑体"/>
          <w:sz w:val="24"/>
          <w:szCs w:val="24"/>
          <w:u w:val="single"/>
        </w:rPr>
        <w:t>1</w:t>
      </w:r>
      <w:r>
        <w:rPr>
          <w:rStyle w:val="3"/>
          <w:rFonts w:eastAsia="黑体"/>
          <w:sz w:val="24"/>
          <w:szCs w:val="24"/>
          <w:u w:val="single"/>
        </w:rPr>
        <w:t xml:space="preserve">  </w:t>
      </w:r>
      <w:r>
        <w:rPr>
          <w:rStyle w:val="3"/>
          <w:rFonts w:hint="eastAsia" w:eastAsia="黑体"/>
          <w:sz w:val="24"/>
          <w:szCs w:val="24"/>
        </w:rPr>
        <w:t>个标。</w:t>
      </w:r>
      <w:bookmarkStart w:id="12" w:name="_Hlk2710592"/>
      <w:r>
        <w:rPr>
          <w:rStyle w:val="3"/>
          <w:rFonts w:eastAsia="黑体"/>
          <w:szCs w:val="24"/>
          <w:vertAlign w:val="superscript"/>
        </w:rPr>
        <w:footnoteReference w:id="1"/>
      </w:r>
      <w:bookmarkEnd w:id="12"/>
      <w:r>
        <w:rPr>
          <w:rStyle w:val="3"/>
          <w:rFonts w:hint="eastAsia" w:eastAsia="黑体"/>
          <w:sz w:val="24"/>
          <w:szCs w:val="24"/>
        </w:rPr>
        <w:t>被湖南省交通运输厅评为</w:t>
      </w:r>
      <w:r>
        <w:rPr>
          <w:rStyle w:val="3"/>
          <w:rFonts w:eastAsia="黑体"/>
          <w:sz w:val="24"/>
          <w:szCs w:val="24"/>
        </w:rPr>
        <w:t>C</w:t>
      </w:r>
      <w:r>
        <w:rPr>
          <w:rStyle w:val="3"/>
          <w:rFonts w:hint="eastAsia" w:eastAsia="黑体"/>
          <w:sz w:val="24"/>
          <w:szCs w:val="24"/>
        </w:rPr>
        <w:t>级的投标人，减少</w:t>
      </w:r>
      <w:r>
        <w:rPr>
          <w:rStyle w:val="3"/>
          <w:rFonts w:eastAsia="黑体"/>
          <w:sz w:val="24"/>
          <w:szCs w:val="24"/>
        </w:rPr>
        <w:t>1</w:t>
      </w:r>
      <w:r>
        <w:rPr>
          <w:rStyle w:val="3"/>
          <w:rFonts w:hint="eastAsia" w:eastAsia="黑体"/>
          <w:sz w:val="24"/>
          <w:szCs w:val="24"/>
        </w:rPr>
        <w:t>个标段中标的机会（项目招标仅</w:t>
      </w:r>
      <w:r>
        <w:rPr>
          <w:rStyle w:val="3"/>
          <w:rFonts w:eastAsia="黑体"/>
          <w:sz w:val="24"/>
          <w:szCs w:val="24"/>
        </w:rPr>
        <w:t>1</w:t>
      </w:r>
      <w:r>
        <w:rPr>
          <w:rStyle w:val="3"/>
          <w:rFonts w:hint="eastAsia" w:eastAsia="黑体"/>
          <w:sz w:val="24"/>
          <w:szCs w:val="24"/>
        </w:rPr>
        <w:t>个标段的除外）。对投标人信用等级的认定条件为：</w:t>
      </w:r>
      <w:r>
        <w:rPr>
          <w:rStyle w:val="3"/>
          <w:rFonts w:eastAsia="黑体"/>
          <w:sz w:val="24"/>
          <w:u w:val="single"/>
        </w:rPr>
        <w:t>湖南省交通运输厅</w:t>
      </w:r>
      <w:r>
        <w:rPr>
          <w:rStyle w:val="3"/>
          <w:rFonts w:hint="eastAsia" w:eastAsia="黑体"/>
          <w:sz w:val="24"/>
          <w:u w:val="single"/>
        </w:rPr>
        <w:t>在投标截止之日前一日已</w:t>
      </w:r>
      <w:r>
        <w:rPr>
          <w:rStyle w:val="3"/>
          <w:rFonts w:eastAsia="黑体"/>
          <w:sz w:val="24"/>
          <w:u w:val="single"/>
        </w:rPr>
        <w:t>发布的最新年度信用等级结果。</w:t>
      </w:r>
    </w:p>
    <w:bookmarkEnd w:id="11"/>
    <w:p>
      <w:pPr>
        <w:pStyle w:val="6"/>
        <w:autoSpaceDE w:val="0"/>
        <w:autoSpaceDN w:val="0"/>
        <w:adjustRightInd w:val="0"/>
        <w:spacing w:line="400" w:lineRule="exact"/>
        <w:ind w:firstLine="480"/>
        <w:outlineLvl w:val="2"/>
        <w:rPr>
          <w:rStyle w:val="3"/>
          <w:kern w:val="0"/>
          <w:sz w:val="24"/>
          <w:szCs w:val="24"/>
        </w:rPr>
      </w:pPr>
      <w:r>
        <w:rPr>
          <w:rStyle w:val="3"/>
          <w:sz w:val="24"/>
          <w:szCs w:val="20"/>
        </w:rPr>
        <w:t xml:space="preserve">3.4 </w:t>
      </w:r>
      <w:r>
        <w:rPr>
          <w:rStyle w:val="3"/>
          <w:rFonts w:hint="eastAsia"/>
          <w:sz w:val="24"/>
          <w:szCs w:val="24"/>
        </w:rPr>
        <w:t>与招标人存在利害关系且可能影响招标公正性的单位，不得参加投标。</w:t>
      </w:r>
      <w:r>
        <w:rPr>
          <w:rStyle w:val="3"/>
          <w:rFonts w:hint="eastAsia"/>
          <w:kern w:val="0"/>
          <w:sz w:val="24"/>
          <w:szCs w:val="24"/>
        </w:rPr>
        <w:t>单位负责人</w:t>
      </w:r>
      <w:r>
        <w:rPr>
          <w:rStyle w:val="3"/>
          <w:kern w:val="0"/>
          <w:sz w:val="24"/>
          <w:szCs w:val="24"/>
          <w:vertAlign w:val="superscript"/>
        </w:rPr>
        <w:footnoteReference w:id="2"/>
      </w:r>
      <w:r>
        <w:rPr>
          <w:rStyle w:val="3"/>
          <w:rFonts w:hint="eastAsia"/>
          <w:kern w:val="0"/>
          <w:sz w:val="24"/>
          <w:szCs w:val="24"/>
        </w:rPr>
        <w:t>为同一人或者存在控股</w:t>
      </w:r>
      <w:r>
        <w:rPr>
          <w:rStyle w:val="3"/>
          <w:kern w:val="0"/>
          <w:sz w:val="24"/>
          <w:szCs w:val="24"/>
          <w:vertAlign w:val="superscript"/>
        </w:rPr>
        <w:footnoteReference w:id="3"/>
      </w:r>
      <w:r>
        <w:rPr>
          <w:rStyle w:val="3"/>
          <w:rFonts w:hint="eastAsia"/>
          <w:kern w:val="0"/>
          <w:sz w:val="24"/>
          <w:szCs w:val="24"/>
        </w:rPr>
        <w:t>、管理</w:t>
      </w:r>
      <w:r>
        <w:rPr>
          <w:rStyle w:val="3"/>
          <w:kern w:val="0"/>
          <w:sz w:val="24"/>
          <w:szCs w:val="24"/>
          <w:vertAlign w:val="superscript"/>
        </w:rPr>
        <w:footnoteReference w:id="4"/>
      </w:r>
      <w:r>
        <w:rPr>
          <w:rStyle w:val="3"/>
          <w:rFonts w:hint="eastAsia"/>
          <w:kern w:val="0"/>
          <w:sz w:val="24"/>
          <w:szCs w:val="24"/>
        </w:rPr>
        <w:t>关系的不同单位，不得参加同一标段投标，否则，相关投标均无效。</w:t>
      </w:r>
    </w:p>
    <w:p>
      <w:pPr>
        <w:pStyle w:val="6"/>
        <w:spacing w:line="420" w:lineRule="exact"/>
        <w:ind w:firstLine="480" w:firstLineChars="200"/>
        <w:outlineLvl w:val="2"/>
        <w:rPr>
          <w:rStyle w:val="3"/>
          <w:rFonts w:eastAsia="黑体"/>
          <w:sz w:val="24"/>
          <w:szCs w:val="24"/>
        </w:rPr>
      </w:pPr>
      <w:r>
        <w:rPr>
          <w:rStyle w:val="3"/>
          <w:rFonts w:eastAsia="黑体"/>
          <w:sz w:val="24"/>
          <w:szCs w:val="20"/>
        </w:rPr>
        <w:t>3.5</w:t>
      </w:r>
      <w:r>
        <w:rPr>
          <w:rStyle w:val="3"/>
          <w:rFonts w:eastAsia="黑体"/>
          <w:sz w:val="24"/>
          <w:szCs w:val="24"/>
        </w:rPr>
        <w:t xml:space="preserve"> </w:t>
      </w:r>
      <w:r>
        <w:rPr>
          <w:rStyle w:val="3"/>
          <w:rFonts w:hint="eastAsia" w:eastAsia="黑体"/>
          <w:sz w:val="24"/>
          <w:szCs w:val="24"/>
        </w:rPr>
        <w:t>招标人不接受被湖南省交通运输厅</w:t>
      </w:r>
      <w:r>
        <w:rPr>
          <w:rStyle w:val="3"/>
          <w:rFonts w:eastAsia="黑体"/>
          <w:sz w:val="24"/>
          <w:szCs w:val="24"/>
          <w:vertAlign w:val="superscript"/>
        </w:rPr>
        <w:footnoteReference w:id="5"/>
      </w:r>
      <w:r>
        <w:rPr>
          <w:rStyle w:val="3"/>
          <w:rFonts w:hint="eastAsia" w:eastAsia="黑体"/>
          <w:sz w:val="24"/>
          <w:szCs w:val="24"/>
        </w:rPr>
        <w:t>评为最近第一年度</w:t>
      </w:r>
      <w:r>
        <w:rPr>
          <w:rStyle w:val="3"/>
          <w:rFonts w:eastAsia="黑体"/>
          <w:sz w:val="24"/>
          <w:szCs w:val="24"/>
        </w:rPr>
        <w:t>D</w:t>
      </w:r>
      <w:r>
        <w:rPr>
          <w:rStyle w:val="3"/>
          <w:rFonts w:hint="eastAsia" w:eastAsia="黑体"/>
          <w:sz w:val="24"/>
          <w:szCs w:val="24"/>
        </w:rPr>
        <w:t>级、连续两年（最近第二年和最近第一年）评为</w:t>
      </w:r>
      <w:r>
        <w:rPr>
          <w:rStyle w:val="3"/>
          <w:rFonts w:eastAsia="黑体"/>
          <w:sz w:val="24"/>
          <w:szCs w:val="24"/>
        </w:rPr>
        <w:t>C</w:t>
      </w:r>
      <w:r>
        <w:rPr>
          <w:rStyle w:val="3"/>
          <w:rFonts w:hint="eastAsia" w:eastAsia="黑体"/>
          <w:sz w:val="24"/>
          <w:szCs w:val="24"/>
        </w:rPr>
        <w:t>级信用等级的投标人投标。</w:t>
      </w:r>
    </w:p>
    <w:p>
      <w:pPr>
        <w:pStyle w:val="6"/>
        <w:widowControl/>
        <w:spacing w:line="420" w:lineRule="atLeast"/>
        <w:ind w:firstLine="482" w:firstLineChars="200"/>
        <w:outlineLvl w:val="2"/>
        <w:rPr>
          <w:rStyle w:val="3"/>
          <w:rFonts w:eastAsia="华文新魏"/>
          <w:sz w:val="24"/>
        </w:rPr>
      </w:pPr>
      <w:r>
        <w:rPr>
          <w:rStyle w:val="3"/>
          <w:rFonts w:eastAsia="黑体"/>
          <w:b/>
          <w:bCs/>
          <w:sz w:val="24"/>
          <w:szCs w:val="20"/>
        </w:rPr>
        <w:t xml:space="preserve">3.6 </w:t>
      </w:r>
      <w:r>
        <w:rPr>
          <w:rStyle w:val="3"/>
          <w:rFonts w:hint="eastAsia" w:eastAsia="黑体"/>
          <w:sz w:val="24"/>
          <w:szCs w:val="20"/>
        </w:rPr>
        <w:t>招标人不接受</w:t>
      </w:r>
      <w:r>
        <w:rPr>
          <w:rStyle w:val="3"/>
          <w:rFonts w:hint="eastAsia" w:eastAsia="黑体"/>
          <w:sz w:val="24"/>
        </w:rPr>
        <w:t>在全国企业信用信息公示系统（</w:t>
      </w:r>
      <w:r>
        <w:rPr>
          <w:rStyle w:val="3"/>
          <w:rFonts w:eastAsia="黑体"/>
          <w:sz w:val="24"/>
        </w:rPr>
        <w:t>http://www.gsxt.gov.cn</w:t>
      </w:r>
      <w:r>
        <w:rPr>
          <w:rStyle w:val="3"/>
          <w:rFonts w:hint="eastAsia" w:eastAsia="黑体"/>
          <w:sz w:val="24"/>
        </w:rPr>
        <w:t>）中被列入严重违法失信企业名单的或在</w:t>
      </w:r>
      <w:r>
        <w:rPr>
          <w:rStyle w:val="3"/>
          <w:rFonts w:eastAsia="黑体"/>
          <w:sz w:val="24"/>
        </w:rPr>
        <w:t>“</w:t>
      </w:r>
      <w:r>
        <w:rPr>
          <w:rStyle w:val="3"/>
          <w:rFonts w:hint="eastAsia" w:eastAsia="黑体"/>
          <w:sz w:val="24"/>
        </w:rPr>
        <w:t>信用中国</w:t>
      </w:r>
      <w:r>
        <w:rPr>
          <w:rStyle w:val="3"/>
          <w:rFonts w:eastAsia="黑体"/>
          <w:sz w:val="24"/>
        </w:rPr>
        <w:t>”</w:t>
      </w:r>
      <w:r>
        <w:rPr>
          <w:rStyle w:val="3"/>
          <w:rFonts w:hint="eastAsia" w:eastAsia="黑体"/>
          <w:sz w:val="24"/>
        </w:rPr>
        <w:t>网站（</w:t>
      </w:r>
      <w:r>
        <w:rPr>
          <w:rStyle w:val="3"/>
          <w:rFonts w:eastAsia="黑体"/>
          <w:sz w:val="24"/>
        </w:rPr>
        <w:t>www.creditchina.gov.cn</w:t>
      </w:r>
      <w:r>
        <w:rPr>
          <w:rStyle w:val="3"/>
          <w:rFonts w:hint="eastAsia" w:eastAsia="黑体"/>
          <w:sz w:val="24"/>
        </w:rPr>
        <w:t>）中被列入失信被执行人名单的投标人投标。</w:t>
      </w:r>
    </w:p>
    <w:p>
      <w:pPr>
        <w:pStyle w:val="6"/>
        <w:keepNext/>
        <w:keepLines/>
        <w:spacing w:before="240" w:after="240" w:line="240" w:lineRule="atLeast"/>
        <w:outlineLvl w:val="2"/>
        <w:rPr>
          <w:rStyle w:val="3"/>
          <w:rFonts w:eastAsia="黑体"/>
          <w:b/>
          <w:bCs/>
          <w:kern w:val="44"/>
          <w:sz w:val="28"/>
          <w:szCs w:val="28"/>
        </w:rPr>
      </w:pPr>
      <w:bookmarkStart w:id="13" w:name="_Toc510015652"/>
      <w:bookmarkStart w:id="14" w:name="_Toc256000005"/>
      <w:bookmarkStart w:id="15" w:name="_Toc503235718"/>
      <w:r>
        <w:rPr>
          <w:rStyle w:val="3"/>
          <w:rFonts w:eastAsia="黑体"/>
          <w:b/>
          <w:bCs/>
          <w:kern w:val="44"/>
          <w:sz w:val="28"/>
          <w:szCs w:val="28"/>
        </w:rPr>
        <w:t xml:space="preserve">4. </w:t>
      </w:r>
      <w:r>
        <w:rPr>
          <w:rStyle w:val="3"/>
          <w:rFonts w:hint="eastAsia" w:eastAsia="黑体"/>
          <w:b/>
          <w:bCs/>
          <w:kern w:val="44"/>
          <w:sz w:val="28"/>
          <w:szCs w:val="28"/>
        </w:rPr>
        <w:t>招标文件的获取</w:t>
      </w:r>
      <w:bookmarkEnd w:id="13"/>
      <w:bookmarkEnd w:id="14"/>
      <w:bookmarkEnd w:id="15"/>
    </w:p>
    <w:p>
      <w:pPr>
        <w:pStyle w:val="6"/>
        <w:tabs>
          <w:tab w:val="left" w:pos="360"/>
        </w:tabs>
        <w:spacing w:line="400" w:lineRule="atLeast"/>
        <w:ind w:firstLine="480" w:firstLineChars="200"/>
        <w:outlineLvl w:val="2"/>
        <w:rPr>
          <w:rStyle w:val="3"/>
          <w:sz w:val="24"/>
          <w:szCs w:val="24"/>
        </w:rPr>
      </w:pPr>
      <w:r>
        <w:rPr>
          <w:rStyle w:val="3"/>
          <w:sz w:val="24"/>
          <w:szCs w:val="24"/>
        </w:rPr>
        <w:t xml:space="preserve">4.1 </w:t>
      </w:r>
      <w:r>
        <w:rPr>
          <w:rStyle w:val="3"/>
          <w:rFonts w:hint="eastAsia"/>
          <w:sz w:val="24"/>
          <w:szCs w:val="24"/>
        </w:rPr>
        <w:t>凡有意参加投标者，请</w:t>
      </w:r>
      <w:bookmarkStart w:id="16" w:name="_Hlk13753773"/>
      <w:bookmarkStart w:id="17" w:name="_Hlk13753756"/>
      <w:r>
        <w:rPr>
          <w:rStyle w:val="3"/>
          <w:rFonts w:hint="eastAsia"/>
          <w:sz w:val="24"/>
          <w:szCs w:val="24"/>
        </w:rPr>
        <w:t>登录湖南省公路建设市场信用信息管理系统（网址：</w:t>
      </w:r>
      <w:r>
        <w:rPr>
          <w:rStyle w:val="3"/>
          <w:sz w:val="24"/>
          <w:szCs w:val="24"/>
        </w:rPr>
        <w:t>http://218.76.40.80:8000/gljs</w:t>
      </w:r>
      <w:r>
        <w:rPr>
          <w:rStyle w:val="3"/>
          <w:rFonts w:hint="eastAsia"/>
          <w:sz w:val="24"/>
          <w:szCs w:val="24"/>
        </w:rPr>
        <w:t>）中注册、完善、公开本单位信息（新用户注册请联系</w:t>
      </w:r>
      <w:r>
        <w:rPr>
          <w:rStyle w:val="3"/>
          <w:rFonts w:hint="eastAsia"/>
          <w:sz w:val="24"/>
          <w:szCs w:val="24"/>
          <w:u w:val="single"/>
        </w:rPr>
        <w:t>湖南省交通运输厅《关于湖南省公路建设市场信用信息管理系统（新开发）运行的通知》（厅办函〔2016〕204号）文件中的联系方式办理）</w:t>
      </w:r>
      <w:r>
        <w:rPr>
          <w:rStyle w:val="3"/>
          <w:rFonts w:hint="eastAsia"/>
          <w:sz w:val="24"/>
          <w:szCs w:val="24"/>
        </w:rPr>
        <w:t>，并在湖南省公共资源交易中心办理</w:t>
      </w:r>
      <w:r>
        <w:rPr>
          <w:rStyle w:val="3"/>
          <w:sz w:val="24"/>
          <w:szCs w:val="24"/>
        </w:rPr>
        <w:t>CA</w:t>
      </w:r>
      <w:r>
        <w:rPr>
          <w:rStyle w:val="3"/>
          <w:rFonts w:hint="eastAsia"/>
          <w:sz w:val="24"/>
          <w:szCs w:val="24"/>
        </w:rPr>
        <w:t>数字证书（具体流程参见网址：http://www.hnsdzjy.com/）。</w:t>
      </w:r>
    </w:p>
    <w:p>
      <w:pPr>
        <w:pStyle w:val="6"/>
        <w:widowControl/>
        <w:spacing w:line="400" w:lineRule="atLeast"/>
        <w:ind w:firstLine="480" w:firstLineChars="200"/>
        <w:outlineLvl w:val="2"/>
        <w:rPr>
          <w:rStyle w:val="3"/>
          <w:rFonts w:eastAsia="黑体"/>
          <w:sz w:val="24"/>
          <w:szCs w:val="24"/>
        </w:rPr>
      </w:pPr>
      <w:bookmarkStart w:id="18" w:name="_Hlk13753853"/>
      <w:bookmarkStart w:id="19" w:name="_Hlk2752451"/>
      <w:r>
        <w:rPr>
          <w:rStyle w:val="3"/>
          <w:rFonts w:eastAsia="黑体"/>
          <w:sz w:val="24"/>
          <w:szCs w:val="24"/>
        </w:rPr>
        <w:t xml:space="preserve">4.2 </w:t>
      </w:r>
      <w:r>
        <w:rPr>
          <w:rStyle w:val="3"/>
          <w:rFonts w:hint="eastAsia" w:eastAsia="黑体"/>
          <w:sz w:val="24"/>
          <w:szCs w:val="24"/>
        </w:rPr>
        <w:t>办理完成</w:t>
      </w:r>
      <w:r>
        <w:rPr>
          <w:rStyle w:val="3"/>
          <w:rFonts w:eastAsia="黑体"/>
          <w:sz w:val="24"/>
          <w:szCs w:val="24"/>
        </w:rPr>
        <w:t>CA</w:t>
      </w:r>
      <w:r>
        <w:rPr>
          <w:rStyle w:val="3"/>
          <w:rFonts w:hint="eastAsia" w:eastAsia="黑体"/>
          <w:sz w:val="24"/>
          <w:szCs w:val="24"/>
        </w:rPr>
        <w:t>数字认证后，</w:t>
      </w:r>
      <w:r>
        <w:rPr>
          <w:rStyle w:val="3"/>
          <w:rFonts w:hint="eastAsia" w:eastAsia="黑体"/>
          <w:sz w:val="24"/>
          <w:szCs w:val="20"/>
        </w:rPr>
        <w:t>请于招标公告发布之日至投标文件递交截止之日前一日（北京时间，下同）</w:t>
      </w:r>
      <w:r>
        <w:rPr>
          <w:rStyle w:val="3"/>
          <w:rFonts w:hint="eastAsia" w:eastAsia="黑体"/>
          <w:sz w:val="24"/>
          <w:szCs w:val="24"/>
        </w:rPr>
        <w:t>，通过互联网使用</w:t>
      </w:r>
      <w:r>
        <w:rPr>
          <w:rStyle w:val="3"/>
          <w:rFonts w:eastAsia="黑体"/>
          <w:sz w:val="24"/>
          <w:szCs w:val="24"/>
        </w:rPr>
        <w:t>CA</w:t>
      </w:r>
      <w:r>
        <w:rPr>
          <w:rStyle w:val="3"/>
          <w:rFonts w:hint="eastAsia" w:eastAsia="黑体"/>
          <w:sz w:val="24"/>
          <w:szCs w:val="24"/>
        </w:rPr>
        <w:t>数字证书登录湖南省公共资源交易中心进场交易系统（以下简称：“电子交易平台”，网址：</w:t>
      </w:r>
      <w:r>
        <w:rPr>
          <w:rStyle w:val="3"/>
          <w:rFonts w:eastAsia="黑体"/>
          <w:sz w:val="24"/>
          <w:szCs w:val="24"/>
        </w:rPr>
        <w:t>http://222.240.80.75/tpbidder</w:t>
      </w:r>
      <w:r>
        <w:rPr>
          <w:rStyle w:val="3"/>
          <w:rFonts w:hint="eastAsia" w:eastAsia="黑体"/>
          <w:sz w:val="24"/>
          <w:szCs w:val="24"/>
        </w:rPr>
        <w:t>），进行报名后下载招标文件、图纸等相关资料，完成报名。联合体投标的，由联合体牵头人完成报名、招标文件等资料下载。</w:t>
      </w:r>
      <w:r>
        <w:rPr>
          <w:rStyle w:val="3"/>
          <w:rFonts w:eastAsia="黑体"/>
          <w:sz w:val="24"/>
          <w:szCs w:val="24"/>
          <w:vertAlign w:val="superscript"/>
        </w:rPr>
        <w:footnoteReference w:id="6"/>
      </w:r>
    </w:p>
    <w:p>
      <w:pPr>
        <w:pStyle w:val="6"/>
        <w:widowControl/>
        <w:spacing w:line="400" w:lineRule="atLeast"/>
        <w:ind w:firstLine="480" w:firstLineChars="200"/>
        <w:outlineLvl w:val="2"/>
        <w:rPr>
          <w:rStyle w:val="3"/>
          <w:kern w:val="0"/>
          <w:sz w:val="24"/>
          <w:szCs w:val="24"/>
        </w:rPr>
      </w:pPr>
      <w:r>
        <w:rPr>
          <w:rStyle w:val="3"/>
          <w:rFonts w:eastAsia="黑体"/>
          <w:sz w:val="24"/>
          <w:szCs w:val="24"/>
        </w:rPr>
        <w:t xml:space="preserve">4.3 </w:t>
      </w:r>
      <w:r>
        <w:rPr>
          <w:rStyle w:val="3"/>
          <w:rFonts w:hint="eastAsia" w:eastAsia="黑体"/>
          <w:sz w:val="24"/>
          <w:szCs w:val="24"/>
        </w:rPr>
        <w:t>投标人应及时关注网上相关招标信息，如有遗漏招标人概不负责，所造成的投标失败或损失由投标人自行负责。</w:t>
      </w:r>
      <w:r>
        <w:rPr>
          <w:rStyle w:val="3"/>
          <w:rFonts w:hint="eastAsia" w:eastAsia="黑体"/>
          <w:sz w:val="24"/>
        </w:rPr>
        <w:t>投标人在办理CA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w:t>
      </w:r>
      <w:r>
        <w:rPr>
          <w:rStyle w:val="3"/>
          <w:rFonts w:hint="eastAsia" w:eastAsia="黑体"/>
          <w:sz w:val="24"/>
          <w:szCs w:val="24"/>
        </w:rPr>
        <w:t>未按规定从湖南省公共资源交易中心进场交易系统下载招标文件的，招标人将拒收其投标。</w:t>
      </w:r>
    </w:p>
    <w:bookmarkEnd w:id="16"/>
    <w:bookmarkEnd w:id="17"/>
    <w:bookmarkEnd w:id="18"/>
    <w:bookmarkEnd w:id="19"/>
    <w:p>
      <w:pPr>
        <w:pStyle w:val="6"/>
        <w:keepNext/>
        <w:keepLines/>
        <w:spacing w:before="240" w:after="240" w:line="240" w:lineRule="atLeast"/>
        <w:outlineLvl w:val="2"/>
        <w:rPr>
          <w:rStyle w:val="3"/>
          <w:rFonts w:eastAsia="黑体"/>
          <w:b/>
          <w:bCs/>
          <w:kern w:val="44"/>
          <w:sz w:val="28"/>
          <w:szCs w:val="28"/>
        </w:rPr>
      </w:pPr>
      <w:bookmarkStart w:id="20" w:name="_Toc510015653"/>
      <w:bookmarkStart w:id="21" w:name="_Toc503235719"/>
      <w:bookmarkStart w:id="22" w:name="_Toc256000006"/>
      <w:r>
        <w:rPr>
          <w:rStyle w:val="3"/>
          <w:rFonts w:eastAsia="黑体"/>
          <w:b/>
          <w:bCs/>
          <w:kern w:val="44"/>
          <w:sz w:val="28"/>
          <w:szCs w:val="28"/>
        </w:rPr>
        <w:t xml:space="preserve">5. </w:t>
      </w:r>
      <w:r>
        <w:rPr>
          <w:rStyle w:val="3"/>
          <w:rFonts w:hint="eastAsia" w:eastAsia="黑体"/>
          <w:b/>
          <w:bCs/>
          <w:kern w:val="44"/>
          <w:sz w:val="28"/>
          <w:szCs w:val="28"/>
        </w:rPr>
        <w:t>投标文件的递交及相关事宜</w:t>
      </w:r>
      <w:bookmarkEnd w:id="20"/>
      <w:bookmarkEnd w:id="21"/>
      <w:bookmarkEnd w:id="22"/>
    </w:p>
    <w:p>
      <w:pPr>
        <w:pStyle w:val="6"/>
        <w:spacing w:line="400" w:lineRule="atLeast"/>
        <w:ind w:firstLine="480" w:firstLineChars="200"/>
        <w:outlineLvl w:val="2"/>
        <w:rPr>
          <w:rStyle w:val="3"/>
          <w:sz w:val="24"/>
          <w:szCs w:val="24"/>
        </w:rPr>
      </w:pPr>
      <w:r>
        <w:rPr>
          <w:rStyle w:val="3"/>
          <w:sz w:val="24"/>
          <w:szCs w:val="24"/>
        </w:rPr>
        <w:t xml:space="preserve">5.1 </w:t>
      </w:r>
      <w:r>
        <w:rPr>
          <w:rStyle w:val="3"/>
          <w:rFonts w:hint="eastAsia" w:eastAsia="黑体"/>
          <w:sz w:val="24"/>
          <w:szCs w:val="20"/>
        </w:rPr>
        <w:t>招标人不组织工程现场踏勘及投标预备会。</w:t>
      </w:r>
    </w:p>
    <w:p>
      <w:pPr>
        <w:pStyle w:val="15"/>
        <w:autoSpaceDE w:val="0"/>
        <w:autoSpaceDN w:val="0"/>
        <w:adjustRightInd w:val="0"/>
        <w:spacing w:line="400" w:lineRule="exact"/>
        <w:ind w:firstLine="480"/>
        <w:outlineLvl w:val="2"/>
        <w:rPr>
          <w:rStyle w:val="3"/>
          <w:rFonts w:eastAsia="黑体"/>
          <w:sz w:val="24"/>
          <w:szCs w:val="20"/>
        </w:rPr>
      </w:pPr>
      <w:r>
        <w:rPr>
          <w:rStyle w:val="3"/>
          <w:sz w:val="24"/>
          <w:szCs w:val="24"/>
        </w:rPr>
        <w:t>5.2</w:t>
      </w:r>
      <w:bookmarkStart w:id="23" w:name="_Hlk13754210"/>
      <w:r>
        <w:rPr>
          <w:rStyle w:val="3"/>
          <w:rFonts w:hint="eastAsia" w:eastAsia="黑体"/>
          <w:sz w:val="24"/>
          <w:szCs w:val="20"/>
        </w:rPr>
        <w:t>投标文件递交截止时间（投标截止时间，下同）</w:t>
      </w:r>
      <w:r>
        <w:rPr>
          <w:rStyle w:val="3"/>
          <w:rFonts w:hint="eastAsia" w:eastAsia="黑体"/>
          <w:sz w:val="24"/>
          <w:szCs w:val="20"/>
          <w:highlight w:val="none"/>
        </w:rPr>
        <w:t>为202</w:t>
      </w:r>
      <w:r>
        <w:rPr>
          <w:rStyle w:val="3"/>
          <w:rFonts w:hint="eastAsia" w:eastAsia="黑体"/>
          <w:sz w:val="24"/>
          <w:szCs w:val="20"/>
          <w:highlight w:val="none"/>
          <w:lang w:val="en-US" w:eastAsia="zh-CN"/>
        </w:rPr>
        <w:t>2</w:t>
      </w:r>
      <w:r>
        <w:rPr>
          <w:rStyle w:val="3"/>
          <w:rFonts w:hint="eastAsia" w:eastAsia="黑体"/>
          <w:sz w:val="24"/>
          <w:szCs w:val="20"/>
          <w:highlight w:val="none"/>
        </w:rPr>
        <w:t>年</w:t>
      </w:r>
      <w:r>
        <w:rPr>
          <w:rStyle w:val="3"/>
          <w:rFonts w:hint="eastAsia" w:eastAsia="黑体"/>
          <w:sz w:val="24"/>
          <w:szCs w:val="20"/>
          <w:highlight w:val="none"/>
          <w:lang w:val="en-US" w:eastAsia="zh-CN"/>
        </w:rPr>
        <w:t>5</w:t>
      </w:r>
      <w:r>
        <w:rPr>
          <w:rStyle w:val="3"/>
          <w:rFonts w:hint="eastAsia" w:eastAsia="黑体"/>
          <w:sz w:val="24"/>
          <w:szCs w:val="20"/>
          <w:highlight w:val="none"/>
        </w:rPr>
        <w:t>月</w:t>
      </w:r>
      <w:r>
        <w:rPr>
          <w:rStyle w:val="3"/>
          <w:rFonts w:hint="eastAsia" w:eastAsia="黑体"/>
          <w:sz w:val="24"/>
          <w:szCs w:val="20"/>
          <w:highlight w:val="none"/>
          <w:lang w:val="en-US" w:eastAsia="zh-CN"/>
        </w:rPr>
        <w:t>13</w:t>
      </w:r>
      <w:r>
        <w:rPr>
          <w:rStyle w:val="3"/>
          <w:rFonts w:hint="eastAsia" w:eastAsia="黑体"/>
          <w:sz w:val="24"/>
          <w:szCs w:val="20"/>
          <w:highlight w:val="none"/>
        </w:rPr>
        <w:t>日上午</w:t>
      </w:r>
      <w:r>
        <w:rPr>
          <w:rStyle w:val="3"/>
          <w:rFonts w:hint="eastAsia" w:eastAsia="黑体"/>
          <w:sz w:val="24"/>
          <w:szCs w:val="20"/>
          <w:highlight w:val="none"/>
          <w:lang w:val="en-US" w:eastAsia="zh-CN"/>
        </w:rPr>
        <w:t>9</w:t>
      </w:r>
      <w:r>
        <w:rPr>
          <w:rStyle w:val="3"/>
          <w:rFonts w:hint="eastAsia" w:eastAsia="黑体"/>
          <w:sz w:val="24"/>
          <w:szCs w:val="20"/>
          <w:highlight w:val="none"/>
        </w:rPr>
        <w:t>：00（北京时间）</w:t>
      </w:r>
      <w:r>
        <w:rPr>
          <w:rStyle w:val="3"/>
          <w:rFonts w:hint="eastAsia" w:eastAsia="黑体"/>
          <w:sz w:val="24"/>
          <w:szCs w:val="20"/>
          <w:highlight w:val="none"/>
          <w:lang w:eastAsia="zh-CN"/>
        </w:rPr>
        <w:t>，</w:t>
      </w:r>
      <w:r>
        <w:rPr>
          <w:rStyle w:val="3"/>
          <w:rFonts w:hint="eastAsia" w:eastAsia="黑体"/>
          <w:sz w:val="24"/>
          <w:szCs w:val="20"/>
        </w:rPr>
        <w:t>投标人应当在投标截止时间前，按下列两种方式递交投标文件：</w:t>
      </w:r>
    </w:p>
    <w:p>
      <w:pPr>
        <w:pStyle w:val="17"/>
        <w:spacing w:line="400" w:lineRule="exact"/>
        <w:ind w:firstLine="480" w:firstLineChars="200"/>
        <w:outlineLvl w:val="2"/>
        <w:rPr>
          <w:rStyle w:val="3"/>
          <w:rFonts w:hint="eastAsia" w:eastAsia="黑体"/>
          <w:sz w:val="24"/>
          <w:szCs w:val="20"/>
        </w:rPr>
      </w:pPr>
      <w:r>
        <w:rPr>
          <w:rStyle w:val="3"/>
          <w:rFonts w:hint="eastAsia" w:eastAsia="黑体"/>
          <w:sz w:val="24"/>
          <w:szCs w:val="20"/>
        </w:rPr>
        <w:t>投标文件包括加密的投标文件和不加密的投标文件（U 盘或设置密码的压缩文件形式）。投标文件递交的截止时间(投标截止时间，下同)见湖南省公共资源交易中心工程建设项目招投标交易系统本招标公告正文上方，投标人应当在投标截止时间前，按下列两种方式同时递交投标文件：</w:t>
      </w:r>
    </w:p>
    <w:p>
      <w:pPr>
        <w:pStyle w:val="20"/>
        <w:numPr>
          <w:ilvl w:val="0"/>
          <w:numId w:val="1"/>
        </w:numPr>
        <w:spacing w:line="400" w:lineRule="exact"/>
        <w:ind w:firstLine="480" w:firstLineChars="200"/>
        <w:outlineLvl w:val="2"/>
        <w:rPr>
          <w:rStyle w:val="3"/>
          <w:rFonts w:hint="eastAsia" w:eastAsia="黑体"/>
          <w:sz w:val="24"/>
          <w:szCs w:val="20"/>
        </w:rPr>
      </w:pPr>
      <w:r>
        <w:rPr>
          <w:rStyle w:val="3"/>
          <w:rFonts w:hint="eastAsia" w:eastAsia="黑体"/>
          <w:sz w:val="24"/>
          <w:szCs w:val="20"/>
        </w:rPr>
        <w:t>网上递交：投标人应当在投标截止时间前，通过互联网使用CA数字证书登录“交易系统”，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10"/>
        <w:spacing w:line="400" w:lineRule="atLeast"/>
        <w:ind w:firstLine="480" w:firstLineChars="200"/>
        <w:outlineLvl w:val="2"/>
        <w:rPr>
          <w:rStyle w:val="3"/>
          <w:sz w:val="24"/>
          <w:szCs w:val="24"/>
        </w:rPr>
      </w:pPr>
      <w:r>
        <w:rPr>
          <w:rStyle w:val="3"/>
          <w:rFonts w:hint="eastAsia" w:eastAsia="黑体"/>
          <w:sz w:val="24"/>
          <w:szCs w:val="20"/>
        </w:rPr>
        <w:t>（二）原件等资料送达：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w:t>
      </w:r>
      <w:r>
        <w:rPr>
          <w:rStyle w:val="3"/>
          <w:rFonts w:eastAsia="黑体"/>
          <w:sz w:val="24"/>
          <w:szCs w:val="20"/>
        </w:rPr>
        <w:t xml:space="preserve">U </w:t>
      </w:r>
      <w:r>
        <w:rPr>
          <w:rStyle w:val="3"/>
          <w:rFonts w:hint="eastAsia" w:eastAsia="黑体"/>
          <w:sz w:val="24"/>
          <w:szCs w:val="20"/>
        </w:rPr>
        <w:t>盘或设置密码的压缩文件形式）进行开标。招标人允许投标人将投标保函原件和银行查询授权书原件（如有）按照招标文件要求密封后（封套注明项目名称、招标编号、投标人名称），采用邮寄方式最晚于开标之日前一日下午17:00前交招标人签收（以签收时间为准），邮寄地址：湖南省长沙市天心区友谊路413号运成大厦12楼1207罗先生收（联系电话15873193335）。若投标人自愿到达开标现场参加开标活动的，应当在开标当日投标截止时间之前，将不加密的投标文件(投标文件第一信封（商务和技术文件）和投标文件第二信封（报价文件）)（ U 盘备份）及投标保函原件和银行查询授权书原件（如有）按照招标文件要求密封后，递交至湖南省长沙市雨花区万家丽南路二段29号湖南省公共资源交易中心开标室（具体开标室请见一楼电子显示屏）交招标人签收；投标人在原件等资料递交完成后，请在三楼休息区、一楼办事大厅休息，禁止进入不见面开标室或在门口、过道聚集。同时投标人须携带加密投标文件的 CA 数字证书、笔记本电脑并自备可靠的网络连接，全程做好防护，戴好口罩，并按湖南省公共资源交易中心的要求落实相关疫情防控措施。” 逾期送达的、未送达指定地点的或不按照招标文件要求密封的投标文件，招标人将予以拒收。</w:t>
      </w:r>
    </w:p>
    <w:bookmarkEnd w:id="23"/>
    <w:p>
      <w:pPr>
        <w:pStyle w:val="6"/>
        <w:spacing w:line="400" w:lineRule="atLeast"/>
        <w:ind w:firstLine="480" w:firstLineChars="200"/>
        <w:outlineLvl w:val="2"/>
        <w:rPr>
          <w:rStyle w:val="3"/>
          <w:rFonts w:eastAsia="黑体"/>
          <w:sz w:val="24"/>
          <w:szCs w:val="20"/>
        </w:rPr>
      </w:pPr>
      <w:r>
        <w:rPr>
          <w:rStyle w:val="3"/>
          <w:rFonts w:eastAsia="黑体"/>
          <w:sz w:val="24"/>
          <w:szCs w:val="24"/>
        </w:rPr>
        <w:t xml:space="preserve">5.3 </w:t>
      </w:r>
      <w:r>
        <w:rPr>
          <w:rStyle w:val="3"/>
          <w:rFonts w:hint="eastAsia" w:eastAsia="黑体"/>
          <w:sz w:val="24"/>
          <w:szCs w:val="20"/>
        </w:rPr>
        <w:t>投标保证金的递交：</w:t>
      </w:r>
    </w:p>
    <w:p>
      <w:pPr>
        <w:pStyle w:val="6"/>
        <w:autoSpaceDE w:val="0"/>
        <w:autoSpaceDN w:val="0"/>
        <w:adjustRightInd w:val="0"/>
        <w:spacing w:line="400" w:lineRule="exact"/>
        <w:ind w:firstLine="480"/>
        <w:outlineLvl w:val="2"/>
        <w:rPr>
          <w:rStyle w:val="3"/>
          <w:rFonts w:eastAsia="黑体"/>
          <w:b/>
          <w:bCs/>
          <w:sz w:val="24"/>
          <w:szCs w:val="20"/>
        </w:rPr>
      </w:pPr>
      <w:r>
        <w:rPr>
          <w:rStyle w:val="3"/>
          <w:rFonts w:hint="eastAsia" w:eastAsia="黑体"/>
          <w:sz w:val="24"/>
          <w:szCs w:val="20"/>
        </w:rPr>
        <w:t>投标保证金的金额：</w:t>
      </w:r>
      <w:r>
        <w:rPr>
          <w:rStyle w:val="3"/>
          <w:rFonts w:eastAsia="黑体"/>
          <w:sz w:val="24"/>
          <w:szCs w:val="20"/>
          <w:u w:val="single"/>
        </w:rPr>
        <w:t xml:space="preserve"> </w:t>
      </w:r>
      <w:r>
        <w:rPr>
          <w:rStyle w:val="3"/>
          <w:rFonts w:hint="eastAsia" w:eastAsia="黑体"/>
          <w:sz w:val="24"/>
          <w:szCs w:val="20"/>
          <w:u w:val="single"/>
        </w:rPr>
        <w:t>第JL</w:t>
      </w:r>
      <w:r>
        <w:rPr>
          <w:rStyle w:val="3"/>
          <w:rFonts w:eastAsia="黑体"/>
          <w:sz w:val="24"/>
          <w:szCs w:val="20"/>
          <w:u w:val="single"/>
        </w:rPr>
        <w:t xml:space="preserve"> </w:t>
      </w:r>
      <w:r>
        <w:rPr>
          <w:rStyle w:val="3"/>
          <w:rFonts w:hint="eastAsia" w:eastAsia="黑体"/>
          <w:sz w:val="24"/>
          <w:szCs w:val="20"/>
        </w:rPr>
        <w:t xml:space="preserve">标段 </w:t>
      </w:r>
      <w:r>
        <w:rPr>
          <w:rStyle w:val="3"/>
          <w:rFonts w:hint="eastAsia" w:eastAsia="黑体"/>
          <w:sz w:val="24"/>
          <w:szCs w:val="20"/>
          <w:u w:val="single"/>
        </w:rPr>
        <w:t xml:space="preserve">25 </w:t>
      </w:r>
      <w:r>
        <w:rPr>
          <w:rStyle w:val="3"/>
          <w:rFonts w:hint="eastAsia" w:eastAsia="黑体"/>
          <w:sz w:val="24"/>
          <w:szCs w:val="20"/>
        </w:rPr>
        <w:t>万元</w:t>
      </w:r>
    </w:p>
    <w:p>
      <w:pPr>
        <w:pStyle w:val="6"/>
        <w:autoSpaceDE w:val="0"/>
        <w:autoSpaceDN w:val="0"/>
        <w:adjustRightInd w:val="0"/>
        <w:spacing w:line="400" w:lineRule="exact"/>
        <w:ind w:firstLine="480"/>
        <w:outlineLvl w:val="2"/>
        <w:rPr>
          <w:rStyle w:val="3"/>
          <w:rFonts w:eastAsia="黑体"/>
          <w:sz w:val="24"/>
          <w:szCs w:val="20"/>
        </w:rPr>
      </w:pPr>
      <w:r>
        <w:rPr>
          <w:rStyle w:val="3"/>
          <w:rFonts w:hint="eastAsia" w:eastAsia="黑体"/>
          <w:sz w:val="24"/>
          <w:szCs w:val="20"/>
        </w:rPr>
        <w:t>（</w:t>
      </w:r>
      <w:r>
        <w:rPr>
          <w:rStyle w:val="3"/>
          <w:rFonts w:eastAsia="黑体"/>
          <w:sz w:val="24"/>
          <w:szCs w:val="20"/>
        </w:rPr>
        <w:t>1</w:t>
      </w:r>
      <w:r>
        <w:rPr>
          <w:rStyle w:val="3"/>
          <w:rFonts w:hint="eastAsia" w:eastAsia="黑体"/>
          <w:sz w:val="24"/>
          <w:szCs w:val="20"/>
        </w:rPr>
        <w:t>）</w:t>
      </w:r>
      <w:bookmarkStart w:id="24" w:name="_Hlk11941435"/>
      <w:r>
        <w:rPr>
          <w:rStyle w:val="3"/>
          <w:rFonts w:hint="eastAsia" w:eastAsia="黑体"/>
          <w:sz w:val="24"/>
          <w:szCs w:val="20"/>
        </w:rPr>
        <w:t>投标人采用现金或者支票形式提交的投标保证金应当从其基本账户转出，投标人应在投标截止时间前以转账、电汇、网银方式从投标人基本账户一次性划款到以下指定投标保证金专用账号上（以到账时间为准）</w:t>
      </w:r>
      <w:bookmarkEnd w:id="24"/>
      <w:r>
        <w:rPr>
          <w:rStyle w:val="3"/>
          <w:rFonts w:hint="eastAsia" w:eastAsia="黑体"/>
          <w:sz w:val="24"/>
          <w:szCs w:val="20"/>
        </w:rPr>
        <w:t>。</w:t>
      </w:r>
    </w:p>
    <w:p>
      <w:pPr>
        <w:pStyle w:val="23"/>
        <w:autoSpaceDE w:val="0"/>
        <w:autoSpaceDN w:val="0"/>
        <w:adjustRightInd w:val="0"/>
        <w:spacing w:line="400" w:lineRule="exact"/>
        <w:ind w:firstLine="480"/>
        <w:outlineLvl w:val="2"/>
        <w:rPr>
          <w:rStyle w:val="3"/>
          <w:rFonts w:eastAsia="黑体"/>
          <w:sz w:val="24"/>
          <w:szCs w:val="20"/>
        </w:rPr>
      </w:pPr>
      <w:r>
        <w:rPr>
          <w:rStyle w:val="3"/>
          <w:rFonts w:hint="eastAsia" w:eastAsia="黑体"/>
          <w:sz w:val="24"/>
          <w:szCs w:val="20"/>
        </w:rPr>
        <w:t>招标标段：第JL标段</w:t>
      </w:r>
    </w:p>
    <w:p>
      <w:pPr>
        <w:pStyle w:val="24"/>
        <w:autoSpaceDE w:val="0"/>
        <w:autoSpaceDN w:val="0"/>
        <w:adjustRightInd w:val="0"/>
        <w:spacing w:line="400" w:lineRule="exact"/>
        <w:ind w:firstLine="480"/>
        <w:outlineLvl w:val="2"/>
        <w:rPr>
          <w:rStyle w:val="3"/>
          <w:rFonts w:eastAsia="黑体"/>
          <w:sz w:val="24"/>
          <w:szCs w:val="20"/>
        </w:rPr>
      </w:pPr>
      <w:r>
        <w:rPr>
          <w:rStyle w:val="3"/>
          <w:rFonts w:hint="eastAsia" w:eastAsia="黑体"/>
          <w:sz w:val="24"/>
          <w:szCs w:val="20"/>
        </w:rPr>
        <w:t>户</w:t>
      </w:r>
      <w:r>
        <w:rPr>
          <w:rStyle w:val="3"/>
          <w:rFonts w:eastAsia="黑体"/>
          <w:sz w:val="24"/>
          <w:szCs w:val="20"/>
        </w:rPr>
        <w:t xml:space="preserve">    </w:t>
      </w:r>
      <w:r>
        <w:rPr>
          <w:rStyle w:val="3"/>
          <w:rFonts w:hint="eastAsia" w:eastAsia="黑体"/>
          <w:sz w:val="24"/>
          <w:szCs w:val="20"/>
        </w:rPr>
        <w:t>名：</w:t>
      </w:r>
      <w:r>
        <w:rPr>
          <w:rStyle w:val="3"/>
          <w:rFonts w:hint="eastAsia" w:ascii="微软雅黑" w:hAnsi="微软雅黑" w:eastAsia="微软雅黑" w:cs="Tahoma"/>
          <w:szCs w:val="21"/>
        </w:rPr>
        <w:t>湖南省公共资源交易中心</w:t>
      </w:r>
    </w:p>
    <w:p>
      <w:pPr>
        <w:pStyle w:val="25"/>
        <w:autoSpaceDE w:val="0"/>
        <w:autoSpaceDN w:val="0"/>
        <w:adjustRightInd w:val="0"/>
        <w:spacing w:line="400" w:lineRule="exact"/>
        <w:ind w:firstLine="480"/>
        <w:outlineLvl w:val="2"/>
        <w:rPr>
          <w:rStyle w:val="3"/>
          <w:rFonts w:eastAsia="微软雅黑"/>
          <w:sz w:val="24"/>
          <w:szCs w:val="20"/>
        </w:rPr>
      </w:pPr>
      <w:r>
        <w:rPr>
          <w:rStyle w:val="3"/>
          <w:rFonts w:hint="eastAsia" w:eastAsia="黑体"/>
          <w:sz w:val="24"/>
          <w:szCs w:val="20"/>
        </w:rPr>
        <w:t>开户银行：</w:t>
      </w:r>
      <w:r>
        <w:rPr>
          <w:rStyle w:val="3"/>
          <w:rFonts w:hint="eastAsia" w:ascii="微软雅黑" w:hAnsi="微软雅黑" w:eastAsia="微软雅黑" w:cs="Tahoma"/>
          <w:szCs w:val="21"/>
        </w:rPr>
        <w:t>长沙银行湘府路支行</w:t>
      </w:r>
    </w:p>
    <w:p>
      <w:pPr>
        <w:pStyle w:val="23"/>
        <w:autoSpaceDE w:val="0"/>
        <w:autoSpaceDN w:val="0"/>
        <w:adjustRightInd w:val="0"/>
        <w:spacing w:line="400" w:lineRule="exact"/>
        <w:ind w:firstLine="480"/>
        <w:outlineLvl w:val="2"/>
        <w:rPr>
          <w:rStyle w:val="3"/>
          <w:rFonts w:eastAsia="黑体"/>
          <w:sz w:val="24"/>
          <w:szCs w:val="20"/>
        </w:rPr>
      </w:pPr>
      <w:r>
        <w:rPr>
          <w:rStyle w:val="3"/>
          <w:rFonts w:hint="eastAsia" w:eastAsia="黑体"/>
          <w:sz w:val="24"/>
          <w:szCs w:val="20"/>
        </w:rPr>
        <w:t>账</w:t>
      </w:r>
      <w:r>
        <w:rPr>
          <w:rStyle w:val="3"/>
          <w:rFonts w:eastAsia="黑体"/>
          <w:sz w:val="24"/>
          <w:szCs w:val="20"/>
        </w:rPr>
        <w:t xml:space="preserve">    </w:t>
      </w:r>
      <w:r>
        <w:rPr>
          <w:rStyle w:val="3"/>
          <w:rFonts w:hint="eastAsia" w:eastAsia="黑体"/>
          <w:sz w:val="24"/>
          <w:szCs w:val="20"/>
        </w:rPr>
        <w:t>号：6</w:t>
      </w:r>
      <w:r>
        <w:rPr>
          <w:rStyle w:val="3"/>
          <w:rFonts w:eastAsia="黑体"/>
          <w:sz w:val="24"/>
          <w:szCs w:val="20"/>
        </w:rPr>
        <w:t>07053163</w:t>
      </w:r>
    </w:p>
    <w:p>
      <w:pPr>
        <w:pStyle w:val="6"/>
        <w:autoSpaceDE w:val="0"/>
        <w:autoSpaceDN w:val="0"/>
        <w:adjustRightInd w:val="0"/>
        <w:spacing w:line="400" w:lineRule="exact"/>
        <w:ind w:firstLine="480"/>
        <w:outlineLvl w:val="2"/>
        <w:rPr>
          <w:rStyle w:val="3"/>
          <w:rFonts w:hint="eastAsia" w:eastAsia="黑体"/>
          <w:sz w:val="24"/>
          <w:szCs w:val="20"/>
        </w:rPr>
      </w:pPr>
    </w:p>
    <w:p>
      <w:pPr>
        <w:pStyle w:val="6"/>
        <w:autoSpaceDE w:val="0"/>
        <w:autoSpaceDN w:val="0"/>
        <w:adjustRightInd w:val="0"/>
        <w:spacing w:line="400" w:lineRule="exact"/>
        <w:ind w:firstLine="480"/>
        <w:outlineLvl w:val="2"/>
        <w:rPr>
          <w:rStyle w:val="3"/>
          <w:rFonts w:eastAsia="黑体"/>
          <w:sz w:val="24"/>
          <w:szCs w:val="20"/>
        </w:rPr>
      </w:pPr>
      <w:r>
        <w:rPr>
          <w:rStyle w:val="3"/>
          <w:rFonts w:hint="eastAsia" w:eastAsia="黑体"/>
          <w:sz w:val="24"/>
          <w:szCs w:val="20"/>
        </w:rPr>
        <w:t>（</w:t>
      </w:r>
      <w:r>
        <w:rPr>
          <w:rStyle w:val="3"/>
          <w:rFonts w:eastAsia="黑体"/>
          <w:sz w:val="24"/>
          <w:szCs w:val="20"/>
        </w:rPr>
        <w:t>2</w:t>
      </w:r>
      <w:r>
        <w:rPr>
          <w:rStyle w:val="3"/>
          <w:rFonts w:hint="eastAsia" w:eastAsia="黑体"/>
          <w:sz w:val="24"/>
          <w:szCs w:val="20"/>
        </w:rPr>
        <w:t>）采用银行保函时，应由投标人开立基本账户的银行出具（联合体投标的，由牵头人开立基本账户的银行出具）保函，与银行查询授权书原件一并在投标截止时间前交招标人。</w:t>
      </w:r>
    </w:p>
    <w:p>
      <w:pPr>
        <w:pStyle w:val="6"/>
        <w:keepNext/>
        <w:keepLines/>
        <w:spacing w:before="240" w:after="240" w:line="240" w:lineRule="atLeast"/>
        <w:outlineLvl w:val="2"/>
        <w:rPr>
          <w:rStyle w:val="3"/>
          <w:rFonts w:eastAsia="黑体"/>
          <w:b/>
          <w:bCs/>
          <w:kern w:val="44"/>
          <w:sz w:val="28"/>
          <w:szCs w:val="28"/>
        </w:rPr>
      </w:pPr>
      <w:bookmarkStart w:id="25" w:name="_Toc256000007"/>
      <w:bookmarkStart w:id="26" w:name="_Toc517377022"/>
      <w:r>
        <w:rPr>
          <w:rStyle w:val="3"/>
          <w:rFonts w:eastAsia="黑体"/>
          <w:b/>
          <w:bCs/>
          <w:kern w:val="44"/>
          <w:sz w:val="28"/>
          <w:szCs w:val="28"/>
        </w:rPr>
        <w:t>6</w:t>
      </w:r>
      <w:r>
        <w:rPr>
          <w:rStyle w:val="3"/>
          <w:rFonts w:hint="eastAsia" w:eastAsia="黑体"/>
          <w:b/>
          <w:bCs/>
          <w:kern w:val="44"/>
          <w:sz w:val="28"/>
          <w:szCs w:val="28"/>
        </w:rPr>
        <w:t>．评标办法</w:t>
      </w:r>
      <w:bookmarkEnd w:id="25"/>
      <w:bookmarkEnd w:id="26"/>
    </w:p>
    <w:p>
      <w:pPr>
        <w:pStyle w:val="6"/>
        <w:topLinePunct/>
        <w:spacing w:line="400" w:lineRule="atLeast"/>
        <w:ind w:firstLine="360" w:firstLineChars="150"/>
        <w:outlineLvl w:val="2"/>
        <w:rPr>
          <w:rStyle w:val="3"/>
          <w:rFonts w:eastAsia="黑体"/>
          <w:sz w:val="24"/>
          <w:szCs w:val="20"/>
        </w:rPr>
      </w:pPr>
      <w:r>
        <w:rPr>
          <w:rStyle w:val="3"/>
          <w:rFonts w:hint="eastAsia" w:eastAsia="黑体"/>
          <w:sz w:val="24"/>
          <w:szCs w:val="20"/>
        </w:rPr>
        <w:t>本项目评标办法采用综合评估法。</w:t>
      </w:r>
    </w:p>
    <w:p>
      <w:pPr>
        <w:pStyle w:val="6"/>
        <w:keepNext/>
        <w:keepLines/>
        <w:spacing w:before="240" w:after="240" w:line="240" w:lineRule="atLeast"/>
        <w:outlineLvl w:val="2"/>
        <w:rPr>
          <w:rStyle w:val="3"/>
          <w:rFonts w:eastAsia="黑体"/>
          <w:b/>
          <w:bCs/>
          <w:kern w:val="44"/>
          <w:sz w:val="28"/>
          <w:szCs w:val="28"/>
        </w:rPr>
      </w:pPr>
      <w:bookmarkStart w:id="27" w:name="_Toc256000008"/>
      <w:bookmarkStart w:id="28" w:name="_Toc503235720"/>
      <w:bookmarkStart w:id="29" w:name="_Toc510015654"/>
      <w:r>
        <w:rPr>
          <w:rStyle w:val="3"/>
          <w:rFonts w:eastAsia="黑体"/>
          <w:b/>
          <w:bCs/>
          <w:kern w:val="44"/>
          <w:sz w:val="28"/>
          <w:szCs w:val="28"/>
        </w:rPr>
        <w:t xml:space="preserve">7. </w:t>
      </w:r>
      <w:r>
        <w:rPr>
          <w:rStyle w:val="3"/>
          <w:rFonts w:hint="eastAsia" w:eastAsia="黑体"/>
          <w:b/>
          <w:bCs/>
          <w:kern w:val="44"/>
          <w:sz w:val="28"/>
          <w:szCs w:val="28"/>
        </w:rPr>
        <w:t>发布公告的媒介</w:t>
      </w:r>
      <w:bookmarkEnd w:id="27"/>
      <w:bookmarkEnd w:id="28"/>
      <w:bookmarkEnd w:id="29"/>
    </w:p>
    <w:p>
      <w:pPr>
        <w:pStyle w:val="10"/>
        <w:widowControl/>
        <w:spacing w:line="420" w:lineRule="atLeast"/>
        <w:ind w:firstLine="480" w:firstLineChars="200"/>
        <w:outlineLvl w:val="2"/>
        <w:rPr>
          <w:rStyle w:val="3"/>
          <w:rFonts w:eastAsia="黑体"/>
          <w:sz w:val="24"/>
        </w:rPr>
      </w:pPr>
      <w:bookmarkStart w:id="30" w:name="_Hlk2752506"/>
      <w:bookmarkStart w:id="31" w:name="_Toc516774588"/>
      <w:r>
        <w:rPr>
          <w:rStyle w:val="3"/>
          <w:rFonts w:hint="eastAsia" w:eastAsia="黑体"/>
          <w:sz w:val="24"/>
        </w:rPr>
        <w:t>本次招标公告同时在中国招标投标公共服务平台（http://bulletin.cebpubservice.com/）、湖南省招标投标监管网（www.bidding.hunan.gov.cn）、湖南省交通运输厅网（http://jtt.hunan.gov.cn/）、湖南省公共资源交易中心上发布。</w:t>
      </w:r>
    </w:p>
    <w:bookmarkEnd w:id="30"/>
    <w:p>
      <w:pPr>
        <w:pStyle w:val="6"/>
        <w:keepNext/>
        <w:keepLines/>
        <w:spacing w:before="240" w:after="240" w:line="240" w:lineRule="atLeast"/>
        <w:outlineLvl w:val="2"/>
        <w:rPr>
          <w:rStyle w:val="3"/>
          <w:rFonts w:eastAsia="黑体"/>
          <w:b/>
          <w:bCs/>
          <w:kern w:val="44"/>
          <w:sz w:val="28"/>
          <w:szCs w:val="28"/>
        </w:rPr>
      </w:pPr>
      <w:bookmarkStart w:id="32" w:name="_Toc256000009"/>
      <w:r>
        <w:rPr>
          <w:rStyle w:val="3"/>
          <w:rFonts w:eastAsia="黑体"/>
          <w:b/>
          <w:bCs/>
          <w:kern w:val="44"/>
          <w:sz w:val="28"/>
          <w:szCs w:val="28"/>
        </w:rPr>
        <w:t xml:space="preserve">8. </w:t>
      </w:r>
      <w:r>
        <w:rPr>
          <w:rStyle w:val="3"/>
          <w:rFonts w:hint="eastAsia" w:eastAsia="黑体"/>
          <w:b/>
          <w:bCs/>
          <w:kern w:val="44"/>
          <w:sz w:val="28"/>
          <w:szCs w:val="28"/>
        </w:rPr>
        <w:t>附件</w:t>
      </w:r>
      <w:bookmarkEnd w:id="31"/>
      <w:bookmarkEnd w:id="32"/>
    </w:p>
    <w:p>
      <w:pPr>
        <w:pStyle w:val="6"/>
        <w:topLinePunct/>
        <w:spacing w:line="400" w:lineRule="atLeast"/>
        <w:ind w:firstLine="480" w:firstLineChars="200"/>
        <w:outlineLvl w:val="2"/>
        <w:rPr>
          <w:rStyle w:val="3"/>
          <w:rFonts w:eastAsia="黑体"/>
          <w:sz w:val="24"/>
          <w:szCs w:val="24"/>
        </w:rPr>
      </w:pPr>
      <w:r>
        <w:rPr>
          <w:rStyle w:val="3"/>
          <w:rFonts w:hint="eastAsia" w:eastAsia="黑体"/>
          <w:sz w:val="24"/>
          <w:szCs w:val="24"/>
        </w:rPr>
        <w:t>附件</w:t>
      </w:r>
      <w:r>
        <w:rPr>
          <w:rStyle w:val="3"/>
          <w:rFonts w:eastAsia="黑体"/>
          <w:sz w:val="24"/>
          <w:szCs w:val="24"/>
        </w:rPr>
        <w:t>1</w:t>
      </w:r>
      <w:r>
        <w:rPr>
          <w:rStyle w:val="3"/>
          <w:rFonts w:hint="eastAsia" w:eastAsia="黑体"/>
          <w:sz w:val="24"/>
          <w:szCs w:val="24"/>
        </w:rPr>
        <w:t>：资格审查条件要求（详见第二章</w:t>
      </w:r>
      <w:r>
        <w:rPr>
          <w:rStyle w:val="3"/>
          <w:rFonts w:eastAsia="黑体"/>
          <w:sz w:val="24"/>
          <w:szCs w:val="24"/>
        </w:rPr>
        <w:t xml:space="preserve"> </w:t>
      </w:r>
      <w:r>
        <w:rPr>
          <w:rStyle w:val="3"/>
          <w:rFonts w:hint="eastAsia" w:eastAsia="黑体"/>
          <w:sz w:val="24"/>
          <w:szCs w:val="24"/>
        </w:rPr>
        <w:t>投标人须知之附录）</w:t>
      </w:r>
    </w:p>
    <w:p>
      <w:pPr>
        <w:pStyle w:val="6"/>
        <w:topLinePunct/>
        <w:spacing w:line="400" w:lineRule="atLeast"/>
        <w:ind w:firstLine="480" w:firstLineChars="200"/>
        <w:outlineLvl w:val="2"/>
        <w:rPr>
          <w:rStyle w:val="3"/>
          <w:rFonts w:eastAsia="黑体"/>
          <w:sz w:val="24"/>
          <w:szCs w:val="24"/>
        </w:rPr>
      </w:pPr>
      <w:r>
        <w:rPr>
          <w:rStyle w:val="3"/>
          <w:rFonts w:hint="eastAsia" w:eastAsia="黑体"/>
          <w:sz w:val="24"/>
          <w:szCs w:val="24"/>
        </w:rPr>
        <w:t>附件</w:t>
      </w:r>
      <w:r>
        <w:rPr>
          <w:rStyle w:val="3"/>
          <w:rFonts w:eastAsia="黑体"/>
          <w:sz w:val="24"/>
          <w:szCs w:val="24"/>
        </w:rPr>
        <w:t>2</w:t>
      </w:r>
      <w:r>
        <w:rPr>
          <w:rStyle w:val="3"/>
          <w:rFonts w:hint="eastAsia" w:eastAsia="黑体"/>
          <w:sz w:val="24"/>
          <w:szCs w:val="24"/>
        </w:rPr>
        <w:t>：评标办法</w:t>
      </w:r>
      <w:r>
        <w:rPr>
          <w:rStyle w:val="3"/>
          <w:rFonts w:eastAsia="黑体"/>
          <w:sz w:val="24"/>
          <w:szCs w:val="24"/>
        </w:rPr>
        <w:t>(</w:t>
      </w:r>
      <w:r>
        <w:rPr>
          <w:rStyle w:val="3"/>
          <w:rFonts w:hint="eastAsia" w:eastAsia="黑体"/>
          <w:sz w:val="24"/>
          <w:szCs w:val="24"/>
        </w:rPr>
        <w:t>详见第三章</w:t>
      </w:r>
      <w:r>
        <w:rPr>
          <w:rStyle w:val="3"/>
          <w:rFonts w:eastAsia="黑体"/>
          <w:sz w:val="24"/>
          <w:szCs w:val="24"/>
        </w:rPr>
        <w:t xml:space="preserve"> </w:t>
      </w:r>
      <w:r>
        <w:rPr>
          <w:rStyle w:val="3"/>
          <w:rFonts w:hint="eastAsia" w:eastAsia="黑体"/>
          <w:sz w:val="24"/>
          <w:szCs w:val="24"/>
        </w:rPr>
        <w:t>评标办法</w:t>
      </w:r>
      <w:r>
        <w:rPr>
          <w:rStyle w:val="3"/>
          <w:rFonts w:eastAsia="黑体"/>
          <w:sz w:val="24"/>
          <w:szCs w:val="24"/>
        </w:rPr>
        <w:t>)</w:t>
      </w:r>
    </w:p>
    <w:p>
      <w:pPr>
        <w:pStyle w:val="6"/>
        <w:topLinePunct/>
        <w:spacing w:line="400" w:lineRule="atLeast"/>
        <w:ind w:firstLine="480" w:firstLineChars="200"/>
        <w:outlineLvl w:val="2"/>
        <w:rPr>
          <w:rStyle w:val="3"/>
          <w:rFonts w:hint="eastAsia" w:eastAsia="黑体"/>
          <w:sz w:val="24"/>
          <w:szCs w:val="24"/>
          <w:lang w:eastAsia="zh-CN"/>
        </w:rPr>
      </w:pPr>
      <w:r>
        <w:rPr>
          <w:rStyle w:val="3"/>
          <w:rFonts w:hint="eastAsia" w:eastAsia="黑体"/>
          <w:sz w:val="24"/>
          <w:szCs w:val="24"/>
        </w:rPr>
        <w:t>附件</w:t>
      </w:r>
      <w:r>
        <w:rPr>
          <w:rStyle w:val="3"/>
          <w:rFonts w:eastAsia="黑体"/>
          <w:sz w:val="24"/>
          <w:szCs w:val="24"/>
        </w:rPr>
        <w:t>3</w:t>
      </w:r>
      <w:r>
        <w:rPr>
          <w:rStyle w:val="3"/>
          <w:rFonts w:hint="eastAsia" w:eastAsia="黑体"/>
          <w:sz w:val="24"/>
          <w:szCs w:val="24"/>
        </w:rPr>
        <w:t>：项目概况</w:t>
      </w:r>
      <w:r>
        <w:rPr>
          <w:rStyle w:val="3"/>
          <w:rFonts w:hint="eastAsia" w:eastAsia="黑体"/>
          <w:sz w:val="24"/>
          <w:szCs w:val="24"/>
          <w:lang w:eastAsia="zh-CN"/>
        </w:rPr>
        <w:t>（</w:t>
      </w:r>
      <w:r>
        <w:rPr>
          <w:rStyle w:val="3"/>
          <w:rFonts w:hint="eastAsia" w:eastAsia="黑体"/>
          <w:sz w:val="24"/>
          <w:szCs w:val="24"/>
          <w:lang w:val="en-US" w:eastAsia="zh-CN"/>
        </w:rPr>
        <w:t>详见招标文件</w:t>
      </w:r>
      <w:bookmarkStart w:id="38" w:name="_GoBack"/>
      <w:bookmarkEnd w:id="38"/>
      <w:r>
        <w:rPr>
          <w:rStyle w:val="3"/>
          <w:rFonts w:hint="eastAsia" w:eastAsia="黑体"/>
          <w:sz w:val="24"/>
          <w:szCs w:val="24"/>
          <w:lang w:eastAsia="zh-CN"/>
        </w:rPr>
        <w:t>）</w:t>
      </w:r>
    </w:p>
    <w:p>
      <w:pPr>
        <w:pStyle w:val="6"/>
        <w:keepNext/>
        <w:keepLines/>
        <w:spacing w:before="240" w:after="240" w:line="240" w:lineRule="atLeast"/>
        <w:outlineLvl w:val="2"/>
        <w:rPr>
          <w:rStyle w:val="3"/>
          <w:rFonts w:eastAsia="黑体"/>
          <w:b/>
          <w:bCs/>
          <w:kern w:val="44"/>
          <w:sz w:val="28"/>
          <w:szCs w:val="28"/>
        </w:rPr>
      </w:pPr>
      <w:bookmarkStart w:id="33" w:name="_Toc256000010"/>
      <w:bookmarkStart w:id="34" w:name="_Toc510015655"/>
      <w:bookmarkStart w:id="35" w:name="_Toc503235721"/>
      <w:r>
        <w:rPr>
          <w:rStyle w:val="3"/>
          <w:rFonts w:eastAsia="黑体"/>
          <w:b/>
          <w:bCs/>
          <w:kern w:val="44"/>
          <w:sz w:val="28"/>
          <w:szCs w:val="28"/>
        </w:rPr>
        <w:t xml:space="preserve">9. </w:t>
      </w:r>
      <w:r>
        <w:rPr>
          <w:rStyle w:val="3"/>
          <w:rFonts w:hint="eastAsia" w:eastAsia="黑体"/>
          <w:b/>
          <w:bCs/>
          <w:kern w:val="44"/>
          <w:sz w:val="28"/>
          <w:szCs w:val="28"/>
        </w:rPr>
        <w:t>联系方式</w:t>
      </w:r>
      <w:bookmarkEnd w:id="33"/>
      <w:bookmarkEnd w:id="34"/>
      <w:bookmarkEnd w:id="35"/>
    </w:p>
    <w:p>
      <w:pPr>
        <w:pStyle w:val="26"/>
        <w:topLinePunct/>
        <w:spacing w:line="400" w:lineRule="atLeast"/>
        <w:ind w:firstLine="480" w:firstLineChars="200"/>
        <w:outlineLvl w:val="2"/>
        <w:rPr>
          <w:rStyle w:val="3"/>
          <w:sz w:val="24"/>
        </w:rPr>
      </w:pPr>
      <w:r>
        <w:rPr>
          <w:rStyle w:val="3"/>
          <w:rFonts w:hint="eastAsia"/>
          <w:sz w:val="24"/>
        </w:rPr>
        <w:t>委</w:t>
      </w:r>
      <w:r>
        <w:rPr>
          <w:rStyle w:val="3"/>
          <w:rFonts w:hint="eastAsia"/>
          <w:sz w:val="24"/>
          <w:lang w:val="en-US" w:eastAsia="zh-CN"/>
        </w:rPr>
        <w:t xml:space="preserve"> </w:t>
      </w:r>
      <w:r>
        <w:rPr>
          <w:rStyle w:val="3"/>
          <w:rFonts w:hint="eastAsia"/>
          <w:sz w:val="24"/>
        </w:rPr>
        <w:t>托 人</w:t>
      </w:r>
      <w:r>
        <w:rPr>
          <w:rStyle w:val="3"/>
          <w:sz w:val="24"/>
        </w:rPr>
        <w:t>：</w:t>
      </w:r>
      <w:r>
        <w:rPr>
          <w:rStyle w:val="3"/>
          <w:rFonts w:hint="eastAsia"/>
          <w:sz w:val="24"/>
        </w:rPr>
        <w:t>湖南省新新张官高速公路建设开发有限公司</w:t>
      </w:r>
    </w:p>
    <w:p>
      <w:pPr>
        <w:pStyle w:val="27"/>
        <w:topLinePunct/>
        <w:spacing w:line="400" w:lineRule="atLeast"/>
        <w:ind w:firstLine="480" w:firstLineChars="200"/>
        <w:outlineLvl w:val="2"/>
        <w:rPr>
          <w:rStyle w:val="3"/>
          <w:sz w:val="24"/>
        </w:rPr>
      </w:pPr>
      <w:r>
        <w:rPr>
          <w:rStyle w:val="3"/>
          <w:sz w:val="24"/>
        </w:rPr>
        <w:t>地    址：长沙市开福区三一大道500号</w:t>
      </w:r>
    </w:p>
    <w:p>
      <w:pPr>
        <w:pStyle w:val="28"/>
        <w:topLinePunct/>
        <w:spacing w:line="400" w:lineRule="atLeast"/>
        <w:ind w:firstLine="480" w:firstLineChars="200"/>
        <w:outlineLvl w:val="2"/>
        <w:rPr>
          <w:rStyle w:val="3"/>
          <w:sz w:val="24"/>
        </w:rPr>
      </w:pPr>
      <w:r>
        <w:rPr>
          <w:rStyle w:val="3"/>
          <w:sz w:val="24"/>
        </w:rPr>
        <w:t>联 系 人：</w:t>
      </w:r>
      <w:r>
        <w:rPr>
          <w:rStyle w:val="3"/>
          <w:rFonts w:hint="eastAsia"/>
          <w:sz w:val="24"/>
        </w:rPr>
        <w:t>吴先生</w:t>
      </w:r>
      <w:r>
        <w:rPr>
          <w:rStyle w:val="3"/>
          <w:sz w:val="24"/>
        </w:rPr>
        <w:t xml:space="preserve">      </w:t>
      </w:r>
    </w:p>
    <w:p>
      <w:pPr>
        <w:pStyle w:val="29"/>
        <w:topLinePunct/>
        <w:spacing w:line="400" w:lineRule="atLeast"/>
        <w:ind w:firstLine="480" w:firstLineChars="200"/>
        <w:outlineLvl w:val="2"/>
        <w:rPr>
          <w:rStyle w:val="3"/>
          <w:sz w:val="24"/>
        </w:rPr>
      </w:pPr>
      <w:r>
        <w:rPr>
          <w:rStyle w:val="3"/>
          <w:sz w:val="24"/>
        </w:rPr>
        <w:t>电    话：</w:t>
      </w:r>
      <w:r>
        <w:rPr>
          <w:rStyle w:val="3"/>
          <w:rFonts w:hint="eastAsia"/>
          <w:sz w:val="24"/>
        </w:rPr>
        <w:t>0731-89757269</w:t>
      </w:r>
      <w:r>
        <w:rPr>
          <w:rStyle w:val="3"/>
          <w:sz w:val="24"/>
          <w:szCs w:val="24"/>
        </w:rPr>
        <w:t xml:space="preserve"> </w:t>
      </w:r>
    </w:p>
    <w:p>
      <w:pPr>
        <w:pStyle w:val="30"/>
        <w:autoSpaceDE w:val="0"/>
        <w:autoSpaceDN w:val="0"/>
        <w:adjustRightInd w:val="0"/>
        <w:spacing w:line="420" w:lineRule="exact"/>
        <w:ind w:firstLine="480" w:firstLineChars="200"/>
        <w:jc w:val="left"/>
        <w:outlineLvl w:val="2"/>
        <w:rPr>
          <w:rStyle w:val="3"/>
          <w:rFonts w:hint="eastAsia" w:ascii="宋体" w:hAnsi="宋体"/>
          <w:sz w:val="24"/>
        </w:rPr>
      </w:pPr>
    </w:p>
    <w:p>
      <w:pPr>
        <w:pStyle w:val="30"/>
        <w:autoSpaceDE w:val="0"/>
        <w:autoSpaceDN w:val="0"/>
        <w:adjustRightInd w:val="0"/>
        <w:spacing w:line="420" w:lineRule="exact"/>
        <w:ind w:firstLine="480" w:firstLineChars="200"/>
        <w:jc w:val="left"/>
        <w:outlineLvl w:val="2"/>
        <w:rPr>
          <w:rStyle w:val="3"/>
          <w:rFonts w:hint="eastAsia" w:ascii="宋体" w:hAnsi="宋体"/>
          <w:sz w:val="24"/>
        </w:rPr>
      </w:pPr>
      <w:r>
        <w:rPr>
          <w:rStyle w:val="3"/>
          <w:rFonts w:hint="eastAsia" w:ascii="宋体" w:hAnsi="宋体"/>
          <w:sz w:val="24"/>
        </w:rPr>
        <w:t>招标代理：中科高盛咨询集团有限公司</w:t>
      </w:r>
    </w:p>
    <w:p>
      <w:pPr>
        <w:pStyle w:val="31"/>
        <w:autoSpaceDE w:val="0"/>
        <w:autoSpaceDN w:val="0"/>
        <w:adjustRightInd w:val="0"/>
        <w:spacing w:line="420" w:lineRule="exact"/>
        <w:ind w:firstLine="480" w:firstLineChars="200"/>
        <w:jc w:val="left"/>
        <w:outlineLvl w:val="2"/>
        <w:rPr>
          <w:rStyle w:val="3"/>
          <w:rFonts w:hint="eastAsia" w:ascii="宋体" w:hAnsi="宋体"/>
          <w:sz w:val="24"/>
        </w:rPr>
      </w:pPr>
      <w:r>
        <w:rPr>
          <w:rStyle w:val="3"/>
          <w:rFonts w:hint="eastAsia" w:ascii="宋体" w:cs="宋体"/>
          <w:kern w:val="0"/>
          <w:sz w:val="24"/>
        </w:rPr>
        <w:t>地    址：</w:t>
      </w:r>
      <w:r>
        <w:rPr>
          <w:rStyle w:val="3"/>
          <w:rFonts w:hint="eastAsia" w:ascii="宋体" w:hAnsi="宋体"/>
          <w:sz w:val="24"/>
        </w:rPr>
        <w:t>湖南省长沙市天心区友谊路413号运成大厦12楼</w:t>
      </w:r>
    </w:p>
    <w:p>
      <w:pPr>
        <w:pStyle w:val="32"/>
        <w:autoSpaceDE w:val="0"/>
        <w:autoSpaceDN w:val="0"/>
        <w:adjustRightInd w:val="0"/>
        <w:spacing w:line="420" w:lineRule="exact"/>
        <w:ind w:firstLine="480" w:firstLineChars="200"/>
        <w:jc w:val="left"/>
        <w:outlineLvl w:val="2"/>
        <w:rPr>
          <w:rStyle w:val="3"/>
          <w:rFonts w:hint="default" w:ascii="宋体" w:hAnsi="宋体" w:eastAsia="宋体"/>
          <w:sz w:val="24"/>
          <w:lang w:val="en-US" w:eastAsia="zh-CN"/>
        </w:rPr>
      </w:pPr>
      <w:r>
        <w:rPr>
          <w:rStyle w:val="3"/>
          <w:rFonts w:hint="eastAsia" w:ascii="宋体" w:cs="宋体"/>
          <w:kern w:val="0"/>
          <w:sz w:val="24"/>
        </w:rPr>
        <w:t xml:space="preserve">联 系 人：罗宏伟  </w:t>
      </w:r>
      <w:r>
        <w:rPr>
          <w:rStyle w:val="3"/>
          <w:rFonts w:hint="eastAsia" w:ascii="宋体" w:cs="宋体"/>
          <w:kern w:val="0"/>
          <w:sz w:val="24"/>
          <w:lang w:val="en-US" w:eastAsia="zh-CN"/>
        </w:rPr>
        <w:t>何璐</w:t>
      </w:r>
      <w:r>
        <w:rPr>
          <w:rStyle w:val="3"/>
          <w:rFonts w:hint="eastAsia" w:ascii="宋体" w:cs="宋体"/>
          <w:kern w:val="0"/>
          <w:sz w:val="24"/>
        </w:rPr>
        <w:t xml:space="preserve">  罗洲</w:t>
      </w:r>
      <w:r>
        <w:rPr>
          <w:rStyle w:val="3"/>
          <w:rFonts w:hint="eastAsia" w:ascii="宋体" w:cs="宋体"/>
          <w:kern w:val="0"/>
          <w:sz w:val="24"/>
          <w:lang w:val="en-US" w:eastAsia="zh-CN"/>
        </w:rPr>
        <w:t xml:space="preserve">   </w:t>
      </w:r>
    </w:p>
    <w:p>
      <w:pPr>
        <w:pStyle w:val="33"/>
        <w:topLinePunct/>
        <w:spacing w:line="420" w:lineRule="exact"/>
        <w:ind w:firstLine="480" w:firstLineChars="200"/>
        <w:outlineLvl w:val="2"/>
        <w:rPr>
          <w:rStyle w:val="3"/>
          <w:rFonts w:hint="default" w:ascii="宋体" w:hAnsi="宋体" w:eastAsia="宋体"/>
          <w:sz w:val="24"/>
          <w:lang w:val="en-US" w:eastAsia="zh-CN"/>
        </w:rPr>
      </w:pPr>
      <w:r>
        <w:rPr>
          <w:rStyle w:val="3"/>
          <w:rFonts w:hint="eastAsia" w:ascii="宋体" w:cs="宋体"/>
          <w:kern w:val="0"/>
          <w:sz w:val="24"/>
        </w:rPr>
        <w:t>电    话：0731-84476988</w:t>
      </w:r>
      <w:r>
        <w:rPr>
          <w:rStyle w:val="3"/>
          <w:rFonts w:hint="eastAsia" w:ascii="宋体" w:cs="宋体"/>
          <w:kern w:val="0"/>
          <w:sz w:val="24"/>
          <w:lang w:val="en-US" w:eastAsia="zh-CN"/>
        </w:rPr>
        <w:t xml:space="preserve">   0731-89873777</w:t>
      </w:r>
    </w:p>
    <w:p>
      <w:pPr>
        <w:pStyle w:val="6"/>
        <w:topLinePunct/>
        <w:spacing w:line="400" w:lineRule="atLeast"/>
        <w:ind w:firstLine="480" w:firstLineChars="200"/>
        <w:outlineLvl w:val="2"/>
        <w:rPr>
          <w:rStyle w:val="3"/>
          <w:sz w:val="24"/>
          <w:szCs w:val="24"/>
        </w:rPr>
      </w:pPr>
      <w:r>
        <w:rPr>
          <w:rStyle w:val="3"/>
          <w:sz w:val="24"/>
          <w:szCs w:val="24"/>
        </w:rPr>
        <w:t xml:space="preserve">                                                                             </w:t>
      </w:r>
    </w:p>
    <w:p>
      <w:pPr>
        <w:pStyle w:val="6"/>
        <w:topLinePunct/>
        <w:spacing w:line="400" w:lineRule="atLeast"/>
        <w:ind w:firstLine="480" w:firstLineChars="200"/>
        <w:outlineLvl w:val="2"/>
        <w:rPr>
          <w:rStyle w:val="3"/>
          <w:sz w:val="24"/>
          <w:szCs w:val="24"/>
        </w:rPr>
      </w:pPr>
      <w:r>
        <w:rPr>
          <w:rStyle w:val="3"/>
          <w:rFonts w:hint="eastAsia"/>
          <w:sz w:val="24"/>
          <w:szCs w:val="24"/>
        </w:rPr>
        <w:t>　　　　　　　　</w:t>
      </w:r>
      <w:r>
        <w:rPr>
          <w:rStyle w:val="3"/>
          <w:sz w:val="24"/>
          <w:szCs w:val="24"/>
        </w:rPr>
        <w:t xml:space="preserve"> </w:t>
      </w:r>
      <w:r>
        <w:rPr>
          <w:rStyle w:val="3"/>
          <w:rFonts w:hint="eastAsia"/>
          <w:sz w:val="24"/>
          <w:szCs w:val="24"/>
        </w:rPr>
        <w:t>　</w:t>
      </w:r>
      <w:r>
        <w:rPr>
          <w:rStyle w:val="3"/>
          <w:sz w:val="24"/>
          <w:szCs w:val="24"/>
        </w:rPr>
        <w:t xml:space="preserve">       </w:t>
      </w:r>
      <w:r>
        <w:rPr>
          <w:rStyle w:val="3"/>
          <w:rFonts w:hint="eastAsia"/>
          <w:sz w:val="24"/>
          <w:szCs w:val="24"/>
        </w:rPr>
        <w:t>　　　</w:t>
      </w:r>
    </w:p>
    <w:p>
      <w:pPr>
        <w:pStyle w:val="32"/>
        <w:spacing w:line="400" w:lineRule="atLeast"/>
        <w:ind w:firstLine="480" w:firstLineChars="200"/>
        <w:outlineLvl w:val="2"/>
        <w:rPr>
          <w:rStyle w:val="3"/>
          <w:rFonts w:hint="eastAsia" w:ascii="黑体" w:hAnsi="黑体" w:eastAsia="黑体" w:cs="黑体"/>
          <w:sz w:val="24"/>
        </w:rPr>
      </w:pPr>
      <w:r>
        <w:rPr>
          <w:rStyle w:val="3"/>
          <w:rFonts w:hint="eastAsia" w:ascii="黑体" w:hAnsi="黑体" w:eastAsia="黑体" w:cs="黑体"/>
          <w:sz w:val="24"/>
        </w:rPr>
        <w:t>监督部门：湖南省交通运输厅</w:t>
      </w:r>
    </w:p>
    <w:p>
      <w:pPr>
        <w:pStyle w:val="33"/>
        <w:spacing w:line="400" w:lineRule="atLeast"/>
        <w:ind w:firstLine="480" w:firstLineChars="200"/>
        <w:outlineLvl w:val="2"/>
        <w:rPr>
          <w:rStyle w:val="3"/>
          <w:rFonts w:hint="eastAsia" w:ascii="黑体" w:hAnsi="黑体" w:eastAsia="黑体" w:cs="黑体"/>
          <w:sz w:val="24"/>
        </w:rPr>
      </w:pPr>
      <w:r>
        <w:rPr>
          <w:rStyle w:val="3"/>
          <w:rFonts w:hint="eastAsia" w:ascii="黑体" w:hAnsi="黑体" w:eastAsia="黑体" w:cs="黑体"/>
          <w:sz w:val="24"/>
        </w:rPr>
        <w:t>地址：长沙市湘府西路199号</w:t>
      </w:r>
    </w:p>
    <w:p>
      <w:pPr>
        <w:pStyle w:val="34"/>
        <w:spacing w:line="400" w:lineRule="atLeast"/>
        <w:ind w:firstLine="480" w:firstLineChars="200"/>
        <w:outlineLvl w:val="2"/>
        <w:rPr>
          <w:rStyle w:val="3"/>
          <w:rFonts w:hint="eastAsia" w:ascii="黑体" w:hAnsi="黑体" w:eastAsia="黑体" w:cs="黑体"/>
          <w:sz w:val="24"/>
        </w:rPr>
      </w:pPr>
      <w:r>
        <w:rPr>
          <w:rStyle w:val="3"/>
          <w:rFonts w:hint="eastAsia" w:ascii="黑体" w:hAnsi="黑体" w:eastAsia="黑体" w:cs="黑体"/>
          <w:sz w:val="24"/>
        </w:rPr>
        <w:t>电话：0731-88770097（基本建设处）</w:t>
      </w:r>
    </w:p>
    <w:p>
      <w:pPr>
        <w:pStyle w:val="35"/>
        <w:spacing w:line="400" w:lineRule="atLeast"/>
        <w:ind w:firstLine="480" w:firstLineChars="200"/>
        <w:outlineLvl w:val="2"/>
        <w:rPr>
          <w:rStyle w:val="3"/>
          <w:rFonts w:hint="eastAsia" w:ascii="黑体" w:hAnsi="黑体" w:eastAsia="黑体" w:cs="黑体"/>
          <w:sz w:val="24"/>
        </w:rPr>
      </w:pPr>
      <w:r>
        <w:rPr>
          <w:rStyle w:val="3"/>
          <w:rFonts w:hint="eastAsia" w:ascii="黑体" w:hAnsi="黑体" w:eastAsia="黑体" w:cs="黑体"/>
          <w:sz w:val="24"/>
        </w:rPr>
        <w:t>传真：0731-88770094（基本建设处）</w:t>
      </w:r>
    </w:p>
    <w:p>
      <w:pPr>
        <w:pStyle w:val="6"/>
        <w:topLinePunct/>
        <w:spacing w:line="400" w:lineRule="atLeast"/>
        <w:ind w:firstLine="480" w:firstLineChars="200"/>
        <w:outlineLvl w:val="2"/>
      </w:pPr>
      <w:r>
        <w:rPr>
          <w:rStyle w:val="3"/>
          <w:rFonts w:hint="eastAsia" w:ascii="黑体" w:hAnsi="黑体" w:eastAsia="黑体" w:cs="黑体"/>
          <w:sz w:val="24"/>
        </w:rPr>
        <w:t>邮编：410004</w:t>
      </w:r>
      <w:r>
        <w:rPr>
          <w:rStyle w:val="3"/>
          <w:rFonts w:hint="eastAsia" w:ascii="黑体" w:hAnsi="黑体" w:eastAsia="黑体" w:cs="黑体"/>
          <w:sz w:val="24"/>
          <w:szCs w:val="24"/>
        </w:rPr>
        <w:t xml:space="preserve"> </w:t>
      </w:r>
      <w:r>
        <w:rPr>
          <w:rStyle w:val="3"/>
          <w:rFonts w:hint="eastAsia"/>
          <w:sz w:val="24"/>
          <w:szCs w:val="24"/>
        </w:rPr>
        <w:t>　</w:t>
      </w:r>
      <w:r>
        <w:rPr>
          <w:rStyle w:val="3"/>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6"/>
        <w:rPr>
          <w:rStyle w:val="3"/>
          <w:szCs w:val="18"/>
        </w:rPr>
      </w:pPr>
      <w:r>
        <w:rPr>
          <w:rStyle w:val="36"/>
          <w:bCs/>
          <w:kern w:val="0"/>
          <w:szCs w:val="20"/>
        </w:rPr>
        <w:footnoteRef/>
      </w:r>
      <w:r>
        <w:rPr>
          <w:rStyle w:val="3"/>
          <w:szCs w:val="18"/>
        </w:rPr>
        <w:t xml:space="preserve"> </w:t>
      </w:r>
      <w:r>
        <w:rPr>
          <w:rStyle w:val="3"/>
          <w:rFonts w:hint="eastAsia"/>
          <w:kern w:val="0"/>
          <w:sz w:val="18"/>
          <w:szCs w:val="18"/>
        </w:rPr>
        <w:t>本段规定仅适用于</w:t>
      </w:r>
      <w:bookmarkStart w:id="36" w:name="_Toc411777490"/>
      <w:bookmarkStart w:id="37" w:name="_Toc315861048"/>
      <w:r>
        <w:rPr>
          <w:rStyle w:val="3"/>
          <w:rFonts w:hint="eastAsia"/>
          <w:kern w:val="0"/>
          <w:sz w:val="18"/>
          <w:szCs w:val="18"/>
        </w:rPr>
        <w:t>根据《关于发布公路工程从业企业资质名录的通知》</w:t>
      </w:r>
      <w:bookmarkEnd w:id="36"/>
      <w:bookmarkEnd w:id="37"/>
      <w:r>
        <w:rPr>
          <w:rStyle w:val="3"/>
          <w:rFonts w:hint="eastAsia"/>
          <w:kern w:val="0"/>
          <w:sz w:val="18"/>
          <w:szCs w:val="18"/>
        </w:rPr>
        <w:t>（厅公路字〔</w:t>
      </w:r>
      <w:r>
        <w:rPr>
          <w:rStyle w:val="3"/>
          <w:kern w:val="0"/>
          <w:sz w:val="18"/>
          <w:szCs w:val="18"/>
        </w:rPr>
        <w:t>2011</w:t>
      </w:r>
      <w:r>
        <w:rPr>
          <w:rStyle w:val="3"/>
          <w:rFonts w:hint="eastAsia"/>
          <w:kern w:val="0"/>
          <w:sz w:val="18"/>
          <w:szCs w:val="18"/>
        </w:rPr>
        <w:t>〕</w:t>
      </w:r>
      <w:r>
        <w:rPr>
          <w:rStyle w:val="3"/>
          <w:kern w:val="0"/>
          <w:sz w:val="18"/>
          <w:szCs w:val="18"/>
        </w:rPr>
        <w:t>114</w:t>
      </w:r>
      <w:r>
        <w:rPr>
          <w:rStyle w:val="3"/>
          <w:rFonts w:hint="eastAsia"/>
          <w:kern w:val="0"/>
          <w:sz w:val="18"/>
          <w:szCs w:val="18"/>
        </w:rPr>
        <w:t>号）要求，招标人应通过名录对投标人资质条件进行审核的公路施工监理企业。</w:t>
      </w:r>
    </w:p>
  </w:footnote>
  <w:footnote w:id="1">
    <w:p>
      <w:pPr>
        <w:pStyle w:val="37"/>
        <w:spacing w:line="240" w:lineRule="auto"/>
        <w:ind w:firstLine="0"/>
        <w:rPr>
          <w:rStyle w:val="3"/>
        </w:rPr>
      </w:pPr>
      <w:r>
        <w:rPr>
          <w:rStyle w:val="36"/>
        </w:rPr>
        <w:footnoteRef/>
      </w:r>
      <w:r>
        <w:rPr>
          <w:rStyle w:val="3"/>
          <w:rFonts w:hint="eastAsia" w:ascii="黑体" w:hAnsi="黑体" w:eastAsia="黑体"/>
        </w:rPr>
        <w:t>若规定每个投标人只允许中一个标，则同一个投标人在本项目不同标段投标文件中提供的总监理工程师或驻地监理工程师人在满足资格要求的基础上可以重复（或相同）。</w:t>
      </w:r>
    </w:p>
  </w:footnote>
  <w:footnote w:id="2">
    <w:p>
      <w:pPr>
        <w:pStyle w:val="37"/>
        <w:spacing w:line="240" w:lineRule="auto"/>
        <w:ind w:firstLine="0"/>
        <w:rPr>
          <w:rStyle w:val="3"/>
          <w:rFonts w:ascii="黑体" w:hAnsi="黑体" w:eastAsia="黑体" w:cs="黑体"/>
        </w:rPr>
      </w:pPr>
      <w:r>
        <w:rPr>
          <w:rStyle w:val="36"/>
          <w:rFonts w:ascii="华文新魏" w:hAnsi="黑体" w:eastAsia="华文新魏" w:cs="黑体"/>
        </w:rPr>
        <w:footnoteRef/>
      </w:r>
      <w:r>
        <w:rPr>
          <w:rStyle w:val="3"/>
          <w:rFonts w:hint="eastAsia" w:ascii="华文新魏" w:hAnsi="黑体" w:eastAsia="华文新魏" w:cs="黑体"/>
        </w:rPr>
        <w:t xml:space="preserve"> </w:t>
      </w:r>
      <w:r>
        <w:rPr>
          <w:rStyle w:val="3"/>
          <w:rFonts w:hint="eastAsia" w:ascii="黑体" w:hAnsi="黑体" w:eastAsia="黑体" w:cs="黑体"/>
        </w:rPr>
        <w:t>单位负责人，是指单位法定代表人或者法律、行政法规规定代表单位行使职权的主要负责人。（招标文件中所列“单位负责人”均作本条解释）。</w:t>
      </w:r>
    </w:p>
  </w:footnote>
  <w:footnote w:id="3">
    <w:p>
      <w:pPr>
        <w:pStyle w:val="37"/>
        <w:spacing w:line="240" w:lineRule="auto"/>
        <w:ind w:firstLine="0"/>
        <w:rPr>
          <w:rStyle w:val="3"/>
          <w:rFonts w:hint="eastAsia" w:ascii="黑体" w:hAnsi="黑体" w:eastAsia="黑体" w:cs="黑体"/>
        </w:rPr>
      </w:pPr>
      <w:r>
        <w:rPr>
          <w:rStyle w:val="36"/>
          <w:rFonts w:ascii="黑体" w:hAnsi="黑体" w:eastAsia="黑体" w:cs="黑体"/>
        </w:rPr>
        <w:footnoteRef/>
      </w:r>
      <w:r>
        <w:rPr>
          <w:rStyle w:val="3"/>
          <w:rFonts w:hint="eastAsia"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p>
  </w:footnote>
  <w:footnote w:id="4">
    <w:p>
      <w:pPr>
        <w:pStyle w:val="37"/>
        <w:spacing w:line="240" w:lineRule="auto"/>
        <w:ind w:firstLine="0"/>
        <w:rPr>
          <w:rStyle w:val="3"/>
          <w:rFonts w:hint="eastAsia" w:ascii="华文新魏" w:hAnsi="黑体" w:eastAsia="华文新魏" w:cs="黑体"/>
        </w:rPr>
      </w:pPr>
      <w:r>
        <w:rPr>
          <w:rStyle w:val="36"/>
          <w:rFonts w:ascii="黑体" w:hAnsi="黑体" w:eastAsia="黑体" w:cs="黑体"/>
        </w:rPr>
        <w:footnoteRef/>
      </w:r>
      <w:r>
        <w:rPr>
          <w:rStyle w:val="3"/>
          <w:rFonts w:hint="eastAsia" w:ascii="黑体" w:hAnsi="黑体" w:eastAsia="黑体" w:cs="黑体"/>
        </w:rPr>
        <w:t xml:space="preserve"> 管理，是指不具有出资持股关系的其他单位之间存在的管理与被管理关系。（招标文件中所列“管理”均作本条解释）。</w:t>
      </w:r>
    </w:p>
  </w:footnote>
  <w:footnote w:id="5">
    <w:p>
      <w:pPr>
        <w:pStyle w:val="37"/>
        <w:spacing w:line="240" w:lineRule="auto"/>
        <w:ind w:firstLine="0"/>
        <w:rPr>
          <w:rStyle w:val="3"/>
          <w:rFonts w:hint="eastAsia" w:ascii="华文新魏" w:eastAsia="华文新魏"/>
        </w:rPr>
      </w:pPr>
      <w:r>
        <w:rPr>
          <w:rStyle w:val="36"/>
          <w:rFonts w:ascii="华文新魏" w:eastAsia="华文新魏"/>
        </w:rPr>
        <w:footnoteRef/>
      </w:r>
      <w:r>
        <w:rPr>
          <w:rStyle w:val="3"/>
          <w:rFonts w:hint="eastAsia" w:ascii="华文新魏" w:eastAsia="华文新魏"/>
        </w:rPr>
        <w:t xml:space="preserve"> </w:t>
      </w:r>
      <w:r>
        <w:rPr>
          <w:rStyle w:val="3"/>
          <w:rFonts w:hint="eastAsia" w:ascii="黑体" w:hAnsi="黑体" w:eastAsia="黑体"/>
        </w:rPr>
        <w:t>省属项目按省交通运输厅评价执行，市州在农村公路招投标过程中，市州交通运输局组织开展并发布的农村公路的信用评价等级结果在该市州范围内适用。对无该市农村公路信用评价等级的设计企业，应适用省厅发布的信用等级。</w:t>
      </w:r>
    </w:p>
  </w:footnote>
  <w:footnote w:id="6">
    <w:p>
      <w:pPr>
        <w:pStyle w:val="37"/>
        <w:spacing w:line="320" w:lineRule="atLeast"/>
        <w:ind w:left="180" w:hanging="180" w:hangingChars="100"/>
        <w:jc w:val="both"/>
        <w:rPr>
          <w:rStyle w:val="3"/>
          <w:rFonts w:hint="eastAsia"/>
          <w:kern w:val="2"/>
          <w:szCs w:val="18"/>
        </w:rPr>
      </w:pPr>
      <w:r>
        <w:rPr>
          <w:rStyle w:val="36"/>
        </w:rPr>
        <w:footnoteRef/>
      </w:r>
      <w:r>
        <w:rPr>
          <w:rStyle w:val="3"/>
          <w:rFonts w:hint="eastAsia" w:ascii="黑体" w:hAnsi="黑体" w:eastAsia="黑体"/>
        </w:rPr>
        <w:t>本款适用于在有关公共资源交易网下载/获取招标文件的项目。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97D92"/>
    <w:rsid w:val="0F753DCD"/>
    <w:rsid w:val="525454A6"/>
    <w:rsid w:val="54E7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文本 3_0"/>
    <w:basedOn w:val="6"/>
    <w:unhideWhenUsed/>
    <w:qFormat/>
    <w:uiPriority w:val="99"/>
    <w:rPr>
      <w:rFonts w:ascii="宋体" w:hAnsi="Times New Roman" w:eastAsia="宋体" w:cs="Times New Roman"/>
      <w:sz w:val="24"/>
      <w:szCs w:val="20"/>
    </w:rPr>
  </w:style>
  <w:style w:type="paragraph" w:customStyle="1" w:styleId="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正文_1"/>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图表目录_0"/>
    <w:basedOn w:val="7"/>
    <w:next w:val="7"/>
    <w:unhideWhenUsed/>
    <w:qFormat/>
    <w:uiPriority w:val="99"/>
    <w:pPr>
      <w:ind w:leftChars="200" w:hanging="200" w:hangingChars="200"/>
    </w:pPr>
  </w:style>
  <w:style w:type="paragraph" w:customStyle="1" w:styleId="9">
    <w:name w:val="A 正文"/>
    <w:qFormat/>
    <w:uiPriority w:val="0"/>
    <w:pPr>
      <w:spacing w:line="360" w:lineRule="auto"/>
      <w:ind w:firstLine="200" w:firstLineChars="200"/>
    </w:pPr>
    <w:rPr>
      <w:rFonts w:ascii="Times New Roman" w:hAnsi="Times New Roman" w:eastAsia="宋体" w:cs="宋体"/>
      <w:kern w:val="2"/>
      <w:sz w:val="24"/>
      <w:szCs w:val="24"/>
      <w:lang w:val="en-US" w:eastAsia="zh-CN" w:bidi="ar-SA"/>
    </w:rPr>
  </w:style>
  <w:style w:type="paragraph" w:customStyle="1" w:styleId="10">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10"/>
    <w:qFormat/>
    <w:uiPriority w:val="0"/>
    <w:rPr>
      <w:rFonts w:hint="default" w:ascii="Calibri" w:hAnsi="Calibri" w:cs="Calibri"/>
    </w:rPr>
  </w:style>
  <w:style w:type="paragraph" w:customStyle="1" w:styleId="1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_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_25"/>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首行缩进 2_24"/>
    <w:basedOn w:val="19"/>
    <w:qFormat/>
    <w:uiPriority w:val="0"/>
    <w:pPr>
      <w:spacing w:after="120" w:line="240" w:lineRule="auto"/>
      <w:ind w:left="420" w:leftChars="200" w:firstLine="420" w:firstLineChars="200"/>
    </w:pPr>
    <w:rPr>
      <w:rFonts w:ascii="Times New Roman"/>
      <w:szCs w:val="24"/>
    </w:rPr>
  </w:style>
  <w:style w:type="paragraph" w:customStyle="1" w:styleId="19">
    <w:name w:val="正文文本缩进_25"/>
    <w:basedOn w:val="17"/>
    <w:unhideWhenUsed/>
    <w:qFormat/>
    <w:uiPriority w:val="0"/>
    <w:pPr>
      <w:spacing w:after="120"/>
      <w:ind w:left="420" w:leftChars="200"/>
    </w:pPr>
    <w:rPr>
      <w:szCs w:val="24"/>
    </w:rPr>
  </w:style>
  <w:style w:type="paragraph" w:customStyle="1" w:styleId="20">
    <w:name w:val="正文_26"/>
    <w:next w:val="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首行缩进 2_25"/>
    <w:basedOn w:val="22"/>
    <w:qFormat/>
    <w:uiPriority w:val="0"/>
    <w:pPr>
      <w:spacing w:after="120" w:line="240" w:lineRule="auto"/>
      <w:ind w:left="420" w:leftChars="200" w:firstLine="420" w:firstLineChars="200"/>
    </w:pPr>
    <w:rPr>
      <w:rFonts w:ascii="Times New Roman"/>
      <w:szCs w:val="24"/>
    </w:rPr>
  </w:style>
  <w:style w:type="paragraph" w:customStyle="1" w:styleId="22">
    <w:name w:val="正文文本缩进_26"/>
    <w:basedOn w:val="20"/>
    <w:unhideWhenUsed/>
    <w:qFormat/>
    <w:uiPriority w:val="0"/>
    <w:pPr>
      <w:spacing w:after="120"/>
      <w:ind w:left="420" w:leftChars="200"/>
    </w:pPr>
    <w:rPr>
      <w:szCs w:val="24"/>
    </w:rPr>
  </w:style>
  <w:style w:type="paragraph" w:customStyle="1" w:styleId="23">
    <w:name w:val="正文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_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_4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6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脚注引用_0"/>
    <w:unhideWhenUsed/>
    <w:qFormat/>
    <w:uiPriority w:val="0"/>
    <w:rPr>
      <w:rFonts w:ascii="Times New Roman" w:hAnsi="Times New Roman"/>
      <w:vertAlign w:val="superscript"/>
    </w:rPr>
  </w:style>
  <w:style w:type="paragraph" w:customStyle="1" w:styleId="37">
    <w:name w:val="脚注文本_0"/>
    <w:basedOn w:val="6"/>
    <w:unhideWhenUsed/>
    <w:qFormat/>
    <w:uiPriority w:val="99"/>
    <w:pPr>
      <w:adjustRightInd w:val="0"/>
      <w:snapToGrid w:val="0"/>
      <w:spacing w:line="420" w:lineRule="atLeast"/>
      <w:ind w:firstLine="454"/>
      <w:jc w:val="left"/>
    </w:pPr>
    <w:rPr>
      <w:rFonts w:ascii="Times New Roman"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4061</Words>
  <Characters>4575</Characters>
  <Lines>0</Lines>
  <Paragraphs>0</Paragraphs>
  <TotalTime>3</TotalTime>
  <ScaleCrop>false</ScaleCrop>
  <LinksUpToDate>false</LinksUpToDate>
  <CharactersWithSpaces>4864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2022-04-20T07:19:27Z</dcterms:created>
  <dc:creator>49515</dc:creator>
  <cp:lastModifiedBy>49515</cp:lastModifiedBy>
  <dcterms:modified xsi:type="dcterms:W3CDTF">2022-04-20T07:26:17Z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eyJoZGlkIjoiOTRlMjVlMDgyMTkyMGQ5MTc4OTlkZmU5NmIxNTYxODgifQ==</vt:lpwstr>
  </property>
  <property fmtid="{D5CDD505-2E9C-101B-9397-08002B2CF9AE}" pid="4" name="ICV">
    <vt:lpwstr>CDA7C673F8D740EFBF52DCEC009FA364</vt:lpwstr>
  </property>
</Properties>
</file>