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Times New Roman" w:hAnsi="Times New Roman" w:eastAsia="黑体" w:cs="Times New Roman"/>
          <w:sz w:val="28"/>
          <w:szCs w:val="28"/>
          <w:u w:val="single"/>
        </w:rPr>
      </w:pPr>
      <w:bookmarkStart w:id="0" w:name="EBf7d18272dcc24bdda1e41170fcaeb318_0"/>
      <w:r>
        <w:rPr>
          <w:rFonts w:hint="eastAsia" w:ascii="Calibri" w:hAnsi="Calibri" w:eastAsia="黑体" w:cs="Times New Roman"/>
          <w:color w:val="000000"/>
          <w:sz w:val="28"/>
          <w:szCs w:val="28"/>
          <w:u w:val="single"/>
        </w:rPr>
        <w:t>湖南省沅陵</w:t>
      </w:r>
      <w:r>
        <w:rPr>
          <w:rFonts w:ascii="Calibri" w:hAnsi="Calibri" w:eastAsia="黑体" w:cs="Times New Roman"/>
          <w:color w:val="000000"/>
          <w:sz w:val="28"/>
          <w:szCs w:val="28"/>
          <w:u w:val="single"/>
        </w:rPr>
        <w:t>至</w:t>
      </w:r>
      <w:r>
        <w:rPr>
          <w:rFonts w:hint="eastAsia" w:ascii="Calibri" w:hAnsi="Calibri" w:eastAsia="黑体" w:cs="Times New Roman"/>
          <w:color w:val="000000"/>
          <w:sz w:val="28"/>
          <w:szCs w:val="28"/>
          <w:u w:val="single"/>
        </w:rPr>
        <w:t>辰溪</w:t>
      </w:r>
      <w:r>
        <w:rPr>
          <w:rFonts w:ascii="Calibri" w:hAnsi="Calibri" w:eastAsia="黑体" w:cs="Times New Roman"/>
          <w:color w:val="000000"/>
          <w:sz w:val="28"/>
          <w:szCs w:val="28"/>
          <w:u w:val="single"/>
        </w:rPr>
        <w:t>高速公路项目</w:t>
      </w:r>
      <w:bookmarkEnd w:id="0"/>
      <w:r>
        <w:rPr>
          <w:rFonts w:hint="eastAsia" w:eastAsia="黑体" w:cs="Times New Roman"/>
          <w:color w:val="000000"/>
          <w:sz w:val="28"/>
          <w:szCs w:val="28"/>
          <w:u w:val="single"/>
          <w:lang w:val="en-US" w:eastAsia="zh-CN"/>
        </w:rPr>
        <w:t>房建</w:t>
      </w:r>
      <w:r>
        <w:rPr>
          <w:rFonts w:hint="eastAsia" w:ascii="Calibri" w:hAnsi="Calibri" w:eastAsia="黑体" w:cs="Times New Roman"/>
          <w:sz w:val="28"/>
          <w:szCs w:val="28"/>
          <w:u w:val="single"/>
        </w:rPr>
        <w:t>工程施工图</w:t>
      </w:r>
      <w:r>
        <w:rPr>
          <w:rFonts w:ascii="Times New Roman" w:hAnsi="Times New Roman" w:eastAsia="黑体" w:cs="Times New Roman"/>
          <w:sz w:val="28"/>
          <w:szCs w:val="28"/>
          <w:u w:val="single"/>
        </w:rPr>
        <w:t>设计</w:t>
      </w:r>
    </w:p>
    <w:p>
      <w:pPr>
        <w:spacing w:line="440" w:lineRule="exact"/>
        <w:jc w:val="center"/>
        <w:rPr>
          <w:rFonts w:ascii="Calibri" w:hAnsi="Calibri" w:eastAsia="黑体" w:cs="Times New Roman"/>
          <w:color w:val="000000"/>
          <w:sz w:val="28"/>
          <w:szCs w:val="28"/>
        </w:rPr>
      </w:pPr>
      <w:r>
        <w:rPr>
          <w:rFonts w:hint="eastAsia" w:ascii="Calibri" w:hAnsi="Calibri" w:eastAsia="黑体" w:cs="Times New Roman"/>
          <w:sz w:val="28"/>
          <w:szCs w:val="28"/>
          <w:u w:val="single"/>
        </w:rPr>
        <w:t>YCSJ-</w:t>
      </w:r>
      <w:r>
        <w:rPr>
          <w:rFonts w:hint="eastAsia" w:eastAsia="黑体" w:cs="Times New Roman"/>
          <w:sz w:val="28"/>
          <w:szCs w:val="28"/>
          <w:u w:val="single"/>
          <w:lang w:val="en-US" w:eastAsia="zh-CN"/>
        </w:rPr>
        <w:t>2</w:t>
      </w:r>
      <w:r>
        <w:rPr>
          <w:rFonts w:hint="eastAsia" w:ascii="Calibri" w:hAnsi="Calibri" w:eastAsia="黑体" w:cs="Times New Roman"/>
          <w:sz w:val="28"/>
          <w:szCs w:val="28"/>
          <w:u w:val="single"/>
        </w:rPr>
        <w:t>标段</w:t>
      </w:r>
      <w:r>
        <w:rPr>
          <w:rFonts w:ascii="Calibri" w:hAnsi="Calibri" w:eastAsia="黑体" w:cs="Times New Roman"/>
          <w:color w:val="000000"/>
          <w:sz w:val="28"/>
          <w:szCs w:val="28"/>
        </w:rPr>
        <w:t>招标公告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27" w:firstLine="0"/>
        <w:jc w:val="center"/>
        <w:rPr>
          <w:rFonts w:ascii="微软雅黑" w:hAnsi="微软雅黑" w:eastAsia="微软雅黑" w:cs="微软雅黑"/>
          <w:i w:val="0"/>
          <w:caps w:val="0"/>
          <w:color w:val="333333"/>
          <w:spacing w:val="0"/>
          <w:sz w:val="21"/>
          <w:szCs w:val="21"/>
          <w:highlight w:val="none"/>
        </w:rPr>
      </w:pPr>
      <w:r>
        <w:rPr>
          <w:rFonts w:hint="eastAsia" w:ascii="微软雅黑" w:hAnsi="微软雅黑" w:eastAsia="微软雅黑" w:cs="微软雅黑"/>
          <w:b/>
          <w:i w:val="0"/>
          <w:caps w:val="0"/>
          <w:color w:val="333333"/>
          <w:spacing w:val="0"/>
          <w:sz w:val="21"/>
          <w:szCs w:val="21"/>
          <w:highlight w:val="none"/>
          <w:u w:val="single"/>
          <w:shd w:val="clear" w:color="auto" w:fill="FFFFFF"/>
        </w:rPr>
        <w:t>投标截止时间:202</w:t>
      </w:r>
      <w:r>
        <w:rPr>
          <w:rFonts w:hint="eastAsia" w:ascii="微软雅黑" w:hAnsi="微软雅黑" w:eastAsia="微软雅黑" w:cs="微软雅黑"/>
          <w:b/>
          <w:i w:val="0"/>
          <w:caps w:val="0"/>
          <w:color w:val="333333"/>
          <w:spacing w:val="0"/>
          <w:sz w:val="21"/>
          <w:szCs w:val="21"/>
          <w:highlight w:val="none"/>
          <w:u w:val="single"/>
          <w:shd w:val="clear" w:color="auto" w:fill="FFFFFF"/>
          <w:lang w:val="en-US" w:eastAsia="zh-CN"/>
        </w:rPr>
        <w:t>2</w:t>
      </w:r>
      <w:r>
        <w:rPr>
          <w:rFonts w:hint="eastAsia" w:ascii="微软雅黑" w:hAnsi="微软雅黑" w:eastAsia="微软雅黑" w:cs="微软雅黑"/>
          <w:b/>
          <w:i w:val="0"/>
          <w:caps w:val="0"/>
          <w:color w:val="333333"/>
          <w:spacing w:val="0"/>
          <w:sz w:val="21"/>
          <w:szCs w:val="21"/>
          <w:highlight w:val="none"/>
          <w:u w:val="single"/>
          <w:shd w:val="clear" w:color="auto" w:fill="FFFFFF"/>
        </w:rPr>
        <w:t>年</w:t>
      </w:r>
      <w:r>
        <w:rPr>
          <w:rFonts w:hint="eastAsia" w:ascii="微软雅黑" w:hAnsi="微软雅黑" w:eastAsia="微软雅黑" w:cs="微软雅黑"/>
          <w:b/>
          <w:i w:val="0"/>
          <w:caps w:val="0"/>
          <w:color w:val="333333"/>
          <w:spacing w:val="0"/>
          <w:sz w:val="21"/>
          <w:szCs w:val="21"/>
          <w:highlight w:val="none"/>
          <w:u w:val="single"/>
          <w:shd w:val="clear" w:color="auto" w:fill="FFFFFF"/>
          <w:lang w:val="en-US" w:eastAsia="zh-CN"/>
        </w:rPr>
        <w:t xml:space="preserve"> 5</w:t>
      </w:r>
      <w:r>
        <w:rPr>
          <w:rFonts w:hint="eastAsia" w:ascii="微软雅黑" w:hAnsi="微软雅黑" w:eastAsia="微软雅黑" w:cs="微软雅黑"/>
          <w:b/>
          <w:i w:val="0"/>
          <w:caps w:val="0"/>
          <w:color w:val="333333"/>
          <w:spacing w:val="0"/>
          <w:sz w:val="21"/>
          <w:szCs w:val="21"/>
          <w:highlight w:val="none"/>
          <w:u w:val="single"/>
          <w:shd w:val="clear" w:color="auto" w:fill="FFFFFF"/>
        </w:rPr>
        <w:t>月</w:t>
      </w:r>
      <w:r>
        <w:rPr>
          <w:rFonts w:hint="eastAsia" w:ascii="微软雅黑" w:hAnsi="微软雅黑" w:eastAsia="微软雅黑" w:cs="微软雅黑"/>
          <w:b/>
          <w:i w:val="0"/>
          <w:caps w:val="0"/>
          <w:color w:val="333333"/>
          <w:spacing w:val="0"/>
          <w:sz w:val="21"/>
          <w:szCs w:val="21"/>
          <w:highlight w:val="none"/>
          <w:u w:val="single"/>
          <w:shd w:val="clear" w:color="auto" w:fill="FFFFFF"/>
          <w:lang w:val="en-US" w:eastAsia="zh-CN"/>
        </w:rPr>
        <w:t xml:space="preserve"> 9</w:t>
      </w:r>
      <w:r>
        <w:rPr>
          <w:rFonts w:hint="eastAsia" w:ascii="微软雅黑" w:hAnsi="微软雅黑" w:eastAsia="微软雅黑" w:cs="微软雅黑"/>
          <w:b/>
          <w:i w:val="0"/>
          <w:caps w:val="0"/>
          <w:color w:val="333333"/>
          <w:spacing w:val="0"/>
          <w:sz w:val="21"/>
          <w:szCs w:val="21"/>
          <w:highlight w:val="none"/>
          <w:u w:val="single"/>
          <w:shd w:val="clear" w:color="auto" w:fill="FFFFFF"/>
        </w:rPr>
        <w:t>日9：00</w:t>
      </w:r>
    </w:p>
    <w:p>
      <w:pPr>
        <w:spacing w:line="440" w:lineRule="exact"/>
        <w:jc w:val="center"/>
        <w:rPr>
          <w:rStyle w:val="9"/>
          <w:rFonts w:eastAsia="黑体"/>
          <w:color w:val="000000"/>
          <w:sz w:val="29"/>
          <w:szCs w:val="29"/>
        </w:rPr>
      </w:pPr>
      <w:r>
        <w:rPr>
          <w:rFonts w:hint="eastAsia" w:ascii="微软雅黑" w:hAnsi="微软雅黑" w:eastAsia="微软雅黑" w:cs="微软雅黑"/>
          <w:b/>
          <w:i w:val="0"/>
          <w:caps w:val="0"/>
          <w:color w:val="333333"/>
          <w:spacing w:val="0"/>
          <w:sz w:val="21"/>
          <w:szCs w:val="21"/>
          <w:u w:val="single"/>
          <w:shd w:val="clear" w:color="auto" w:fill="FFFFFF"/>
        </w:rPr>
        <w:t>开标时间：同投标截止时间</w:t>
      </w:r>
      <w:r>
        <w:rPr>
          <w:rStyle w:val="9"/>
          <w:rFonts w:eastAsia="黑体"/>
          <w:color w:val="000000"/>
          <w:sz w:val="29"/>
          <w:szCs w:val="29"/>
        </w:rPr>
        <w:t xml:space="preserve"> </w:t>
      </w:r>
    </w:p>
    <w:p>
      <w:pPr>
        <w:pStyle w:val="12"/>
        <w:keepNext/>
        <w:keepLines/>
        <w:spacing w:before="240" w:after="240" w:line="240" w:lineRule="atLeast"/>
        <w:outlineLvl w:val="1"/>
        <w:rPr>
          <w:rFonts w:eastAsia="宋体" w:cs="Times New Roman"/>
          <w:b/>
          <w:bCs/>
          <w:color w:val="000000"/>
          <w:kern w:val="44"/>
          <w:sz w:val="28"/>
          <w:szCs w:val="28"/>
        </w:rPr>
      </w:pPr>
      <w:bookmarkStart w:id="1" w:name="_Toc234832845"/>
      <w:bookmarkStart w:id="2" w:name="_Toc509993790"/>
      <w:r>
        <w:rPr>
          <w:rFonts w:eastAsia="宋体" w:cs="Times New Roman"/>
          <w:b/>
          <w:bCs/>
          <w:color w:val="000000"/>
          <w:kern w:val="44"/>
          <w:sz w:val="28"/>
          <w:szCs w:val="28"/>
        </w:rPr>
        <w:t xml:space="preserve">1. </w:t>
      </w:r>
      <w:r>
        <w:rPr>
          <w:rFonts w:eastAsia="黑体" w:cs="Times New Roman"/>
          <w:b/>
          <w:bCs/>
          <w:color w:val="000000"/>
          <w:kern w:val="44"/>
          <w:sz w:val="28"/>
          <w:szCs w:val="28"/>
        </w:rPr>
        <w:t>招标条件</w:t>
      </w:r>
      <w:bookmarkEnd w:id="1"/>
      <w:bookmarkEnd w:id="2"/>
    </w:p>
    <w:p>
      <w:pPr>
        <w:pStyle w:val="13"/>
        <w:spacing w:line="360" w:lineRule="auto"/>
        <w:ind w:firstLine="480" w:firstLineChars="200"/>
        <w:rPr>
          <w:rFonts w:eastAsia="宋体" w:cs="Times New Roman"/>
          <w:color w:val="000000"/>
          <w:sz w:val="24"/>
          <w:szCs w:val="24"/>
        </w:rPr>
      </w:pPr>
      <w:r>
        <w:rPr>
          <w:rFonts w:hint="eastAsia" w:eastAsia="宋体" w:cs="Times New Roman"/>
          <w:sz w:val="24"/>
          <w:szCs w:val="24"/>
        </w:rPr>
        <w:t>本招标项目</w:t>
      </w:r>
      <w:r>
        <w:rPr>
          <w:rFonts w:hint="eastAsia" w:eastAsia="宋体" w:cs="Times New Roman"/>
          <w:sz w:val="24"/>
          <w:szCs w:val="24"/>
          <w:u w:val="single"/>
        </w:rPr>
        <w:t xml:space="preserve"> 湖南省沅陵至辰溪高速公路项目（简称沅辰高速） </w:t>
      </w:r>
      <w:r>
        <w:rPr>
          <w:rFonts w:hint="eastAsia" w:eastAsia="宋体" w:cs="Times New Roman"/>
          <w:sz w:val="24"/>
          <w:szCs w:val="24"/>
        </w:rPr>
        <w:t>（项目名称）已由</w:t>
      </w:r>
      <w:r>
        <w:rPr>
          <w:rFonts w:eastAsia="宋体" w:cs="Times New Roman"/>
          <w:sz w:val="24"/>
          <w:szCs w:val="24"/>
          <w:u w:val="single"/>
        </w:rPr>
        <w:t xml:space="preserve"> </w:t>
      </w:r>
      <w:r>
        <w:rPr>
          <w:rFonts w:hint="eastAsia" w:eastAsia="宋体" w:cs="Times New Roman"/>
          <w:sz w:val="24"/>
          <w:szCs w:val="24"/>
          <w:u w:val="single"/>
        </w:rPr>
        <w:t>湖南省发展和改革委员会</w:t>
      </w:r>
      <w:r>
        <w:rPr>
          <w:rFonts w:eastAsia="宋体" w:cs="Times New Roman"/>
          <w:sz w:val="24"/>
          <w:szCs w:val="24"/>
          <w:u w:val="single"/>
        </w:rPr>
        <w:t xml:space="preserve"> </w:t>
      </w:r>
      <w:r>
        <w:rPr>
          <w:rFonts w:hint="eastAsia" w:eastAsia="宋体" w:cs="Times New Roman"/>
          <w:sz w:val="24"/>
          <w:szCs w:val="24"/>
        </w:rPr>
        <w:t>以</w:t>
      </w:r>
      <w:r>
        <w:rPr>
          <w:rFonts w:hint="eastAsia" w:eastAsia="宋体" w:cs="Times New Roman"/>
          <w:sz w:val="24"/>
          <w:szCs w:val="24"/>
          <w:u w:val="single"/>
        </w:rPr>
        <w:t>湘发改基础【2020】127号文</w:t>
      </w:r>
      <w:r>
        <w:rPr>
          <w:rFonts w:hint="eastAsia" w:eastAsia="宋体" w:cs="Times New Roman"/>
          <w:sz w:val="24"/>
          <w:szCs w:val="24"/>
        </w:rPr>
        <w:t>批准建设，初步设计已由</w:t>
      </w:r>
      <w:r>
        <w:rPr>
          <w:rFonts w:hint="eastAsia" w:eastAsia="宋体" w:cs="Times New Roman"/>
          <w:sz w:val="24"/>
          <w:szCs w:val="24"/>
          <w:u w:val="single"/>
        </w:rPr>
        <w:t xml:space="preserve"> 湖南省交通运输厅 </w:t>
      </w:r>
      <w:r>
        <w:rPr>
          <w:rFonts w:hint="eastAsia" w:eastAsia="宋体" w:cs="Times New Roman"/>
          <w:sz w:val="24"/>
          <w:szCs w:val="24"/>
        </w:rPr>
        <w:t>以</w:t>
      </w:r>
      <w:r>
        <w:rPr>
          <w:rFonts w:hint="eastAsia" w:eastAsia="宋体" w:cs="Times New Roman"/>
          <w:sz w:val="24"/>
          <w:szCs w:val="24"/>
          <w:u w:val="single"/>
        </w:rPr>
        <w:t>湘交批〔2020〕137号文</w:t>
      </w:r>
      <w:r>
        <w:rPr>
          <w:rFonts w:hint="eastAsia" w:eastAsia="宋体" w:cs="Times New Roman"/>
          <w:sz w:val="24"/>
          <w:szCs w:val="24"/>
        </w:rPr>
        <w:t>批准，项目业主为</w:t>
      </w:r>
      <w:r>
        <w:rPr>
          <w:rFonts w:hint="eastAsia" w:eastAsia="宋体" w:cs="Times New Roman"/>
          <w:sz w:val="24"/>
          <w:szCs w:val="24"/>
          <w:u w:val="single"/>
        </w:rPr>
        <w:t xml:space="preserve"> </w:t>
      </w:r>
      <w:bookmarkStart w:id="3" w:name="_Hlk47103234"/>
      <w:r>
        <w:rPr>
          <w:rFonts w:hint="eastAsia" w:eastAsia="宋体" w:cs="Times New Roman"/>
          <w:sz w:val="24"/>
          <w:szCs w:val="24"/>
          <w:u w:val="single"/>
        </w:rPr>
        <w:t>湖南省沅辰高速公路建设开发有限公司</w:t>
      </w:r>
      <w:bookmarkEnd w:id="3"/>
      <w:r>
        <w:rPr>
          <w:rFonts w:hint="eastAsia" w:eastAsia="宋体" w:cs="Times New Roman"/>
          <w:sz w:val="24"/>
          <w:szCs w:val="24"/>
          <w:u w:val="single"/>
        </w:rPr>
        <w:t xml:space="preserve"> </w:t>
      </w:r>
      <w:r>
        <w:rPr>
          <w:rFonts w:hint="eastAsia" w:eastAsia="宋体" w:cs="Times New Roman"/>
          <w:sz w:val="24"/>
          <w:szCs w:val="24"/>
        </w:rPr>
        <w:t>，建设资金来自</w:t>
      </w:r>
      <w:r>
        <w:rPr>
          <w:rFonts w:hint="eastAsia" w:eastAsia="宋体" w:cs="Times New Roman"/>
          <w:sz w:val="24"/>
          <w:szCs w:val="24"/>
          <w:u w:val="single"/>
        </w:rPr>
        <w:t xml:space="preserve">项目单位自筹解决 </w:t>
      </w:r>
      <w:r>
        <w:rPr>
          <w:rFonts w:hint="eastAsia" w:eastAsia="宋体" w:cs="Times New Roman"/>
          <w:sz w:val="24"/>
          <w:szCs w:val="24"/>
        </w:rPr>
        <w:t>（资金来源），出资比例为</w:t>
      </w:r>
      <w:r>
        <w:rPr>
          <w:rFonts w:hint="eastAsia" w:eastAsia="宋体" w:cs="Times New Roman"/>
          <w:sz w:val="24"/>
          <w:szCs w:val="24"/>
          <w:u w:val="single"/>
        </w:rPr>
        <w:t>资本金约占总投资20%，由项目业主自筹，其余资金由项目单位通过银行贷款解决，</w:t>
      </w:r>
      <w:r>
        <w:rPr>
          <w:rFonts w:hint="eastAsia" w:eastAsia="宋体" w:cs="Times New Roman"/>
          <w:sz w:val="24"/>
          <w:szCs w:val="24"/>
        </w:rPr>
        <w:t>招标人为</w:t>
      </w:r>
      <w:r>
        <w:rPr>
          <w:rFonts w:hint="eastAsia" w:eastAsia="宋体" w:cs="Times New Roman"/>
          <w:sz w:val="24"/>
          <w:szCs w:val="24"/>
          <w:u w:val="single"/>
        </w:rPr>
        <w:t>湖南省沅辰高速公路建设开发有限公司</w:t>
      </w:r>
      <w:r>
        <w:rPr>
          <w:rFonts w:hint="eastAsia" w:eastAsia="宋体" w:cs="Times New Roman"/>
          <w:sz w:val="24"/>
          <w:szCs w:val="24"/>
        </w:rPr>
        <w:t>。</w:t>
      </w:r>
      <w:r>
        <w:rPr>
          <w:rFonts w:eastAsia="宋体" w:cs="Times New Roman"/>
          <w:sz w:val="24"/>
          <w:szCs w:val="24"/>
        </w:rPr>
        <w:t>项目已具备招标条件，现对该项目的</w:t>
      </w:r>
      <w:r>
        <w:rPr>
          <w:rFonts w:hint="eastAsia" w:eastAsia="宋体" w:cs="Times New Roman"/>
          <w:sz w:val="24"/>
          <w:szCs w:val="24"/>
        </w:rPr>
        <w:t>房建工程施工图</w:t>
      </w:r>
      <w:r>
        <w:rPr>
          <w:rFonts w:eastAsia="宋体" w:cs="Times New Roman"/>
          <w:sz w:val="24"/>
          <w:szCs w:val="24"/>
        </w:rPr>
        <w:t>设计进</w:t>
      </w:r>
      <w:r>
        <w:rPr>
          <w:rFonts w:eastAsia="宋体" w:cs="Times New Roman"/>
          <w:color w:val="000000"/>
          <w:sz w:val="24"/>
          <w:szCs w:val="24"/>
        </w:rPr>
        <w:t xml:space="preserve">行公开招标。 </w:t>
      </w:r>
    </w:p>
    <w:p>
      <w:pPr>
        <w:pStyle w:val="14"/>
        <w:keepNext/>
        <w:keepLines/>
        <w:spacing w:before="240" w:after="240" w:line="240" w:lineRule="atLeast"/>
        <w:outlineLvl w:val="1"/>
        <w:rPr>
          <w:rFonts w:eastAsia="黑体" w:cs="Times New Roman"/>
          <w:b/>
          <w:bCs/>
          <w:color w:val="000000"/>
          <w:kern w:val="44"/>
          <w:sz w:val="28"/>
          <w:szCs w:val="28"/>
        </w:rPr>
      </w:pPr>
      <w:bookmarkStart w:id="4" w:name="_Toc509993791"/>
      <w:bookmarkStart w:id="5" w:name="_Toc234832846"/>
      <w:r>
        <w:rPr>
          <w:rFonts w:eastAsia="黑体" w:cs="Times New Roman"/>
          <w:b/>
          <w:bCs/>
          <w:color w:val="000000"/>
          <w:kern w:val="44"/>
          <w:sz w:val="28"/>
          <w:szCs w:val="28"/>
        </w:rPr>
        <w:t>2. 项目概况与招标范围</w:t>
      </w:r>
      <w:bookmarkEnd w:id="4"/>
      <w:bookmarkEnd w:id="5"/>
    </w:p>
    <w:p>
      <w:pPr>
        <w:pStyle w:val="15"/>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 xml:space="preserve">2.1 </w:t>
      </w:r>
      <w:r>
        <w:rPr>
          <w:rFonts w:hint="eastAsia" w:ascii="宋体" w:hAnsi="宋体" w:eastAsia="宋体" w:cs="宋体"/>
          <w:sz w:val="24"/>
          <w:szCs w:val="24"/>
        </w:rPr>
        <w:t>建设地点：湖南省怀化市沅陵县、辰溪县境内。</w:t>
      </w:r>
    </w:p>
    <w:p>
      <w:pPr>
        <w:pStyle w:val="16"/>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2.2 项目建设规模及招标范围：项</w:t>
      </w:r>
      <w:r>
        <w:rPr>
          <w:rFonts w:hint="eastAsia" w:ascii="宋体" w:hAnsi="宋体" w:eastAsia="宋体" w:cs="宋体"/>
          <w:color w:val="000000"/>
          <w:sz w:val="24"/>
          <w:szCs w:val="24"/>
        </w:rPr>
        <w:t>目起点沅陵县盘古乡舒溪口，终点辰溪火马冲镇，沿线经过的主要控制点为盘古乡（舒溪口）、筲箕湾镇、船溪乡、辰阳镇、锦滨镇、火马冲镇（木桥江）等；主线全长50.483公里，按双向四车道高速公路公路标准、设计速度100公里/小时建设，路基宽26米，桥涵设计荷载为公路Ⅰ级。全线设置服务区1处、匝道收费站4处，桥隧监控站1处，养护工区1处，路政中队1处、交警基地1处。本项目招标范围包括：全线房建工程详细勘察、方案优化调整设计、施工图设计（包括总图布置、交通组织、车坪道路、给排水电气、消防、污水处置、绿化及总图围墙、挡墙、通道等构造物、包括建筑单体建筑加工装饰、给排水电气、消防、防雷、弱电等）、变更设计、消防专篇、加油站安全专篇、职业病危害防护设施设计专篇、环保处理设计、施工图设计阶段至竣工阶段造价咨询(包括但不限于施工图预算、清单预算与工程量清单编制、招标上限价编制、工程变更预算、工程决算编制等），提供项目施工技术规范、技术交底、招标与施工配合及后续服务（包含配合工程完工后的竣工图编制），参加交（竣）工验收或发包人委托的其他服务，配合建设方完成当地政府职能部门的相关协调和配套工作，包括规划、住建、应急、安全、消防、防雷、职业病、环保等。</w:t>
      </w:r>
    </w:p>
    <w:p>
      <w:pPr>
        <w:pStyle w:val="17"/>
        <w:ind w:firstLine="480" w:firstLineChars="200"/>
        <w:rPr>
          <w:rFonts w:hint="eastAsia" w:ascii="宋体" w:hAnsi="宋体" w:eastAsia="宋体" w:cs="宋体"/>
          <w:color w:val="000000"/>
          <w:kern w:val="0"/>
          <w:sz w:val="22"/>
          <w:lang w:bidi="ar"/>
        </w:rPr>
      </w:pPr>
      <w:r>
        <w:rPr>
          <w:rFonts w:hint="eastAsia" w:ascii="宋体" w:hAnsi="宋体" w:eastAsia="宋体" w:cs="宋体"/>
          <w:color w:val="000000"/>
          <w:sz w:val="24"/>
          <w:szCs w:val="24"/>
        </w:rPr>
        <w:t>本次房建工程</w:t>
      </w:r>
      <w:r>
        <w:rPr>
          <w:rFonts w:hint="eastAsia" w:ascii="宋体" w:hAnsi="宋体" w:eastAsia="宋体" w:cs="宋体"/>
          <w:color w:val="000000"/>
          <w:sz w:val="24"/>
          <w:szCs w:val="24"/>
          <w:lang w:val="en-US" w:eastAsia="zh-CN"/>
        </w:rPr>
        <w:t>施工图</w:t>
      </w:r>
      <w:r>
        <w:rPr>
          <w:rFonts w:hint="eastAsia" w:ascii="宋体" w:hAnsi="宋体" w:eastAsia="宋体" w:cs="宋体"/>
          <w:color w:val="000000"/>
          <w:sz w:val="24"/>
          <w:szCs w:val="24"/>
        </w:rPr>
        <w:t>设计招标共分为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1</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rPr>
        <w:t>个</w:t>
      </w:r>
      <w:r>
        <w:rPr>
          <w:rFonts w:hint="eastAsia" w:ascii="宋体" w:hAnsi="宋体" w:eastAsia="宋体" w:cs="宋体"/>
          <w:color w:val="000000"/>
          <w:sz w:val="24"/>
          <w:szCs w:val="24"/>
        </w:rPr>
        <w:t>标段。标段号及主要设计内容见下表：</w:t>
      </w:r>
    </w:p>
    <w:tbl>
      <w:tblPr>
        <w:tblStyle w:val="11"/>
        <w:tblpPr w:leftFromText="180" w:rightFromText="180" w:vertAnchor="text" w:horzAnchor="page" w:tblpXSpec="center" w:tblpY="193"/>
        <w:tblOverlap w:val="never"/>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127"/>
        <w:gridCol w:w="1016"/>
        <w:gridCol w:w="1003"/>
        <w:gridCol w:w="3333"/>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noWrap w:val="0"/>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标段号</w:t>
            </w:r>
          </w:p>
        </w:tc>
        <w:tc>
          <w:tcPr>
            <w:tcW w:w="1127" w:type="dxa"/>
            <w:noWrap w:val="0"/>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设计区域</w:t>
            </w:r>
          </w:p>
        </w:tc>
        <w:tc>
          <w:tcPr>
            <w:tcW w:w="1016" w:type="dxa"/>
            <w:noWrap w:val="0"/>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建设地点</w:t>
            </w:r>
          </w:p>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（桩号）</w:t>
            </w:r>
          </w:p>
        </w:tc>
        <w:tc>
          <w:tcPr>
            <w:tcW w:w="1003" w:type="dxa"/>
            <w:noWrap w:val="0"/>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预计设计建筑规模（m</w:t>
            </w:r>
            <w:r>
              <w:rPr>
                <w:rFonts w:hint="default" w:ascii="Times New Roman" w:hAnsi="Times New Roman" w:eastAsia="仿宋" w:cs="Times New Roman"/>
                <w:sz w:val="21"/>
                <w:szCs w:val="21"/>
                <w:vertAlign w:val="superscript"/>
              </w:rPr>
              <w:t>2</w:t>
            </w:r>
            <w:r>
              <w:rPr>
                <w:rFonts w:hint="default" w:ascii="Times New Roman" w:hAnsi="Times New Roman" w:eastAsia="仿宋" w:cs="Times New Roman"/>
                <w:sz w:val="21"/>
                <w:szCs w:val="21"/>
              </w:rPr>
              <w:t>）</w:t>
            </w:r>
          </w:p>
        </w:tc>
        <w:tc>
          <w:tcPr>
            <w:tcW w:w="3333" w:type="dxa"/>
            <w:noWrap w:val="0"/>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设计内容</w:t>
            </w:r>
          </w:p>
        </w:tc>
        <w:tc>
          <w:tcPr>
            <w:tcW w:w="1161" w:type="dxa"/>
            <w:noWrap w:val="0"/>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jc w:val="center"/>
        </w:trPr>
        <w:tc>
          <w:tcPr>
            <w:tcW w:w="882" w:type="dxa"/>
            <w:vMerge w:val="restart"/>
            <w:noWrap w:val="0"/>
            <w:vAlign w:val="center"/>
          </w:tcPr>
          <w:p>
            <w:pPr>
              <w:jc w:val="center"/>
              <w:rPr>
                <w:rFonts w:hint="default" w:ascii="Times New Roman" w:hAnsi="Times New Roman" w:eastAsia="仿宋" w:cs="Times New Roman"/>
                <w:sz w:val="21"/>
                <w:szCs w:val="21"/>
              </w:rPr>
            </w:pPr>
            <w:bookmarkStart w:id="6" w:name="OLE_LINK1" w:colFirst="3" w:colLast="3"/>
            <w:r>
              <w:rPr>
                <w:rFonts w:hint="default" w:ascii="Times New Roman" w:hAnsi="Times New Roman" w:eastAsia="仿宋" w:cs="Times New Roman"/>
                <w:sz w:val="21"/>
                <w:szCs w:val="21"/>
              </w:rPr>
              <w:t>YCSJ-2</w:t>
            </w:r>
          </w:p>
        </w:tc>
        <w:tc>
          <w:tcPr>
            <w:tcW w:w="1127" w:type="dxa"/>
            <w:noWrap w:val="0"/>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泸溪东</w:t>
            </w:r>
            <w:r>
              <w:rPr>
                <w:rFonts w:hint="eastAsia" w:ascii="Times New Roman" w:hAnsi="Times New Roman" w:eastAsia="仿宋" w:cs="Times New Roman"/>
                <w:sz w:val="21"/>
                <w:szCs w:val="21"/>
                <w:lang w:eastAsia="zh-CN"/>
              </w:rPr>
              <w:t>（</w:t>
            </w:r>
            <w:r>
              <w:rPr>
                <w:rFonts w:hint="eastAsia" w:ascii="Times New Roman" w:hAnsi="Times New Roman" w:eastAsia="仿宋" w:cs="Times New Roman"/>
                <w:sz w:val="21"/>
                <w:szCs w:val="21"/>
                <w:lang w:val="en-US" w:eastAsia="zh-CN"/>
              </w:rPr>
              <w:t>银华山</w:t>
            </w:r>
            <w:r>
              <w:rPr>
                <w:rFonts w:hint="eastAsia" w:ascii="Times New Roman" w:hAnsi="Times New Roman" w:eastAsia="仿宋" w:cs="Times New Roman"/>
                <w:sz w:val="21"/>
                <w:szCs w:val="21"/>
                <w:lang w:eastAsia="zh-CN"/>
              </w:rPr>
              <w:t>）</w:t>
            </w:r>
            <w:r>
              <w:rPr>
                <w:rFonts w:hint="default" w:ascii="Times New Roman" w:hAnsi="Times New Roman" w:eastAsia="仿宋" w:cs="Times New Roman"/>
                <w:sz w:val="21"/>
                <w:szCs w:val="21"/>
              </w:rPr>
              <w:t>匝道收费站</w:t>
            </w:r>
          </w:p>
        </w:tc>
        <w:tc>
          <w:tcPr>
            <w:tcW w:w="1016" w:type="dxa"/>
            <w:noWrap w:val="0"/>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K3+986</w:t>
            </w:r>
          </w:p>
        </w:tc>
        <w:tc>
          <w:tcPr>
            <w:tcW w:w="1003" w:type="dxa"/>
            <w:noWrap w:val="0"/>
            <w:vAlign w:val="center"/>
          </w:tcPr>
          <w:p>
            <w:pPr>
              <w:widowControl/>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1660</w:t>
            </w:r>
          </w:p>
        </w:tc>
        <w:tc>
          <w:tcPr>
            <w:tcW w:w="3333" w:type="dxa"/>
            <w:vMerge w:val="restart"/>
            <w:noWrap w:val="0"/>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项目全线房建工程详细勘察、方案优化调整设计、施工图设计（包括总图布置、交通组织、车坪道路、给排水电气、消防、污水处置、绿化及总图围墙、挡墙、通道等构造物、包括建筑单体建筑加工装饰、给排水电气、消防、防雷、弱电等）、变更设计、消防专篇、加油站安全专篇、职业病危害防护设施设计专篇、环保处理设计、施工图设计阶段至竣工阶段造价咨询(包括但不限于施工图预算、清单预算与工程量清单编制、招标上限价编制、工程变更预算、工程决算编制等），提供项目施工技术规范、技术交底、招标与施工配合及后续服务（包含配合工程完工后的竣工图编制），参加交（竣）工验收或发包人委托的其他服务，配合建设方完成当地政府职能部门的相关协调和配套工作，包括规划、住建、应急、安全、消防、防雷、职业病、环保等。</w:t>
            </w:r>
          </w:p>
        </w:tc>
        <w:tc>
          <w:tcPr>
            <w:tcW w:w="1161" w:type="dxa"/>
            <w:noWrap w:val="0"/>
            <w:vAlign w:val="center"/>
          </w:tcPr>
          <w:p>
            <w:pPr>
              <w:spacing w:line="240" w:lineRule="exact"/>
              <w:jc w:val="left"/>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独立</w:t>
            </w:r>
            <w:r>
              <w:rPr>
                <w:rFonts w:hint="default" w:ascii="Times New Roman" w:hAnsi="Times New Roman" w:eastAsia="仿宋" w:cs="Times New Roman"/>
                <w:sz w:val="21"/>
                <w:szCs w:val="21"/>
              </w:rPr>
              <w:t>收费站</w:t>
            </w:r>
            <w:r>
              <w:rPr>
                <w:rFonts w:hint="eastAsia" w:ascii="Times New Roman" w:hAnsi="Times New Roman" w:eastAsia="仿宋" w:cs="Times New Roman"/>
                <w:sz w:val="21"/>
                <w:szCs w:val="21"/>
                <w:lang w:eastAsia="zh-CN"/>
              </w:rPr>
              <w:t>，</w:t>
            </w:r>
            <w:r>
              <w:rPr>
                <w:rFonts w:hint="eastAsia" w:ascii="Times New Roman" w:hAnsi="Times New Roman" w:eastAsia="仿宋" w:cs="Times New Roman"/>
                <w:sz w:val="21"/>
                <w:szCs w:val="21"/>
                <w:lang w:val="en-US" w:eastAsia="zh-CN"/>
              </w:rPr>
              <w:t>在本收费站管理与住宿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jc w:val="center"/>
        </w:trPr>
        <w:tc>
          <w:tcPr>
            <w:tcW w:w="882" w:type="dxa"/>
            <w:vMerge w:val="continue"/>
            <w:noWrap w:val="0"/>
            <w:vAlign w:val="center"/>
          </w:tcPr>
          <w:p>
            <w:pPr>
              <w:jc w:val="center"/>
              <w:rPr>
                <w:rFonts w:hint="default" w:ascii="Times New Roman" w:hAnsi="Times New Roman" w:eastAsia="仿宋" w:cs="Times New Roman"/>
                <w:sz w:val="21"/>
                <w:szCs w:val="21"/>
              </w:rPr>
            </w:pPr>
          </w:p>
        </w:tc>
        <w:tc>
          <w:tcPr>
            <w:tcW w:w="1127" w:type="dxa"/>
            <w:noWrap w:val="0"/>
            <w:vAlign w:val="center"/>
          </w:tcPr>
          <w:p>
            <w:pPr>
              <w:jc w:val="center"/>
              <w:rPr>
                <w:rFonts w:hint="eastAsia" w:ascii="Times New Roman" w:hAnsi="Times New Roman" w:eastAsia="仿宋" w:cs="Times New Roman"/>
                <w:sz w:val="21"/>
                <w:szCs w:val="21"/>
                <w:lang w:eastAsia="zh-CN"/>
              </w:rPr>
            </w:pPr>
            <w:r>
              <w:rPr>
                <w:rFonts w:hint="default" w:ascii="Times New Roman" w:hAnsi="Times New Roman" w:eastAsia="仿宋" w:cs="Times New Roman"/>
                <w:sz w:val="21"/>
                <w:szCs w:val="21"/>
              </w:rPr>
              <w:t>孝坪匝道收费站</w:t>
            </w:r>
          </w:p>
        </w:tc>
        <w:tc>
          <w:tcPr>
            <w:tcW w:w="1016" w:type="dxa"/>
            <w:noWrap w:val="0"/>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K19+431</w:t>
            </w:r>
          </w:p>
        </w:tc>
        <w:tc>
          <w:tcPr>
            <w:tcW w:w="1003" w:type="dxa"/>
            <w:noWrap w:val="0"/>
            <w:vAlign w:val="center"/>
          </w:tcPr>
          <w:p>
            <w:pPr>
              <w:widowControl/>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1565</w:t>
            </w:r>
          </w:p>
        </w:tc>
        <w:tc>
          <w:tcPr>
            <w:tcW w:w="3333" w:type="dxa"/>
            <w:vMerge w:val="continue"/>
            <w:noWrap w:val="0"/>
            <w:vAlign w:val="center"/>
          </w:tcPr>
          <w:p>
            <w:pPr>
              <w:jc w:val="center"/>
              <w:rPr>
                <w:rFonts w:hint="default" w:ascii="Times New Roman" w:hAnsi="Times New Roman" w:eastAsia="仿宋" w:cs="Times New Roman"/>
                <w:sz w:val="21"/>
                <w:szCs w:val="21"/>
              </w:rPr>
            </w:pPr>
          </w:p>
        </w:tc>
        <w:tc>
          <w:tcPr>
            <w:tcW w:w="1161" w:type="dxa"/>
            <w:noWrap w:val="0"/>
            <w:vAlign w:val="center"/>
          </w:tcPr>
          <w:p>
            <w:pPr>
              <w:spacing w:line="240" w:lineRule="exact"/>
              <w:jc w:val="left"/>
              <w:rPr>
                <w:rFonts w:hint="default" w:ascii="Times New Roman" w:hAnsi="Times New Roman" w:eastAsia="仿宋" w:cs="Times New Roman"/>
                <w:sz w:val="21"/>
                <w:szCs w:val="21"/>
                <w:vertAlign w:val="superscript"/>
              </w:rPr>
            </w:pPr>
            <w:r>
              <w:rPr>
                <w:rFonts w:hint="default" w:ascii="Times New Roman" w:hAnsi="Times New Roman" w:eastAsia="仿宋" w:cs="Times New Roman"/>
                <w:sz w:val="21"/>
                <w:szCs w:val="21"/>
              </w:rPr>
              <w:t>小收费站</w:t>
            </w:r>
            <w:r>
              <w:rPr>
                <w:rFonts w:hint="eastAsia" w:ascii="Times New Roman" w:hAnsi="Times New Roman" w:eastAsia="仿宋" w:cs="Times New Roman"/>
                <w:sz w:val="21"/>
                <w:szCs w:val="21"/>
                <w:lang w:eastAsia="zh-CN"/>
              </w:rPr>
              <w:t>，</w:t>
            </w:r>
            <w:r>
              <w:rPr>
                <w:rFonts w:hint="eastAsia" w:ascii="Times New Roman" w:hAnsi="Times New Roman" w:eastAsia="仿宋" w:cs="Times New Roman"/>
                <w:sz w:val="21"/>
                <w:szCs w:val="21"/>
                <w:lang w:val="en-US" w:eastAsia="zh-CN"/>
              </w:rPr>
              <w:t>在辰溪匝道收费站集中管理与住宿，养护公司在此站建养护工区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2" w:type="dxa"/>
            <w:vMerge w:val="continue"/>
            <w:noWrap w:val="0"/>
            <w:vAlign w:val="center"/>
          </w:tcPr>
          <w:p>
            <w:pPr>
              <w:jc w:val="center"/>
              <w:rPr>
                <w:rFonts w:hint="default" w:ascii="Times New Roman" w:hAnsi="Times New Roman" w:eastAsia="仿宋" w:cs="Times New Roman"/>
                <w:sz w:val="21"/>
                <w:szCs w:val="21"/>
              </w:rPr>
            </w:pPr>
          </w:p>
        </w:tc>
        <w:tc>
          <w:tcPr>
            <w:tcW w:w="1127" w:type="dxa"/>
            <w:noWrap w:val="0"/>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辰溪北服务区</w:t>
            </w:r>
          </w:p>
        </w:tc>
        <w:tc>
          <w:tcPr>
            <w:tcW w:w="1016" w:type="dxa"/>
            <w:noWrap w:val="0"/>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K26+500</w:t>
            </w:r>
          </w:p>
        </w:tc>
        <w:tc>
          <w:tcPr>
            <w:tcW w:w="1003" w:type="dxa"/>
            <w:noWrap w:val="0"/>
            <w:vAlign w:val="center"/>
          </w:tcPr>
          <w:p>
            <w:pPr>
              <w:widowControl/>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rPr>
              <w:t>9</w:t>
            </w:r>
            <w:r>
              <w:rPr>
                <w:rFonts w:hint="eastAsia" w:ascii="Times New Roman" w:hAnsi="Times New Roman" w:eastAsia="仿宋" w:cs="Times New Roman"/>
                <w:sz w:val="21"/>
                <w:szCs w:val="21"/>
                <w:lang w:val="en-US" w:eastAsia="zh-CN"/>
              </w:rPr>
              <w:t>5</w:t>
            </w:r>
            <w:r>
              <w:rPr>
                <w:rFonts w:hint="default" w:ascii="Times New Roman" w:hAnsi="Times New Roman" w:eastAsia="仿宋" w:cs="Times New Roman"/>
                <w:sz w:val="21"/>
                <w:szCs w:val="21"/>
              </w:rPr>
              <w:t>0</w:t>
            </w:r>
            <w:r>
              <w:rPr>
                <w:rFonts w:hint="eastAsia" w:ascii="Times New Roman" w:hAnsi="Times New Roman" w:eastAsia="仿宋" w:cs="Times New Roman"/>
                <w:sz w:val="21"/>
                <w:szCs w:val="21"/>
                <w:lang w:val="en-US" w:eastAsia="zh-CN"/>
              </w:rPr>
              <w:t>5</w:t>
            </w:r>
          </w:p>
        </w:tc>
        <w:tc>
          <w:tcPr>
            <w:tcW w:w="3333" w:type="dxa"/>
            <w:vMerge w:val="continue"/>
            <w:noWrap w:val="0"/>
            <w:vAlign w:val="center"/>
          </w:tcPr>
          <w:p>
            <w:pPr>
              <w:jc w:val="center"/>
              <w:rPr>
                <w:rFonts w:hint="default" w:ascii="Times New Roman" w:hAnsi="Times New Roman" w:eastAsia="仿宋" w:cs="Times New Roman"/>
                <w:sz w:val="21"/>
                <w:szCs w:val="21"/>
              </w:rPr>
            </w:pPr>
          </w:p>
        </w:tc>
        <w:tc>
          <w:tcPr>
            <w:tcW w:w="1161" w:type="dxa"/>
            <w:noWrap w:val="0"/>
            <w:vAlign w:val="center"/>
          </w:tcPr>
          <w:p>
            <w:pPr>
              <w:spacing w:line="240" w:lineRule="exact"/>
              <w:jc w:val="left"/>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与火马冲停车区共建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2" w:type="dxa"/>
            <w:vMerge w:val="continue"/>
            <w:noWrap w:val="0"/>
            <w:vAlign w:val="center"/>
          </w:tcPr>
          <w:p>
            <w:pPr>
              <w:jc w:val="center"/>
              <w:rPr>
                <w:rFonts w:hint="default" w:ascii="Times New Roman" w:hAnsi="Times New Roman" w:eastAsia="仿宋" w:cs="Times New Roman"/>
                <w:sz w:val="21"/>
                <w:szCs w:val="21"/>
              </w:rPr>
            </w:pPr>
          </w:p>
        </w:tc>
        <w:tc>
          <w:tcPr>
            <w:tcW w:w="1127" w:type="dxa"/>
            <w:noWrap w:val="0"/>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辰溪匝道收费站</w:t>
            </w:r>
            <w:r>
              <w:rPr>
                <w:rFonts w:hint="eastAsia" w:ascii="Times New Roman" w:hAnsi="Times New Roman" w:eastAsia="仿宋" w:cs="Times New Roman"/>
                <w:sz w:val="21"/>
                <w:szCs w:val="21"/>
                <w:lang w:eastAsia="zh-CN"/>
              </w:rPr>
              <w:t>（</w:t>
            </w:r>
            <w:r>
              <w:rPr>
                <w:rFonts w:hint="eastAsia" w:ascii="Times New Roman" w:hAnsi="Times New Roman" w:eastAsia="仿宋" w:cs="Times New Roman"/>
                <w:sz w:val="21"/>
                <w:szCs w:val="21"/>
                <w:lang w:val="en-US" w:eastAsia="zh-CN"/>
              </w:rPr>
              <w:t>含管理分中心、桥隧监控站、养护工区、路政中心</w:t>
            </w:r>
            <w:r>
              <w:rPr>
                <w:rFonts w:hint="eastAsia" w:ascii="Times New Roman" w:hAnsi="Times New Roman" w:eastAsia="仿宋" w:cs="Times New Roman"/>
                <w:sz w:val="21"/>
                <w:szCs w:val="21"/>
                <w:lang w:eastAsia="zh-CN"/>
              </w:rPr>
              <w:t>）</w:t>
            </w:r>
          </w:p>
        </w:tc>
        <w:tc>
          <w:tcPr>
            <w:tcW w:w="1016" w:type="dxa"/>
            <w:noWrap w:val="0"/>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K32+708</w:t>
            </w:r>
          </w:p>
        </w:tc>
        <w:tc>
          <w:tcPr>
            <w:tcW w:w="1003" w:type="dxa"/>
            <w:noWrap w:val="0"/>
            <w:vAlign w:val="center"/>
          </w:tcPr>
          <w:p>
            <w:pPr>
              <w:widowControl/>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5280</w:t>
            </w:r>
          </w:p>
        </w:tc>
        <w:tc>
          <w:tcPr>
            <w:tcW w:w="3333" w:type="dxa"/>
            <w:vMerge w:val="continue"/>
            <w:noWrap w:val="0"/>
            <w:vAlign w:val="center"/>
          </w:tcPr>
          <w:p>
            <w:pPr>
              <w:jc w:val="center"/>
              <w:rPr>
                <w:rFonts w:hint="default" w:ascii="Times New Roman" w:hAnsi="Times New Roman" w:eastAsia="仿宋" w:cs="Times New Roman"/>
                <w:sz w:val="21"/>
                <w:szCs w:val="21"/>
              </w:rPr>
            </w:pPr>
          </w:p>
        </w:tc>
        <w:tc>
          <w:tcPr>
            <w:tcW w:w="1161" w:type="dxa"/>
            <w:noWrap w:val="0"/>
            <w:vAlign w:val="center"/>
          </w:tcPr>
          <w:p>
            <w:pPr>
              <w:spacing w:line="240" w:lineRule="exact"/>
              <w:jc w:val="left"/>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中心收费站，</w:t>
            </w:r>
            <w:r>
              <w:rPr>
                <w:rFonts w:hint="default" w:ascii="Times New Roman" w:hAnsi="Times New Roman" w:eastAsia="仿宋" w:cs="Times New Roman"/>
                <w:sz w:val="21"/>
                <w:szCs w:val="21"/>
              </w:rPr>
              <w:t>含辰溪收费站、桥隧监控站、路政中队、养护管理用房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2" w:type="dxa"/>
            <w:vMerge w:val="continue"/>
            <w:noWrap w:val="0"/>
            <w:vAlign w:val="center"/>
          </w:tcPr>
          <w:p>
            <w:pPr>
              <w:jc w:val="center"/>
              <w:rPr>
                <w:rFonts w:hint="default" w:ascii="Times New Roman" w:hAnsi="Times New Roman" w:eastAsia="仿宋" w:cs="Times New Roman"/>
                <w:sz w:val="21"/>
                <w:szCs w:val="21"/>
              </w:rPr>
            </w:pPr>
          </w:p>
        </w:tc>
        <w:tc>
          <w:tcPr>
            <w:tcW w:w="1127" w:type="dxa"/>
            <w:noWrap w:val="0"/>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辰溪交警基地</w:t>
            </w:r>
          </w:p>
        </w:tc>
        <w:tc>
          <w:tcPr>
            <w:tcW w:w="1016" w:type="dxa"/>
            <w:noWrap w:val="0"/>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K32+708</w:t>
            </w:r>
          </w:p>
        </w:tc>
        <w:tc>
          <w:tcPr>
            <w:tcW w:w="1003" w:type="dxa"/>
            <w:noWrap w:val="0"/>
            <w:vAlign w:val="center"/>
          </w:tcPr>
          <w:p>
            <w:pPr>
              <w:widowControl/>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2110</w:t>
            </w:r>
          </w:p>
        </w:tc>
        <w:tc>
          <w:tcPr>
            <w:tcW w:w="3333" w:type="dxa"/>
            <w:vMerge w:val="continue"/>
            <w:noWrap w:val="0"/>
            <w:vAlign w:val="center"/>
          </w:tcPr>
          <w:p>
            <w:pPr>
              <w:jc w:val="center"/>
              <w:rPr>
                <w:rFonts w:hint="default" w:ascii="Times New Roman" w:hAnsi="Times New Roman" w:eastAsia="仿宋" w:cs="Times New Roman"/>
                <w:sz w:val="21"/>
                <w:szCs w:val="21"/>
              </w:rPr>
            </w:pPr>
          </w:p>
        </w:tc>
        <w:tc>
          <w:tcPr>
            <w:tcW w:w="1161" w:type="dxa"/>
            <w:noWrap w:val="0"/>
            <w:vAlign w:val="center"/>
          </w:tcPr>
          <w:p>
            <w:pPr>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2" w:type="dxa"/>
            <w:vMerge w:val="continue"/>
            <w:noWrap w:val="0"/>
            <w:vAlign w:val="center"/>
          </w:tcPr>
          <w:p>
            <w:pPr>
              <w:jc w:val="center"/>
              <w:rPr>
                <w:rFonts w:hint="default" w:ascii="Times New Roman" w:hAnsi="Times New Roman" w:eastAsia="仿宋" w:cs="Times New Roman"/>
                <w:sz w:val="21"/>
                <w:szCs w:val="21"/>
              </w:rPr>
            </w:pPr>
          </w:p>
        </w:tc>
        <w:tc>
          <w:tcPr>
            <w:tcW w:w="1127" w:type="dxa"/>
            <w:noWrap w:val="0"/>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火马冲匝道收费站</w:t>
            </w:r>
          </w:p>
        </w:tc>
        <w:tc>
          <w:tcPr>
            <w:tcW w:w="1016" w:type="dxa"/>
            <w:noWrap w:val="0"/>
            <w:vAlign w:val="center"/>
          </w:tcPr>
          <w:p>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K46+886</w:t>
            </w:r>
          </w:p>
        </w:tc>
        <w:tc>
          <w:tcPr>
            <w:tcW w:w="1003" w:type="dxa"/>
            <w:noWrap w:val="0"/>
            <w:vAlign w:val="center"/>
          </w:tcPr>
          <w:p>
            <w:pPr>
              <w:widowControl/>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484</w:t>
            </w:r>
          </w:p>
        </w:tc>
        <w:tc>
          <w:tcPr>
            <w:tcW w:w="3333" w:type="dxa"/>
            <w:vMerge w:val="continue"/>
            <w:noWrap w:val="0"/>
            <w:vAlign w:val="center"/>
          </w:tcPr>
          <w:p>
            <w:pPr>
              <w:jc w:val="center"/>
              <w:rPr>
                <w:rFonts w:hint="default" w:ascii="Times New Roman" w:hAnsi="Times New Roman" w:eastAsia="仿宋" w:cs="Times New Roman"/>
                <w:sz w:val="21"/>
                <w:szCs w:val="21"/>
              </w:rPr>
            </w:pPr>
          </w:p>
        </w:tc>
        <w:tc>
          <w:tcPr>
            <w:tcW w:w="1161" w:type="dxa"/>
            <w:noWrap w:val="0"/>
            <w:vAlign w:val="center"/>
          </w:tcPr>
          <w:p>
            <w:pPr>
              <w:spacing w:line="240" w:lineRule="exact"/>
              <w:jc w:val="left"/>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小收费站</w:t>
            </w:r>
            <w:r>
              <w:rPr>
                <w:rFonts w:hint="eastAsia" w:ascii="Times New Roman" w:hAnsi="Times New Roman" w:eastAsia="仿宋" w:cs="Times New Roman"/>
                <w:sz w:val="21"/>
                <w:szCs w:val="21"/>
                <w:lang w:eastAsia="zh-CN"/>
              </w:rPr>
              <w:t>，</w:t>
            </w:r>
            <w:r>
              <w:rPr>
                <w:rFonts w:hint="eastAsia" w:ascii="Times New Roman" w:hAnsi="Times New Roman" w:eastAsia="仿宋" w:cs="Times New Roman"/>
                <w:sz w:val="21"/>
                <w:szCs w:val="21"/>
                <w:lang w:val="en-US" w:eastAsia="zh-CN"/>
              </w:rPr>
              <w:t>在辰溪匝道收费站集中管理与住宿</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025" w:type="dxa"/>
            <w:gridSpan w:val="3"/>
            <w:noWrap w:val="0"/>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合计</w:t>
            </w:r>
          </w:p>
        </w:tc>
        <w:tc>
          <w:tcPr>
            <w:tcW w:w="1003" w:type="dxa"/>
            <w:noWrap w:val="0"/>
            <w:vAlign w:val="center"/>
          </w:tcPr>
          <w:p>
            <w:pPr>
              <w:widowControl/>
              <w:jc w:val="center"/>
              <w:rPr>
                <w:rFonts w:hint="default" w:ascii="Times New Roman" w:hAnsi="Times New Roman" w:eastAsia="仿宋" w:cs="Times New Roman"/>
                <w:kern w:val="0"/>
                <w:sz w:val="21"/>
                <w:szCs w:val="21"/>
                <w:lang w:val="en-US" w:eastAsia="zh-CN"/>
              </w:rPr>
            </w:pPr>
            <w:r>
              <w:rPr>
                <w:rFonts w:hint="eastAsia" w:ascii="Times New Roman" w:hAnsi="Times New Roman" w:eastAsia="仿宋" w:cs="Times New Roman"/>
                <w:kern w:val="0"/>
                <w:sz w:val="21"/>
                <w:szCs w:val="21"/>
                <w:lang w:val="en-US" w:eastAsia="zh-CN"/>
              </w:rPr>
              <w:t>20604</w:t>
            </w:r>
          </w:p>
        </w:tc>
        <w:tc>
          <w:tcPr>
            <w:tcW w:w="3333" w:type="dxa"/>
            <w:noWrap w:val="0"/>
            <w:vAlign w:val="center"/>
          </w:tcPr>
          <w:p>
            <w:pPr>
              <w:jc w:val="center"/>
              <w:rPr>
                <w:rFonts w:hint="default" w:ascii="Times New Roman" w:hAnsi="Times New Roman" w:eastAsia="仿宋" w:cs="Times New Roman"/>
                <w:sz w:val="21"/>
                <w:szCs w:val="21"/>
              </w:rPr>
            </w:pPr>
          </w:p>
        </w:tc>
        <w:tc>
          <w:tcPr>
            <w:tcW w:w="1161" w:type="dxa"/>
            <w:noWrap w:val="0"/>
            <w:vAlign w:val="center"/>
          </w:tcPr>
          <w:p>
            <w:pPr>
              <w:jc w:val="center"/>
              <w:rPr>
                <w:rFonts w:hint="default" w:ascii="Times New Roman" w:hAnsi="Times New Roman" w:eastAsia="仿宋" w:cs="Times New Roman"/>
                <w:sz w:val="21"/>
                <w:szCs w:val="21"/>
              </w:rPr>
            </w:pPr>
          </w:p>
        </w:tc>
      </w:tr>
    </w:tbl>
    <w:p>
      <w:pPr>
        <w:pStyle w:val="18"/>
        <w:widowControl/>
        <w:ind w:firstLine="440" w:firstLineChars="200"/>
        <w:jc w:val="left"/>
        <w:rPr>
          <w:rFonts w:hint="eastAsia" w:ascii="宋体" w:hAnsi="宋体" w:eastAsia="宋体" w:cs="宋体"/>
          <w:color w:val="000000"/>
          <w:kern w:val="0"/>
          <w:sz w:val="22"/>
          <w:lang w:bidi="ar"/>
        </w:rPr>
      </w:pPr>
    </w:p>
    <w:p>
      <w:pPr>
        <w:pStyle w:val="17"/>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注：本表内容仅供参考。</w:t>
      </w:r>
    </w:p>
    <w:p>
      <w:pPr>
        <w:pStyle w:val="17"/>
        <w:ind w:firstLine="480" w:firstLineChars="200"/>
        <w:rPr>
          <w:rFonts w:hint="eastAsia" w:ascii="宋体" w:hAnsi="宋体" w:eastAsia="宋体" w:cs="宋体"/>
          <w:color w:val="000000"/>
          <w:sz w:val="24"/>
          <w:szCs w:val="24"/>
        </w:rPr>
      </w:pPr>
    </w:p>
    <w:p>
      <w:pPr>
        <w:pStyle w:val="19"/>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2.3勘察设计服务期限：</w:t>
      </w:r>
    </w:p>
    <w:p>
      <w:pPr>
        <w:pStyle w:val="2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2.3.1 总服务期自合同签订后至竣工验收全部工作完成。 </w:t>
      </w:r>
    </w:p>
    <w:p>
      <w:pPr>
        <w:pStyle w:val="21"/>
        <w:spacing w:line="360" w:lineRule="auto"/>
        <w:ind w:firstLine="480" w:firstLineChars="200"/>
        <w:rPr>
          <w:rFonts w:ascii="宋体" w:hAnsi="宋体" w:eastAsia="宋体" w:cs="宋体"/>
          <w:sz w:val="24"/>
          <w:szCs w:val="24"/>
          <w:highlight w:val="yellow"/>
        </w:rPr>
      </w:pPr>
      <w:r>
        <w:rPr>
          <w:rFonts w:hint="eastAsia" w:ascii="宋体" w:hAnsi="宋体" w:eastAsia="宋体" w:cs="宋体"/>
          <w:color w:val="000000"/>
          <w:sz w:val="24"/>
          <w:szCs w:val="24"/>
        </w:rPr>
        <w:t>2.3.2</w:t>
      </w:r>
      <w:r>
        <w:rPr>
          <w:rFonts w:hint="eastAsia" w:ascii="宋体" w:hAnsi="宋体" w:eastAsia="宋体" w:cs="宋体"/>
          <w:sz w:val="24"/>
          <w:szCs w:val="24"/>
        </w:rPr>
        <w:t>本项目房建工程施工图勘察设计周期5个月，设计周期开始时间以发包人书面通知为准，施工服务期12个月。</w:t>
      </w:r>
    </w:p>
    <w:p>
      <w:pPr>
        <w:pStyle w:val="22"/>
        <w:keepNext/>
        <w:keepLines/>
        <w:spacing w:before="240" w:after="240" w:line="240" w:lineRule="atLeast"/>
        <w:outlineLvl w:val="1"/>
        <w:rPr>
          <w:rFonts w:eastAsia="黑体" w:cs="Times New Roman"/>
          <w:b/>
          <w:bCs/>
          <w:color w:val="000000"/>
          <w:kern w:val="44"/>
          <w:sz w:val="28"/>
          <w:szCs w:val="28"/>
        </w:rPr>
      </w:pPr>
      <w:bookmarkStart w:id="7" w:name="_Toc234832847"/>
      <w:bookmarkStart w:id="8" w:name="_Toc509993792"/>
      <w:r>
        <w:rPr>
          <w:rFonts w:eastAsia="黑体" w:cs="Times New Roman"/>
          <w:b/>
          <w:bCs/>
          <w:color w:val="000000"/>
          <w:kern w:val="44"/>
          <w:sz w:val="28"/>
          <w:szCs w:val="28"/>
        </w:rPr>
        <w:t>3. 投标人资格要求</w:t>
      </w:r>
      <w:bookmarkEnd w:id="7"/>
      <w:bookmarkEnd w:id="8"/>
    </w:p>
    <w:p>
      <w:pPr>
        <w:pStyle w:val="23"/>
        <w:spacing w:line="360" w:lineRule="auto"/>
        <w:ind w:firstLine="480" w:firstLineChars="200"/>
        <w:rPr>
          <w:rFonts w:eastAsia="宋体" w:cs="Times New Roman"/>
          <w:color w:val="000000"/>
          <w:sz w:val="24"/>
          <w:szCs w:val="24"/>
        </w:rPr>
      </w:pPr>
      <w:r>
        <w:rPr>
          <w:rFonts w:hint="eastAsia" w:eastAsia="宋体" w:cs="Times New Roman"/>
          <w:color w:val="000000"/>
          <w:sz w:val="24"/>
          <w:szCs w:val="24"/>
        </w:rPr>
        <w:t>3.1 本次招标要求投标人</w:t>
      </w:r>
      <w:r>
        <w:rPr>
          <w:rFonts w:hint="eastAsia" w:ascii="Times New Roman" w:hAnsi="Times New Roman" w:eastAsia="宋体" w:cs="Times New Roman"/>
          <w:color w:val="000000"/>
          <w:sz w:val="24"/>
          <w:szCs w:val="24"/>
        </w:rPr>
        <w:t>须</w:t>
      </w:r>
      <w:r>
        <w:rPr>
          <w:rFonts w:hint="eastAsia" w:ascii="Times New Roman" w:hAnsi="Times New Roman" w:eastAsia="宋体" w:cs="Times New Roman"/>
          <w:color w:val="000000"/>
          <w:sz w:val="24"/>
          <w:szCs w:val="24"/>
          <w:lang w:val="en-US" w:eastAsia="zh-CN"/>
        </w:rPr>
        <w:t>具备</w:t>
      </w:r>
      <w:r>
        <w:rPr>
          <w:rFonts w:hint="eastAsia" w:ascii="Times New Roman" w:hAnsi="Times New Roman" w:eastAsia="宋体" w:cs="Times New Roman"/>
          <w:color w:val="000000"/>
          <w:sz w:val="24"/>
          <w:szCs w:val="24"/>
        </w:rPr>
        <w:t>独立法人资格，持有有效的营业执照</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b/>
          <w:bCs/>
          <w:color w:val="000000"/>
          <w:sz w:val="24"/>
          <w:szCs w:val="24"/>
        </w:rPr>
        <w:t>同时具备</w:t>
      </w:r>
      <w:r>
        <w:rPr>
          <w:rFonts w:hint="eastAsia" w:ascii="Times New Roman" w:hAnsi="Times New Roman" w:eastAsia="宋体" w:cs="Times New Roman"/>
          <w:color w:val="000000"/>
          <w:sz w:val="24"/>
          <w:szCs w:val="24"/>
        </w:rPr>
        <w:t>住房与城乡建设部颁发的以下</w:t>
      </w:r>
      <w:r>
        <w:rPr>
          <w:rFonts w:hint="eastAsia" w:ascii="Times New Roman" w:hAnsi="Times New Roman" w:eastAsia="宋体" w:cs="Times New Roman"/>
          <w:b w:val="0"/>
          <w:bCs w:val="0"/>
          <w:color w:val="000000"/>
          <w:sz w:val="24"/>
          <w:szCs w:val="24"/>
        </w:rPr>
        <w:t>两项资质</w:t>
      </w:r>
      <w:r>
        <w:rPr>
          <w:rFonts w:hint="eastAsia" w:ascii="Times New Roman" w:hAnsi="Times New Roman" w:eastAsia="宋体" w:cs="Times New Roman"/>
          <w:color w:val="000000"/>
          <w:sz w:val="24"/>
          <w:szCs w:val="24"/>
        </w:rPr>
        <w:t>：</w:t>
      </w:r>
      <w:r>
        <w:rPr>
          <w:rFonts w:hint="eastAsia" w:ascii="宋体" w:hAnsi="宋体" w:eastAsia="宋体" w:cs="宋体"/>
          <w:b/>
          <w:bCs/>
          <w:color w:val="000000"/>
          <w:sz w:val="24"/>
          <w:szCs w:val="24"/>
          <w:u w:val="single"/>
        </w:rPr>
        <w:t>①工程勘察综合甲级资质或工程勘察（岩土工程）专业类甲级资质②建筑行业（建筑工程专业）设计甲级资质或建筑工程行业设计甲级资质或工程设计综合甲级资质</w:t>
      </w:r>
      <w:r>
        <w:rPr>
          <w:rFonts w:hint="eastAsia" w:ascii="宋体" w:hAnsi="宋体" w:eastAsia="宋体" w:cs="宋体"/>
          <w:b w:val="0"/>
          <w:bCs w:val="0"/>
          <w:color w:val="000000"/>
          <w:sz w:val="24"/>
          <w:szCs w:val="24"/>
          <w:u w:val="none"/>
          <w:lang w:eastAsia="zh-CN"/>
        </w:rPr>
        <w:t>，</w:t>
      </w:r>
      <w:r>
        <w:rPr>
          <w:rFonts w:hint="eastAsia" w:ascii="宋体" w:hAnsi="宋体" w:eastAsia="宋体" w:cs="宋体"/>
          <w:b w:val="0"/>
          <w:bCs w:val="0"/>
          <w:color w:val="000000"/>
          <w:sz w:val="24"/>
          <w:u w:val="none"/>
          <w:lang w:val="en-US" w:eastAsia="zh-CN"/>
        </w:rPr>
        <w:t>以及</w:t>
      </w:r>
      <w:r>
        <w:rPr>
          <w:rFonts w:hint="eastAsia" w:ascii="宋体" w:hAnsi="宋体" w:eastAsia="宋体" w:cs="宋体"/>
          <w:color w:val="000000"/>
          <w:sz w:val="24"/>
          <w:u w:val="none"/>
        </w:rPr>
        <w:t>具有投标人须知附录2资格审查条件要求的</w:t>
      </w:r>
      <w:r>
        <w:rPr>
          <w:rFonts w:ascii="Times New Roman" w:hAnsi="Times New Roman" w:eastAsia="宋体" w:cs="Times New Roman"/>
          <w:color w:val="000000"/>
          <w:sz w:val="24"/>
          <w:szCs w:val="24"/>
          <w:u w:val="none"/>
        </w:rPr>
        <w:t>业绩</w:t>
      </w:r>
      <w:r>
        <w:rPr>
          <w:rFonts w:ascii="Times New Roman" w:hAnsi="Times New Roman" w:eastAsia="宋体" w:cs="Times New Roman"/>
          <w:color w:val="000000"/>
          <w:sz w:val="24"/>
          <w:szCs w:val="24"/>
        </w:rPr>
        <w:t>，并在人员等方面具有相应的勘察设计能力。</w:t>
      </w:r>
    </w:p>
    <w:p>
      <w:pPr>
        <w:pStyle w:val="24"/>
        <w:spacing w:line="360" w:lineRule="auto"/>
        <w:ind w:firstLine="480" w:firstLineChars="200"/>
        <w:rPr>
          <w:rFonts w:ascii="宋体" w:hAnsi="宋体" w:eastAsia="宋体" w:cs="Times New Roman"/>
          <w:kern w:val="0"/>
          <w:sz w:val="24"/>
        </w:rPr>
      </w:pPr>
      <w:r>
        <w:rPr>
          <w:rFonts w:hint="eastAsia" w:eastAsia="宋体" w:cs="Times New Roman"/>
          <w:color w:val="000000"/>
          <w:sz w:val="24"/>
          <w:szCs w:val="24"/>
        </w:rPr>
        <w:t>投标人应进入交通运输部“全国公路建设市场信用信息管理系统（</w:t>
      </w:r>
      <w:r>
        <w:rPr>
          <w:rFonts w:eastAsia="宋体" w:cs="Times New Roman"/>
          <w:color w:val="000000"/>
          <w:sz w:val="24"/>
          <w:szCs w:val="24"/>
        </w:rPr>
        <w:t>http</w:t>
      </w:r>
      <w:r>
        <w:rPr>
          <w:rFonts w:hint="eastAsia" w:eastAsia="宋体" w:cs="Times New Roman"/>
          <w:color w:val="000000"/>
          <w:sz w:val="24"/>
          <w:szCs w:val="24"/>
        </w:rPr>
        <w:t xml:space="preserve">： </w:t>
      </w:r>
      <w:r>
        <w:rPr>
          <w:rFonts w:eastAsia="宋体" w:cs="Times New Roman"/>
          <w:color w:val="000000"/>
          <w:sz w:val="24"/>
          <w:szCs w:val="24"/>
        </w:rPr>
        <w:t>//glxy.mot.gov.cn</w:t>
      </w:r>
      <w:r>
        <w:rPr>
          <w:rFonts w:hint="eastAsia" w:eastAsia="宋体" w:cs="Times New Roman"/>
          <w:color w:val="000000"/>
          <w:sz w:val="24"/>
          <w:szCs w:val="24"/>
        </w:rPr>
        <w:t>）”中的公路工程勘察设计资质企业名录，</w:t>
      </w:r>
      <w:r>
        <w:rPr>
          <w:rFonts w:hint="eastAsia" w:ascii="宋体" w:hAnsi="宋体" w:eastAsia="宋体" w:cs="Times New Roman"/>
          <w:kern w:val="0"/>
          <w:sz w:val="24"/>
        </w:rPr>
        <w:t>且投标人名称和资质与该名录中的相应企业名称和资质完全一致。</w:t>
      </w:r>
    </w:p>
    <w:p>
      <w:pPr>
        <w:pStyle w:val="25"/>
        <w:spacing w:line="360" w:lineRule="auto"/>
        <w:ind w:firstLine="480" w:firstLineChars="200"/>
        <w:rPr>
          <w:rFonts w:eastAsia="宋体" w:cs="Times New Roman"/>
          <w:color w:val="000000"/>
          <w:sz w:val="24"/>
          <w:szCs w:val="24"/>
        </w:rPr>
      </w:pPr>
      <w:r>
        <w:rPr>
          <w:rFonts w:eastAsia="宋体" w:cs="Times New Roman"/>
          <w:color w:val="000000"/>
          <w:sz w:val="24"/>
          <w:szCs w:val="20"/>
        </w:rPr>
        <w:t xml:space="preserve">3.2 </w:t>
      </w:r>
      <w:r>
        <w:rPr>
          <w:rFonts w:eastAsia="宋体" w:cs="Times New Roman"/>
          <w:color w:val="000000"/>
          <w:sz w:val="24"/>
          <w:szCs w:val="24"/>
        </w:rPr>
        <w:t>本次招标</w:t>
      </w:r>
      <w:r>
        <w:rPr>
          <w:rFonts w:hint="eastAsia" w:eastAsia="宋体" w:cs="Times New Roman"/>
          <w:color w:val="000000"/>
          <w:sz w:val="24"/>
          <w:szCs w:val="24"/>
          <w:u w:val="single"/>
        </w:rPr>
        <w:t xml:space="preserve"> </w:t>
      </w:r>
      <w:r>
        <w:rPr>
          <w:rFonts w:eastAsia="宋体" w:cs="Times New Roman"/>
          <w:color w:val="000000"/>
          <w:sz w:val="24"/>
          <w:szCs w:val="24"/>
          <w:u w:val="single"/>
        </w:rPr>
        <w:t>不接受</w:t>
      </w:r>
      <w:r>
        <w:rPr>
          <w:rFonts w:hint="eastAsia" w:eastAsia="宋体" w:cs="Times New Roman"/>
          <w:color w:val="000000"/>
          <w:sz w:val="24"/>
          <w:szCs w:val="24"/>
          <w:u w:val="single"/>
        </w:rPr>
        <w:t xml:space="preserve"> </w:t>
      </w:r>
      <w:r>
        <w:rPr>
          <w:rFonts w:eastAsia="宋体" w:cs="Times New Roman"/>
          <w:color w:val="000000"/>
          <w:sz w:val="24"/>
          <w:szCs w:val="24"/>
        </w:rPr>
        <w:t>联合体投标。</w:t>
      </w:r>
      <w:bookmarkStart w:id="9" w:name="_Hlk2752085"/>
    </w:p>
    <w:bookmarkEnd w:id="9"/>
    <w:p>
      <w:pPr>
        <w:pStyle w:val="26"/>
        <w:autoSpaceDE w:val="0"/>
        <w:autoSpaceDN w:val="0"/>
        <w:adjustRightInd w:val="0"/>
        <w:spacing w:line="360" w:lineRule="auto"/>
        <w:ind w:firstLine="480"/>
        <w:rPr>
          <w:rFonts w:eastAsia="宋体" w:cs="Times New Roman"/>
          <w:color w:val="000000"/>
          <w:kern w:val="0"/>
          <w:sz w:val="24"/>
          <w:szCs w:val="24"/>
        </w:rPr>
      </w:pPr>
      <w:r>
        <w:rPr>
          <w:rFonts w:eastAsia="宋体" w:cs="Times New Roman"/>
          <w:color w:val="000000"/>
          <w:sz w:val="24"/>
          <w:szCs w:val="20"/>
        </w:rPr>
        <w:t>3.</w:t>
      </w:r>
      <w:r>
        <w:rPr>
          <w:rFonts w:hint="eastAsia" w:eastAsia="宋体" w:cs="Times New Roman"/>
          <w:color w:val="000000"/>
          <w:sz w:val="24"/>
          <w:szCs w:val="20"/>
        </w:rPr>
        <w:t>3</w:t>
      </w:r>
      <w:r>
        <w:rPr>
          <w:rFonts w:eastAsia="宋体" w:cs="Times New Roman"/>
          <w:color w:val="000000"/>
          <w:sz w:val="24"/>
          <w:szCs w:val="20"/>
        </w:rPr>
        <w:t xml:space="preserve"> </w:t>
      </w:r>
      <w:r>
        <w:rPr>
          <w:rFonts w:eastAsia="宋体" w:cs="Times New Roman"/>
          <w:color w:val="000000"/>
          <w:sz w:val="24"/>
          <w:szCs w:val="24"/>
        </w:rPr>
        <w:t>与招标人存在利害关系且可能影响招标公正性的单位，不得参加投标。</w:t>
      </w:r>
      <w:r>
        <w:rPr>
          <w:rFonts w:eastAsia="宋体" w:cs="Times New Roman"/>
          <w:color w:val="000000"/>
          <w:kern w:val="0"/>
          <w:sz w:val="24"/>
          <w:szCs w:val="24"/>
        </w:rPr>
        <w:t>单位负责人</w:t>
      </w:r>
      <w:r>
        <w:rPr>
          <w:rFonts w:eastAsia="宋体" w:cs="Times New Roman"/>
          <w:color w:val="000000"/>
          <w:kern w:val="0"/>
          <w:sz w:val="24"/>
          <w:szCs w:val="24"/>
          <w:vertAlign w:val="superscript"/>
        </w:rPr>
        <w:footnoteReference w:id="0"/>
      </w:r>
      <w:r>
        <w:rPr>
          <w:rFonts w:eastAsia="宋体" w:cs="Times New Roman"/>
          <w:color w:val="000000"/>
          <w:kern w:val="0"/>
          <w:sz w:val="24"/>
          <w:szCs w:val="24"/>
        </w:rPr>
        <w:t>为同一人或者存在控股</w:t>
      </w:r>
      <w:r>
        <w:rPr>
          <w:rFonts w:eastAsia="宋体" w:cs="Times New Roman"/>
          <w:color w:val="000000"/>
          <w:kern w:val="0"/>
          <w:sz w:val="24"/>
          <w:szCs w:val="24"/>
          <w:vertAlign w:val="superscript"/>
        </w:rPr>
        <w:footnoteReference w:id="1"/>
      </w:r>
      <w:r>
        <w:rPr>
          <w:rFonts w:eastAsia="宋体" w:cs="Times New Roman"/>
          <w:color w:val="000000"/>
          <w:kern w:val="0"/>
          <w:sz w:val="24"/>
          <w:szCs w:val="24"/>
        </w:rPr>
        <w:t>、管理</w:t>
      </w:r>
      <w:r>
        <w:rPr>
          <w:rFonts w:eastAsia="宋体" w:cs="Times New Roman"/>
          <w:color w:val="000000"/>
          <w:kern w:val="0"/>
          <w:sz w:val="24"/>
          <w:szCs w:val="24"/>
          <w:vertAlign w:val="superscript"/>
        </w:rPr>
        <w:footnoteReference w:id="2"/>
      </w:r>
      <w:r>
        <w:rPr>
          <w:rFonts w:eastAsia="宋体" w:cs="Times New Roman"/>
          <w:color w:val="000000"/>
          <w:kern w:val="0"/>
          <w:sz w:val="24"/>
          <w:szCs w:val="24"/>
        </w:rPr>
        <w:t>关系的不同单位，不得参加同一标段投标，否则，相关投标均无效。</w:t>
      </w:r>
    </w:p>
    <w:p>
      <w:pPr>
        <w:pStyle w:val="27"/>
        <w:spacing w:line="360" w:lineRule="auto"/>
        <w:ind w:firstLine="480" w:firstLineChars="200"/>
        <w:rPr>
          <w:rFonts w:eastAsia="黑体" w:cs="Times New Roman"/>
          <w:color w:val="000000"/>
          <w:sz w:val="24"/>
          <w:szCs w:val="24"/>
        </w:rPr>
      </w:pPr>
      <w:r>
        <w:rPr>
          <w:rFonts w:eastAsia="黑体" w:cs="Times New Roman"/>
          <w:color w:val="000000"/>
          <w:sz w:val="24"/>
          <w:szCs w:val="20"/>
        </w:rPr>
        <w:t>3.</w:t>
      </w:r>
      <w:r>
        <w:rPr>
          <w:rFonts w:hint="eastAsia" w:eastAsia="黑体" w:cs="Times New Roman"/>
          <w:color w:val="000000"/>
          <w:sz w:val="24"/>
          <w:szCs w:val="20"/>
        </w:rPr>
        <w:t>4</w:t>
      </w:r>
      <w:r>
        <w:rPr>
          <w:rFonts w:eastAsia="黑体" w:cs="Times New Roman"/>
          <w:color w:val="000000"/>
          <w:sz w:val="24"/>
          <w:szCs w:val="24"/>
        </w:rPr>
        <w:t xml:space="preserve"> 招标人不接受被湖南省交通运输厅</w:t>
      </w:r>
      <w:r>
        <w:rPr>
          <w:rFonts w:eastAsia="黑体" w:cs="Times New Roman"/>
          <w:color w:val="000000"/>
          <w:sz w:val="24"/>
          <w:szCs w:val="24"/>
          <w:vertAlign w:val="superscript"/>
        </w:rPr>
        <w:footnoteReference w:id="3"/>
      </w:r>
      <w:r>
        <w:rPr>
          <w:rFonts w:eastAsia="黑体" w:cs="Times New Roman"/>
          <w:color w:val="000000"/>
          <w:sz w:val="24"/>
          <w:szCs w:val="24"/>
        </w:rPr>
        <w:t>评为最近第一年度D级、连续两年（最近第二年和最近第一年）评为C级</w:t>
      </w:r>
      <w:r>
        <w:rPr>
          <w:rFonts w:hint="eastAsia" w:eastAsia="黑体" w:cs="Times New Roman"/>
          <w:color w:val="000000"/>
          <w:sz w:val="24"/>
          <w:szCs w:val="24"/>
        </w:rPr>
        <w:t>及以下</w:t>
      </w:r>
      <w:r>
        <w:rPr>
          <w:rFonts w:eastAsia="黑体" w:cs="Times New Roman"/>
          <w:color w:val="000000"/>
          <w:sz w:val="24"/>
          <w:szCs w:val="24"/>
        </w:rPr>
        <w:t>信用等级的投标人投标。</w:t>
      </w:r>
    </w:p>
    <w:p>
      <w:pPr>
        <w:pStyle w:val="28"/>
        <w:spacing w:line="360" w:lineRule="auto"/>
        <w:ind w:firstLine="480" w:firstLineChars="200"/>
        <w:rPr>
          <w:rFonts w:eastAsia="黑体" w:cs="Times New Roman"/>
          <w:color w:val="000000"/>
          <w:sz w:val="24"/>
          <w:szCs w:val="20"/>
        </w:rPr>
      </w:pPr>
      <w:bookmarkStart w:id="10" w:name="_Hlk2752125"/>
      <w:r>
        <w:rPr>
          <w:rFonts w:eastAsia="黑体" w:cs="Times New Roman"/>
          <w:color w:val="000000"/>
          <w:sz w:val="24"/>
          <w:szCs w:val="20"/>
        </w:rPr>
        <w:t>3.</w:t>
      </w:r>
      <w:r>
        <w:rPr>
          <w:rFonts w:hint="eastAsia" w:eastAsia="黑体" w:cs="Times New Roman"/>
          <w:color w:val="000000"/>
          <w:sz w:val="24"/>
          <w:szCs w:val="20"/>
        </w:rPr>
        <w:t>5</w:t>
      </w:r>
      <w:r>
        <w:rPr>
          <w:rFonts w:eastAsia="黑体" w:cs="Times New Roman"/>
          <w:color w:val="000000"/>
          <w:sz w:val="24"/>
          <w:szCs w:val="20"/>
        </w:rPr>
        <w:t xml:space="preserve"> </w:t>
      </w:r>
      <w:r>
        <w:rPr>
          <w:rFonts w:hint="eastAsia" w:eastAsia="黑体" w:cs="Times New Roman"/>
          <w:sz w:val="24"/>
          <w:szCs w:val="20"/>
        </w:rPr>
        <w:t>招标人不接受在全国企业信用信息公示系统（http://www.gsxt.gov.cn）中被列入严重违法失信企业名单的或在“信用中国”网站（www.creditchina.gov.cn）中被列入失信被执行人名单的投标人投标。</w:t>
      </w:r>
      <w:bookmarkEnd w:id="10"/>
    </w:p>
    <w:p>
      <w:pPr>
        <w:pStyle w:val="29"/>
        <w:keepNext/>
        <w:keepLines/>
        <w:spacing w:before="240" w:after="240" w:line="240" w:lineRule="atLeast"/>
        <w:outlineLvl w:val="1"/>
        <w:rPr>
          <w:rFonts w:eastAsia="黑体" w:cs="Times New Roman"/>
          <w:b/>
          <w:bCs/>
          <w:color w:val="000000"/>
          <w:kern w:val="44"/>
          <w:sz w:val="28"/>
          <w:szCs w:val="28"/>
        </w:rPr>
      </w:pPr>
      <w:bookmarkStart w:id="11" w:name="_Toc509993793"/>
      <w:r>
        <w:rPr>
          <w:rFonts w:eastAsia="黑体" w:cs="Times New Roman"/>
          <w:b/>
          <w:bCs/>
          <w:color w:val="000000"/>
          <w:kern w:val="44"/>
          <w:sz w:val="28"/>
          <w:szCs w:val="28"/>
        </w:rPr>
        <w:t>4. 技术成果经济补偿</w:t>
      </w:r>
      <w:r>
        <w:rPr>
          <w:rFonts w:eastAsia="黑体" w:cs="Times New Roman"/>
          <w:b/>
          <w:bCs/>
          <w:color w:val="000000"/>
          <w:kern w:val="44"/>
          <w:sz w:val="28"/>
          <w:szCs w:val="28"/>
          <w:vertAlign w:val="superscript"/>
        </w:rPr>
        <w:footnoteReference w:id="4"/>
      </w:r>
      <w:bookmarkEnd w:id="11"/>
    </w:p>
    <w:p>
      <w:pPr>
        <w:pStyle w:val="30"/>
        <w:tabs>
          <w:tab w:val="left" w:pos="360"/>
        </w:tabs>
        <w:spacing w:line="400" w:lineRule="atLeast"/>
        <w:ind w:firstLine="480" w:firstLineChars="200"/>
        <w:rPr>
          <w:rFonts w:eastAsia="宋体" w:cs="Times New Roman"/>
          <w:color w:val="000000"/>
          <w:sz w:val="24"/>
          <w:szCs w:val="24"/>
        </w:rPr>
      </w:pPr>
      <w:r>
        <w:rPr>
          <w:rFonts w:eastAsia="宋体" w:cs="Times New Roman"/>
          <w:color w:val="000000"/>
          <w:sz w:val="24"/>
          <w:szCs w:val="24"/>
        </w:rPr>
        <w:t>本次招标对未中标人投标文件中的技术成果</w:t>
      </w:r>
      <w:r>
        <w:rPr>
          <w:rFonts w:eastAsia="宋体" w:cs="Times New Roman"/>
          <w:color w:val="000000"/>
          <w:sz w:val="24"/>
          <w:szCs w:val="24"/>
          <w:u w:val="single"/>
        </w:rPr>
        <w:t xml:space="preserve">  不给予 </w:t>
      </w:r>
      <w:r>
        <w:rPr>
          <w:rFonts w:eastAsia="宋体" w:cs="Times New Roman"/>
          <w:color w:val="000000"/>
          <w:sz w:val="24"/>
          <w:szCs w:val="24"/>
        </w:rPr>
        <w:t>经济补偿。</w:t>
      </w:r>
    </w:p>
    <w:p>
      <w:pPr>
        <w:pStyle w:val="31"/>
        <w:tabs>
          <w:tab w:val="left" w:pos="360"/>
        </w:tabs>
        <w:spacing w:line="400" w:lineRule="atLeast"/>
        <w:ind w:firstLine="480" w:firstLineChars="200"/>
        <w:rPr>
          <w:rFonts w:eastAsia="宋体" w:cs="Times New Roman"/>
          <w:color w:val="000000"/>
          <w:sz w:val="24"/>
          <w:szCs w:val="24"/>
        </w:rPr>
      </w:pPr>
      <w:r>
        <w:rPr>
          <w:rFonts w:eastAsia="宋体" w:cs="Times New Roman"/>
          <w:color w:val="000000"/>
          <w:sz w:val="24"/>
          <w:szCs w:val="24"/>
        </w:rPr>
        <w:t>给予经济补偿的，招标人将按如下标准支付经济补偿费：</w:t>
      </w:r>
      <w:r>
        <w:rPr>
          <w:rFonts w:eastAsia="宋体" w:cs="Times New Roman"/>
          <w:color w:val="000000"/>
          <w:sz w:val="24"/>
          <w:szCs w:val="24"/>
          <w:u w:val="single"/>
        </w:rPr>
        <w:t xml:space="preserve">  </w:t>
      </w:r>
      <w:r>
        <w:rPr>
          <w:rFonts w:hint="eastAsia" w:eastAsia="宋体" w:cs="Times New Roman"/>
          <w:color w:val="000000"/>
          <w:sz w:val="24"/>
          <w:szCs w:val="24"/>
          <w:u w:val="single"/>
        </w:rPr>
        <w:t>无</w:t>
      </w:r>
      <w:r>
        <w:rPr>
          <w:rFonts w:eastAsia="宋体" w:cs="Times New Roman"/>
          <w:color w:val="000000"/>
          <w:sz w:val="24"/>
          <w:szCs w:val="24"/>
          <w:u w:val="single"/>
        </w:rPr>
        <w:t xml:space="preserve"> </w:t>
      </w:r>
      <w:r>
        <w:rPr>
          <w:rFonts w:eastAsia="宋体" w:cs="Times New Roman"/>
          <w:color w:val="000000"/>
          <w:sz w:val="24"/>
          <w:szCs w:val="24"/>
        </w:rPr>
        <w:t>。</w:t>
      </w:r>
    </w:p>
    <w:p>
      <w:pPr>
        <w:pStyle w:val="32"/>
        <w:keepNext/>
        <w:keepLines/>
        <w:spacing w:before="240" w:after="240" w:line="240" w:lineRule="atLeast"/>
        <w:outlineLvl w:val="1"/>
        <w:rPr>
          <w:rFonts w:eastAsia="黑体" w:cs="Times New Roman"/>
          <w:b/>
          <w:bCs/>
          <w:color w:val="000000"/>
          <w:kern w:val="44"/>
          <w:sz w:val="28"/>
          <w:szCs w:val="28"/>
        </w:rPr>
      </w:pPr>
      <w:bookmarkStart w:id="12" w:name="_Toc509993794"/>
      <w:bookmarkStart w:id="13" w:name="_Toc234832848"/>
      <w:r>
        <w:rPr>
          <w:rFonts w:eastAsia="黑体" w:cs="Times New Roman"/>
          <w:b/>
          <w:bCs/>
          <w:color w:val="000000"/>
          <w:kern w:val="44"/>
          <w:sz w:val="28"/>
          <w:szCs w:val="28"/>
        </w:rPr>
        <w:t>5. 招标文件的获取</w:t>
      </w:r>
      <w:bookmarkEnd w:id="12"/>
      <w:bookmarkEnd w:id="13"/>
      <w:r>
        <w:rPr>
          <w:rFonts w:eastAsia="黑体" w:cs="Times New Roman"/>
          <w:b/>
          <w:bCs/>
          <w:color w:val="000000"/>
          <w:kern w:val="44"/>
          <w:sz w:val="28"/>
          <w:szCs w:val="28"/>
        </w:rPr>
        <w:tab/>
      </w:r>
    </w:p>
    <w:p>
      <w:pPr>
        <w:pStyle w:val="33"/>
        <w:tabs>
          <w:tab w:val="left" w:pos="360"/>
        </w:tabs>
        <w:spacing w:line="440" w:lineRule="exact"/>
        <w:ind w:firstLine="480" w:firstLineChars="200"/>
        <w:rPr>
          <w:rFonts w:ascii="黑体" w:hAnsi="黑体" w:eastAsia="黑体" w:cs="Times New Roman"/>
          <w:sz w:val="24"/>
        </w:rPr>
      </w:pPr>
      <w:bookmarkStart w:id="14" w:name="_Toc234832849"/>
      <w:bookmarkStart w:id="15" w:name="_Toc509993795"/>
      <w:r>
        <w:rPr>
          <w:rFonts w:hint="eastAsia" w:ascii="黑体" w:hAnsi="黑体" w:eastAsia="黑体" w:cs="Times New Roman"/>
          <w:sz w:val="24"/>
        </w:rPr>
        <w:t>凡有意参加投标者，请登录湖南省公路建设市场信用信息管理系统（网址：h</w:t>
      </w:r>
      <w:r>
        <w:rPr>
          <w:rFonts w:ascii="黑体" w:hAnsi="黑体" w:eastAsia="黑体" w:cs="Times New Roman"/>
          <w:sz w:val="24"/>
        </w:rPr>
        <w:t>ttp://218.76.40.80:8000/gljs</w:t>
      </w:r>
      <w:r>
        <w:rPr>
          <w:rFonts w:hint="eastAsia" w:ascii="黑体" w:hAnsi="黑体" w:eastAsia="黑体" w:cs="Times New Roman"/>
          <w:sz w:val="24"/>
        </w:rPr>
        <w:t>）中注册、完善、公开本单位信息（新用户注册请联系湖南省交通运输厅《关于湖南省公路建设市场信用信息管理系统（新开发）运行的通知》（厅办函〔2</w:t>
      </w:r>
      <w:r>
        <w:rPr>
          <w:rFonts w:ascii="黑体" w:hAnsi="黑体" w:eastAsia="黑体" w:cs="Times New Roman"/>
          <w:sz w:val="24"/>
        </w:rPr>
        <w:t>016</w:t>
      </w:r>
      <w:r>
        <w:rPr>
          <w:rFonts w:hint="eastAsia" w:ascii="黑体" w:hAnsi="黑体" w:eastAsia="黑体" w:cs="Times New Roman"/>
          <w:sz w:val="24"/>
        </w:rPr>
        <w:t>〕2</w:t>
      </w:r>
      <w:r>
        <w:rPr>
          <w:rFonts w:ascii="黑体" w:hAnsi="黑体" w:eastAsia="黑体" w:cs="Times New Roman"/>
          <w:sz w:val="24"/>
        </w:rPr>
        <w:t>04</w:t>
      </w:r>
      <w:r>
        <w:rPr>
          <w:rFonts w:hint="eastAsia" w:ascii="黑体" w:hAnsi="黑体" w:eastAsia="黑体" w:cs="Times New Roman"/>
          <w:sz w:val="24"/>
        </w:rPr>
        <w:t>号）文件中的联系方式办理）。本次招标所有的招标文件下载、澄清、补遗、异议等均通过电子交易平台进行。凡有意参加投标者，请在湖南省公共资源交易中心（长沙市万家丽南路2段29号）窗口办理CA认证，完成CA绑定账号后，在湖南省公共资源交易中心工程建设项目招投标交易系统（交通）按照外网招标公告发布的获取时间自行获取招标文件，网上下载的招标文件与书面招标文件具有同等法律效力。凡超过招标文件下载时间将被拒绝。投标人应及时关注网上相关招标信息，如有遗漏招标人概不负责，所造成的投标失败或损失由投标人自行负责。投标人在办理CA数字证书时，自行填写利益相关企业，由电子招投标系统根据投标人填写的利益相关企业情况，在网上报名时自动提醒利益相关企业已报名（如利益相关企业报名数超过可投标段数的，自动禁止报名），如因企业未如实填写利益相关企业导致利益相关企业投同一标段的，按否决其投标处理。</w:t>
      </w:r>
    </w:p>
    <w:p>
      <w:pPr>
        <w:pStyle w:val="34"/>
        <w:keepNext/>
        <w:keepLines/>
        <w:spacing w:before="240" w:after="240" w:line="240" w:lineRule="atLeast"/>
        <w:outlineLvl w:val="1"/>
        <w:rPr>
          <w:rFonts w:eastAsia="黑体" w:cs="Times New Roman"/>
          <w:b/>
          <w:bCs/>
          <w:color w:val="000000"/>
          <w:kern w:val="44"/>
          <w:sz w:val="28"/>
          <w:szCs w:val="28"/>
        </w:rPr>
      </w:pPr>
      <w:r>
        <w:rPr>
          <w:rFonts w:eastAsia="黑体" w:cs="Times New Roman"/>
          <w:b/>
          <w:bCs/>
          <w:color w:val="000000"/>
          <w:kern w:val="44"/>
          <w:sz w:val="28"/>
          <w:szCs w:val="28"/>
        </w:rPr>
        <w:t>6. 投标文件的递交及相关事宜</w:t>
      </w:r>
      <w:bookmarkEnd w:id="14"/>
      <w:bookmarkEnd w:id="15"/>
    </w:p>
    <w:p>
      <w:pPr>
        <w:pStyle w:val="35"/>
        <w:tabs>
          <w:tab w:val="left" w:pos="360"/>
        </w:tabs>
        <w:spacing w:line="360" w:lineRule="auto"/>
        <w:ind w:firstLine="480" w:firstLineChars="200"/>
        <w:rPr>
          <w:rFonts w:eastAsia="宋体" w:cs="Times New Roman"/>
          <w:sz w:val="24"/>
          <w:szCs w:val="24"/>
        </w:rPr>
      </w:pPr>
      <w:r>
        <w:rPr>
          <w:rFonts w:hint="eastAsia" w:eastAsia="宋体" w:cs="Times New Roman"/>
          <w:sz w:val="24"/>
          <w:szCs w:val="24"/>
        </w:rPr>
        <w:t>6</w:t>
      </w:r>
      <w:r>
        <w:rPr>
          <w:rFonts w:eastAsia="宋体" w:cs="Times New Roman"/>
          <w:sz w:val="24"/>
          <w:szCs w:val="24"/>
        </w:rPr>
        <w:t xml:space="preserve">.1 </w:t>
      </w:r>
      <w:r>
        <w:rPr>
          <w:rFonts w:hint="eastAsia" w:eastAsia="宋体" w:cs="Times New Roman"/>
          <w:sz w:val="24"/>
          <w:szCs w:val="24"/>
        </w:rPr>
        <w:t>招标人不组织工程现场踏勘及投标预备会。</w:t>
      </w:r>
    </w:p>
    <w:p>
      <w:pPr>
        <w:pStyle w:val="36"/>
        <w:tabs>
          <w:tab w:val="left" w:pos="360"/>
        </w:tabs>
        <w:spacing w:line="360" w:lineRule="auto"/>
        <w:ind w:firstLine="480" w:firstLineChars="200"/>
        <w:rPr>
          <w:rFonts w:hint="eastAsia" w:eastAsia="宋体" w:cs="Times New Roman"/>
          <w:sz w:val="24"/>
          <w:szCs w:val="24"/>
        </w:rPr>
      </w:pPr>
      <w:r>
        <w:rPr>
          <w:rFonts w:hint="eastAsia" w:eastAsia="宋体" w:cs="Times New Roman"/>
          <w:sz w:val="24"/>
          <w:szCs w:val="24"/>
        </w:rPr>
        <w:t>6</w:t>
      </w:r>
      <w:r>
        <w:rPr>
          <w:rFonts w:eastAsia="宋体" w:cs="Times New Roman"/>
          <w:sz w:val="24"/>
          <w:szCs w:val="24"/>
        </w:rPr>
        <w:t>.2</w:t>
      </w:r>
      <w:bookmarkStart w:id="16" w:name="_Hlk13754202"/>
      <w:r>
        <w:rPr>
          <w:rFonts w:hint="eastAsia" w:eastAsia="宋体" w:cs="Times New Roman"/>
          <w:sz w:val="24"/>
          <w:szCs w:val="24"/>
        </w:rPr>
        <w:t xml:space="preserve"> 投标文件递交截止时间（投标截止时间，下同）见外网招标公告。</w:t>
      </w:r>
    </w:p>
    <w:p>
      <w:pPr>
        <w:pStyle w:val="37"/>
        <w:tabs>
          <w:tab w:val="left" w:pos="360"/>
        </w:tabs>
        <w:spacing w:line="360" w:lineRule="auto"/>
        <w:ind w:firstLine="480" w:firstLineChars="200"/>
        <w:rPr>
          <w:rFonts w:eastAsia="宋体" w:cs="Times New Roman"/>
          <w:sz w:val="24"/>
          <w:szCs w:val="24"/>
        </w:rPr>
      </w:pPr>
      <w:r>
        <w:rPr>
          <w:rFonts w:hint="eastAsia" w:eastAsia="宋体" w:cs="Times New Roman"/>
          <w:sz w:val="24"/>
          <w:szCs w:val="24"/>
        </w:rPr>
        <w:t>投标人应当在投标截止时间前，按下列两种方式递交投标文件：</w:t>
      </w:r>
    </w:p>
    <w:bookmarkEnd w:id="16"/>
    <w:p>
      <w:pPr>
        <w:pStyle w:val="38"/>
        <w:tabs>
          <w:tab w:val="left" w:pos="360"/>
        </w:tabs>
        <w:spacing w:line="360" w:lineRule="auto"/>
        <w:ind w:firstLine="480" w:firstLineChars="200"/>
        <w:rPr>
          <w:rFonts w:hint="eastAsia" w:ascii="Times New Roman" w:hAnsi="Times New Roman" w:eastAsia="宋体" w:cs="Times New Roman"/>
          <w:kern w:val="2"/>
          <w:sz w:val="24"/>
          <w:szCs w:val="24"/>
          <w:lang w:val="en-US" w:eastAsia="zh-CN" w:bidi="ar-SA"/>
        </w:rPr>
      </w:pPr>
      <w:r>
        <w:rPr>
          <w:rFonts w:hint="eastAsia" w:eastAsia="宋体" w:cs="Times New Roman"/>
          <w:sz w:val="24"/>
          <w:szCs w:val="24"/>
        </w:rPr>
        <w:t>投标文件包括加密的投标文件和不加密的投标文件（U 盘或设置密码的压缩文件形式）。投标文件递交的截止时间(投标截止时间，下同)见湖南省公共资源交易中心工程建设项目招投标交易系统本招标公告正文上方，投标人应当在投</w:t>
      </w:r>
      <w:r>
        <w:rPr>
          <w:rFonts w:hint="eastAsia" w:ascii="Times New Roman" w:hAnsi="Times New Roman" w:eastAsia="宋体" w:cs="Times New Roman"/>
          <w:kern w:val="2"/>
          <w:sz w:val="24"/>
          <w:szCs w:val="24"/>
          <w:lang w:val="en-US" w:eastAsia="zh-CN" w:bidi="ar-SA"/>
        </w:rPr>
        <w:t>标截止时间前，按下列两种方式同时递交投标文件：</w:t>
      </w:r>
    </w:p>
    <w:p>
      <w:pPr>
        <w:pStyle w:val="39"/>
        <w:tabs>
          <w:tab w:val="left" w:pos="360"/>
        </w:tabs>
        <w:spacing w:line="360" w:lineRule="auto"/>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网上递交：投标人应当在投标截止时间前，通过互联网使用CA 数字证书登录“交易系统”，将加密的投标文件(投标文件第一信封（商务和技术文件）和投标文件第二信封（报价文件）)上传，并保存上传成功后系统自动生成的电子签收凭证，递交时间即为电子签收凭证时间。逾期未完成上传或未按规定加密的投标文件，招标人不予接收。</w:t>
      </w:r>
    </w:p>
    <w:p>
      <w:pPr>
        <w:pStyle w:val="40"/>
        <w:tabs>
          <w:tab w:val="left" w:pos="360"/>
        </w:tabs>
        <w:spacing w:line="360" w:lineRule="auto"/>
        <w:ind w:firstLine="480" w:firstLineChars="200"/>
        <w:rPr>
          <w:rFonts w:hint="eastAsia" w:eastAsia="宋体" w:cs="Times New Roman"/>
          <w:sz w:val="24"/>
          <w:szCs w:val="24"/>
        </w:rPr>
      </w:pPr>
      <w:r>
        <w:rPr>
          <w:rFonts w:hint="eastAsia" w:eastAsia="宋体" w:cs="Times New Roman"/>
          <w:sz w:val="24"/>
          <w:szCs w:val="24"/>
        </w:rPr>
        <w:t>原件等资料送达：本次招标实行网上解密和开标。湖南省公共资源交易中心目前已全面启动电子化开评标，不见面开标项目无需现场参与，投标人可自行登录“不见面开标大厅”在线解密和收看开标现场。开标过程中因招标文件规定的原因导致解密失败时，招标人可在开标现场直接导入投标人在投标截止时间前递交的不加密的投标文件（U 盘或设置密码的压缩文件形式）进行开标。招标人允许投标人将投标保函原件和银行查询授权书原件（如有）按照招标文件要求密封后（封套注明项目名称、招标编号、投标人名称），采用邮寄方式最晚于开标之日前一日下午17:00前交招标人签收（以签收时间为准，不含节假日），邮寄地址：湖南省怀化市辰溪县火马冲镇火马冲工业园管委会沅辰高速公路建设开发有限公司程先生收（联系电话</w:t>
      </w:r>
      <w:r>
        <w:rPr>
          <w:rFonts w:hint="eastAsia" w:cs="Times New Roman"/>
          <w:sz w:val="24"/>
          <w:szCs w:val="24"/>
          <w:lang w:eastAsia="zh-CN"/>
        </w:rPr>
        <w:t>0745-2505007</w:t>
      </w:r>
      <w:bookmarkStart w:id="116" w:name="_GoBack"/>
      <w:bookmarkEnd w:id="116"/>
      <w:r>
        <w:rPr>
          <w:rFonts w:hint="eastAsia" w:eastAsia="宋体" w:cs="Times New Roman"/>
          <w:sz w:val="24"/>
          <w:szCs w:val="24"/>
        </w:rPr>
        <w:t>）。若投标人自愿到达开标现场参加开标活动的，应当在开标当日投标截止时间之前，将不加密的投标文件(投标文件第一信封（商务和技术文件）和投标文件第二信封（报价文件）)（ U 盘备份）及投标保函原件和银行查询授权书原件（如有）按照招标文件要求密封后，递交至湖南省长沙市雨花区万家丽南路二段29号湖南省公共资源交易中心开标室（具体开标室请见一楼电子显示屏）交招标人签收；投标人在原件等资料递交完成后，请在三楼休息区、一楼办事大厅休息，禁止进入不见面开标室或在门口、过道聚集。同时投标人须携带加密投标文件的 CA 数字证书、笔记本电脑并自备可靠的网络连接，全程做好防护，戴好口罩，并按湖南省公共资源交易中心的要求落实相关疫情防控措施。逾期送达的、未送达指定地点的或不按照招标文件要求密封的投标文件，招标人将予以拒收。</w:t>
      </w:r>
    </w:p>
    <w:p>
      <w:pPr>
        <w:pStyle w:val="41"/>
        <w:tabs>
          <w:tab w:val="left" w:pos="360"/>
        </w:tabs>
        <w:spacing w:line="360" w:lineRule="auto"/>
        <w:ind w:firstLine="480" w:firstLineChars="200"/>
        <w:rPr>
          <w:rFonts w:hint="eastAsia" w:eastAsia="宋体" w:cs="Times New Roman"/>
          <w:sz w:val="24"/>
          <w:szCs w:val="24"/>
        </w:rPr>
      </w:pPr>
      <w:r>
        <w:rPr>
          <w:rFonts w:hint="eastAsia" w:eastAsia="宋体" w:cs="Times New Roman"/>
          <w:sz w:val="24"/>
          <w:szCs w:val="24"/>
        </w:rPr>
        <w:t>6.3 投标保证金的递交：</w:t>
      </w:r>
    </w:p>
    <w:p>
      <w:pPr>
        <w:pStyle w:val="42"/>
        <w:autoSpaceDE w:val="0"/>
        <w:autoSpaceDN w:val="0"/>
        <w:adjustRightInd w:val="0"/>
        <w:spacing w:line="400" w:lineRule="exact"/>
        <w:ind w:firstLine="480"/>
        <w:rPr>
          <w:rFonts w:eastAsia="黑体" w:cs="Times New Roman"/>
          <w:color w:val="000000"/>
          <w:sz w:val="24"/>
          <w:szCs w:val="20"/>
          <w:highlight w:val="yellow"/>
        </w:rPr>
      </w:pPr>
      <w:r>
        <w:rPr>
          <w:rFonts w:eastAsia="黑体" w:cs="Times New Roman"/>
          <w:color w:val="000000"/>
          <w:sz w:val="24"/>
          <w:szCs w:val="20"/>
        </w:rPr>
        <w:t>投标保证金的金额：</w:t>
      </w:r>
      <w:r>
        <w:rPr>
          <w:rFonts w:hint="eastAsia" w:eastAsia="黑体" w:cs="Times New Roman"/>
          <w:color w:val="000000"/>
          <w:sz w:val="24"/>
          <w:szCs w:val="20"/>
          <w:highlight w:val="none"/>
          <w:u w:val="none"/>
        </w:rPr>
        <w:t>3</w:t>
      </w:r>
      <w:r>
        <w:rPr>
          <w:rFonts w:hint="eastAsia" w:ascii="Calibri" w:hAnsi="Calibri" w:eastAsia="黑体" w:cs="Times New Roman"/>
          <w:color w:val="000000"/>
          <w:sz w:val="24"/>
          <w:szCs w:val="20"/>
          <w:highlight w:val="none"/>
          <w:u w:val="none"/>
        </w:rPr>
        <w:t>万</w:t>
      </w:r>
      <w:r>
        <w:rPr>
          <w:rFonts w:ascii="Calibri" w:hAnsi="Calibri" w:eastAsia="黑体" w:cs="Times New Roman"/>
          <w:color w:val="000000"/>
          <w:sz w:val="24"/>
          <w:szCs w:val="20"/>
          <w:highlight w:val="none"/>
          <w:u w:val="none"/>
        </w:rPr>
        <w:t>元</w:t>
      </w:r>
    </w:p>
    <w:p>
      <w:pPr>
        <w:pStyle w:val="43"/>
        <w:autoSpaceDE w:val="0"/>
        <w:autoSpaceDN w:val="0"/>
        <w:adjustRightInd w:val="0"/>
        <w:spacing w:line="400" w:lineRule="exact"/>
        <w:ind w:firstLine="480"/>
        <w:rPr>
          <w:rFonts w:eastAsia="黑体" w:cs="Times New Roman"/>
          <w:color w:val="000000"/>
          <w:sz w:val="24"/>
          <w:szCs w:val="20"/>
        </w:rPr>
      </w:pPr>
      <w:bookmarkStart w:id="17" w:name="_Hlk12420387"/>
      <w:r>
        <w:rPr>
          <w:rFonts w:eastAsia="黑体" w:cs="Times New Roman"/>
          <w:color w:val="000000"/>
          <w:sz w:val="24"/>
          <w:szCs w:val="20"/>
        </w:rPr>
        <w:t>（1）</w:t>
      </w:r>
      <w:bookmarkStart w:id="18" w:name="_Hlk11941435"/>
      <w:r>
        <w:rPr>
          <w:rFonts w:eastAsia="黑体" w:cs="Times New Roman"/>
          <w:sz w:val="24"/>
          <w:szCs w:val="20"/>
        </w:rPr>
        <w:t>投标人采用现金或者支票形式提交的投标保证金应当从其基本账户转出，投标人应在投标截止时间前以转账、电汇、网银方式从投标人基本账户一次性划款到以下指定投标保证金专用账号上（以到账时间为准）</w:t>
      </w:r>
      <w:bookmarkEnd w:id="18"/>
      <w:r>
        <w:rPr>
          <w:rFonts w:eastAsia="黑体" w:cs="Times New Roman"/>
          <w:sz w:val="24"/>
          <w:szCs w:val="20"/>
        </w:rPr>
        <w:t>。</w:t>
      </w:r>
    </w:p>
    <w:bookmarkEnd w:id="17"/>
    <w:p>
      <w:pPr>
        <w:pStyle w:val="44"/>
        <w:autoSpaceDE w:val="0"/>
        <w:autoSpaceDN w:val="0"/>
        <w:adjustRightInd w:val="0"/>
        <w:spacing w:line="400" w:lineRule="exact"/>
        <w:ind w:firstLine="480"/>
        <w:rPr>
          <w:rFonts w:hint="eastAsia" w:eastAsia="黑体" w:cs="Times New Roman"/>
          <w:sz w:val="24"/>
          <w:szCs w:val="20"/>
        </w:rPr>
      </w:pPr>
      <w:r>
        <w:rPr>
          <w:rFonts w:eastAsia="黑体" w:cs="Times New Roman"/>
          <w:color w:val="000000"/>
          <w:sz w:val="24"/>
          <w:szCs w:val="20"/>
        </w:rPr>
        <w:t>招标标段：</w:t>
      </w:r>
      <w:r>
        <w:rPr>
          <w:rFonts w:hint="eastAsia" w:ascii="Calibri" w:hAnsi="Calibri" w:eastAsia="黑体" w:cs="Times New Roman"/>
          <w:sz w:val="24"/>
          <w:szCs w:val="20"/>
        </w:rPr>
        <w:t>YCSJ-2标段</w:t>
      </w:r>
    </w:p>
    <w:p>
      <w:pPr>
        <w:pStyle w:val="45"/>
        <w:autoSpaceDE w:val="0"/>
        <w:autoSpaceDN w:val="0"/>
        <w:adjustRightInd w:val="0"/>
        <w:spacing w:line="400" w:lineRule="exact"/>
        <w:ind w:firstLine="480"/>
        <w:rPr>
          <w:rFonts w:eastAsia="黑体" w:cs="Times New Roman"/>
          <w:sz w:val="24"/>
          <w:szCs w:val="20"/>
        </w:rPr>
      </w:pPr>
      <w:r>
        <w:rPr>
          <w:rFonts w:eastAsia="黑体" w:cs="Times New Roman"/>
          <w:sz w:val="24"/>
          <w:szCs w:val="20"/>
        </w:rPr>
        <w:t xml:space="preserve">户    名： </w:t>
      </w:r>
      <w:r>
        <w:rPr>
          <w:rFonts w:hint="eastAsia" w:ascii="Calibri" w:hAnsi="Calibri" w:eastAsia="黑体" w:cs="Times New Roman"/>
          <w:sz w:val="24"/>
          <w:szCs w:val="20"/>
        </w:rPr>
        <w:t>湖南省公共资源交易中心</w:t>
      </w:r>
    </w:p>
    <w:p>
      <w:pPr>
        <w:pStyle w:val="46"/>
        <w:autoSpaceDE w:val="0"/>
        <w:autoSpaceDN w:val="0"/>
        <w:adjustRightInd w:val="0"/>
        <w:spacing w:line="400" w:lineRule="exact"/>
        <w:ind w:firstLine="480"/>
        <w:rPr>
          <w:rFonts w:eastAsia="黑体" w:cs="Times New Roman"/>
          <w:sz w:val="24"/>
          <w:szCs w:val="20"/>
        </w:rPr>
      </w:pPr>
      <w:r>
        <w:rPr>
          <w:rFonts w:eastAsia="黑体" w:cs="Times New Roman"/>
          <w:sz w:val="24"/>
          <w:szCs w:val="20"/>
        </w:rPr>
        <w:t xml:space="preserve">开户银行： </w:t>
      </w:r>
      <w:r>
        <w:rPr>
          <w:rFonts w:hint="eastAsia" w:ascii="Calibri" w:hAnsi="Calibri" w:eastAsia="黑体" w:cs="Times New Roman"/>
          <w:sz w:val="24"/>
          <w:szCs w:val="20"/>
        </w:rPr>
        <w:t>长沙银行湘府路支行</w:t>
      </w:r>
    </w:p>
    <w:p>
      <w:pPr>
        <w:pStyle w:val="47"/>
        <w:autoSpaceDE w:val="0"/>
        <w:autoSpaceDN w:val="0"/>
        <w:adjustRightInd w:val="0"/>
        <w:spacing w:line="400" w:lineRule="exact"/>
        <w:ind w:firstLine="480"/>
        <w:rPr>
          <w:rFonts w:eastAsia="黑体" w:cs="Times New Roman"/>
          <w:sz w:val="24"/>
          <w:szCs w:val="20"/>
        </w:rPr>
      </w:pPr>
      <w:r>
        <w:rPr>
          <w:rFonts w:eastAsia="黑体" w:cs="Times New Roman"/>
          <w:sz w:val="24"/>
          <w:szCs w:val="20"/>
        </w:rPr>
        <w:t>账    号：</w:t>
      </w:r>
      <w:r>
        <w:rPr>
          <w:rFonts w:hint="eastAsia" w:eastAsia="黑体" w:cs="Times New Roman"/>
          <w:sz w:val="24"/>
          <w:szCs w:val="20"/>
        </w:rPr>
        <w:t xml:space="preserve"> </w:t>
      </w:r>
      <w:r>
        <w:rPr>
          <w:rFonts w:hint="eastAsia" w:ascii="微软雅黑" w:hAnsi="微软雅黑" w:eastAsia="微软雅黑" w:cs="Tahoma"/>
          <w:color w:val="3D4B64"/>
          <w:sz w:val="20"/>
          <w:szCs w:val="20"/>
        </w:rPr>
        <w:t>607045590</w:t>
      </w:r>
    </w:p>
    <w:p>
      <w:pPr>
        <w:pStyle w:val="48"/>
        <w:autoSpaceDE w:val="0"/>
        <w:autoSpaceDN w:val="0"/>
        <w:adjustRightInd w:val="0"/>
        <w:spacing w:line="400" w:lineRule="exact"/>
        <w:ind w:firstLine="480"/>
        <w:rPr>
          <w:rFonts w:eastAsia="黑体" w:cs="Times New Roman"/>
          <w:color w:val="000000"/>
          <w:sz w:val="24"/>
          <w:szCs w:val="20"/>
        </w:rPr>
      </w:pPr>
      <w:r>
        <w:rPr>
          <w:rFonts w:eastAsia="黑体" w:cs="Times New Roman"/>
          <w:color w:val="000000"/>
          <w:sz w:val="24"/>
          <w:szCs w:val="20"/>
        </w:rPr>
        <w:t>（2）采用银行保函时，应由投标人开立基本账户的银行出具保函，与银行查询授权书原件一并在投标截止时间前交招标人。</w:t>
      </w:r>
    </w:p>
    <w:p>
      <w:pPr>
        <w:pStyle w:val="49"/>
        <w:keepNext/>
        <w:keepLines/>
        <w:spacing w:before="240" w:after="240" w:line="240" w:lineRule="atLeast"/>
        <w:outlineLvl w:val="1"/>
        <w:rPr>
          <w:rFonts w:eastAsia="黑体" w:cs="Times New Roman"/>
          <w:b/>
          <w:bCs/>
          <w:color w:val="000000"/>
          <w:kern w:val="44"/>
          <w:sz w:val="28"/>
          <w:szCs w:val="28"/>
        </w:rPr>
      </w:pPr>
      <w:bookmarkStart w:id="19" w:name="_Toc517377022"/>
      <w:r>
        <w:rPr>
          <w:rFonts w:eastAsia="黑体" w:cs="Times New Roman"/>
          <w:b/>
          <w:bCs/>
          <w:color w:val="000000"/>
          <w:kern w:val="44"/>
          <w:sz w:val="28"/>
          <w:szCs w:val="28"/>
        </w:rPr>
        <w:t>7．评标办法</w:t>
      </w:r>
      <w:bookmarkEnd w:id="19"/>
    </w:p>
    <w:p>
      <w:pPr>
        <w:pStyle w:val="50"/>
        <w:autoSpaceDE w:val="0"/>
        <w:autoSpaceDN w:val="0"/>
        <w:adjustRightInd w:val="0"/>
        <w:spacing w:line="400" w:lineRule="exact"/>
        <w:ind w:firstLine="480"/>
        <w:rPr>
          <w:rFonts w:eastAsia="黑体" w:cs="Times New Roman"/>
          <w:color w:val="000000"/>
          <w:szCs w:val="24"/>
        </w:rPr>
      </w:pPr>
      <w:bookmarkStart w:id="20" w:name="_Hlk2760395"/>
      <w:r>
        <w:rPr>
          <w:rFonts w:hint="eastAsia" w:eastAsia="黑体" w:cs="Times New Roman"/>
          <w:color w:val="000000"/>
          <w:sz w:val="24"/>
          <w:szCs w:val="20"/>
        </w:rPr>
        <w:t>本项目评标办法采用综合评估法。</w:t>
      </w:r>
    </w:p>
    <w:bookmarkEnd w:id="20"/>
    <w:p>
      <w:pPr>
        <w:pStyle w:val="51"/>
        <w:keepNext/>
        <w:keepLines/>
        <w:spacing w:before="240" w:after="240" w:line="240" w:lineRule="atLeast"/>
        <w:outlineLvl w:val="1"/>
        <w:rPr>
          <w:rFonts w:eastAsia="黑体" w:cs="Times New Roman"/>
          <w:b/>
          <w:bCs/>
          <w:color w:val="000000"/>
          <w:kern w:val="44"/>
          <w:sz w:val="28"/>
          <w:szCs w:val="28"/>
        </w:rPr>
      </w:pPr>
      <w:bookmarkStart w:id="21" w:name="_Toc234832850"/>
      <w:bookmarkStart w:id="22" w:name="_Toc509993796"/>
      <w:r>
        <w:rPr>
          <w:rFonts w:eastAsia="宋体" w:cs="Times New Roman"/>
          <w:b/>
          <w:bCs/>
          <w:color w:val="000000"/>
          <w:kern w:val="44"/>
          <w:sz w:val="24"/>
          <w:szCs w:val="44"/>
        </w:rPr>
        <w:t>8</w:t>
      </w:r>
      <w:r>
        <w:rPr>
          <w:rFonts w:eastAsia="黑体" w:cs="Times New Roman"/>
          <w:b/>
          <w:bCs/>
          <w:color w:val="000000"/>
          <w:kern w:val="44"/>
          <w:sz w:val="28"/>
          <w:szCs w:val="28"/>
        </w:rPr>
        <w:t>. 发布公告的媒介</w:t>
      </w:r>
      <w:bookmarkEnd w:id="21"/>
      <w:bookmarkEnd w:id="22"/>
    </w:p>
    <w:p>
      <w:pPr>
        <w:pStyle w:val="52"/>
        <w:autoSpaceDE w:val="0"/>
        <w:autoSpaceDN w:val="0"/>
        <w:adjustRightInd w:val="0"/>
        <w:spacing w:line="400" w:lineRule="exact"/>
        <w:ind w:firstLine="480"/>
        <w:rPr>
          <w:rFonts w:eastAsia="黑体" w:cs="Times New Roman"/>
          <w:sz w:val="24"/>
        </w:rPr>
      </w:pPr>
      <w:bookmarkStart w:id="23" w:name="_Hlk2752506"/>
      <w:bookmarkStart w:id="24" w:name="_Toc516774588"/>
      <w:r>
        <w:rPr>
          <w:rFonts w:eastAsia="黑体" w:cs="Times New Roman"/>
          <w:sz w:val="24"/>
        </w:rPr>
        <w:t>本次招标公告同时在中国招标投标公共服务平台（http://bulletin.cebpubservice.com）、湖南省招标投标监管网（</w:t>
      </w:r>
      <w:r>
        <w:rPr>
          <w:rFonts w:eastAsia="宋体" w:cs="Times New Roman"/>
          <w:szCs w:val="24"/>
        </w:rPr>
        <w:fldChar w:fldCharType="begin"/>
      </w:r>
      <w:r>
        <w:rPr>
          <w:rFonts w:eastAsia="宋体" w:cs="Times New Roman"/>
        </w:rPr>
        <w:instrText xml:space="preserve"> HYPERLINK "http://www.bidding.hunan.gov.cn）上发布，公布时间至" </w:instrText>
      </w:r>
      <w:r>
        <w:rPr>
          <w:rFonts w:eastAsia="宋体" w:cs="Times New Roman"/>
          <w:szCs w:val="24"/>
        </w:rPr>
        <w:fldChar w:fldCharType="separate"/>
      </w:r>
      <w:r>
        <w:rPr>
          <w:rFonts w:eastAsia="黑体" w:cs="Times New Roman"/>
          <w:sz w:val="24"/>
        </w:rPr>
        <w:t>www.</w:t>
      </w:r>
      <w:bookmarkStart w:id="25" w:name="_Hlt346440196"/>
      <w:bookmarkStart w:id="26" w:name="_Hlt346440195"/>
      <w:r>
        <w:rPr>
          <w:rFonts w:eastAsia="黑体" w:cs="Times New Roman"/>
          <w:sz w:val="24"/>
        </w:rPr>
        <w:t>b</w:t>
      </w:r>
      <w:bookmarkEnd w:id="25"/>
      <w:bookmarkEnd w:id="26"/>
      <w:r>
        <w:rPr>
          <w:rFonts w:eastAsia="黑体" w:cs="Times New Roman"/>
          <w:sz w:val="24"/>
        </w:rPr>
        <w:t>idding.hunan.gov.cn）、湖南省交通运输厅网（www.hnjt.gov.cn）上发布</w:t>
      </w:r>
      <w:r>
        <w:rPr>
          <w:rFonts w:eastAsia="黑体" w:cs="Times New Roman"/>
          <w:sz w:val="24"/>
        </w:rPr>
        <w:fldChar w:fldCharType="end"/>
      </w:r>
      <w:r>
        <w:rPr>
          <w:rFonts w:eastAsia="黑体" w:cs="Times New Roman"/>
          <w:sz w:val="24"/>
        </w:rPr>
        <w:t>。</w:t>
      </w:r>
    </w:p>
    <w:bookmarkEnd w:id="23"/>
    <w:p>
      <w:pPr>
        <w:pStyle w:val="53"/>
        <w:keepNext/>
        <w:keepLines/>
        <w:spacing w:before="240" w:after="240" w:line="240" w:lineRule="atLeast"/>
        <w:outlineLvl w:val="1"/>
        <w:rPr>
          <w:rFonts w:eastAsia="黑体" w:cs="Times New Roman"/>
          <w:b/>
          <w:bCs/>
          <w:color w:val="000000"/>
          <w:kern w:val="44"/>
          <w:sz w:val="28"/>
          <w:szCs w:val="28"/>
        </w:rPr>
      </w:pPr>
      <w:r>
        <w:rPr>
          <w:rFonts w:eastAsia="黑体" w:cs="Times New Roman"/>
          <w:b/>
          <w:bCs/>
          <w:color w:val="000000"/>
          <w:kern w:val="44"/>
          <w:sz w:val="28"/>
          <w:szCs w:val="28"/>
        </w:rPr>
        <w:t>9. 附件</w:t>
      </w:r>
      <w:bookmarkEnd w:id="24"/>
    </w:p>
    <w:p>
      <w:pPr>
        <w:pStyle w:val="54"/>
        <w:topLinePunct/>
        <w:spacing w:line="400" w:lineRule="atLeast"/>
        <w:ind w:firstLine="480" w:firstLineChars="200"/>
        <w:rPr>
          <w:rFonts w:eastAsia="黑体" w:cs="Times New Roman"/>
          <w:color w:val="000000"/>
          <w:sz w:val="24"/>
          <w:szCs w:val="24"/>
        </w:rPr>
      </w:pPr>
      <w:r>
        <w:rPr>
          <w:rFonts w:eastAsia="黑体" w:cs="Times New Roman"/>
          <w:color w:val="000000"/>
          <w:sz w:val="24"/>
          <w:szCs w:val="24"/>
        </w:rPr>
        <w:t>附件1：资格审查条件要求（详见第二章 投标人须知之附录）</w:t>
      </w:r>
    </w:p>
    <w:p>
      <w:pPr>
        <w:pStyle w:val="55"/>
        <w:topLinePunct/>
        <w:spacing w:line="400" w:lineRule="atLeast"/>
        <w:ind w:firstLine="480" w:firstLineChars="200"/>
        <w:rPr>
          <w:rFonts w:eastAsia="黑体" w:cs="Times New Roman"/>
          <w:color w:val="000000"/>
          <w:sz w:val="24"/>
          <w:szCs w:val="24"/>
        </w:rPr>
      </w:pPr>
      <w:r>
        <w:rPr>
          <w:rFonts w:eastAsia="黑体" w:cs="Times New Roman"/>
          <w:color w:val="000000"/>
          <w:sz w:val="24"/>
          <w:szCs w:val="24"/>
        </w:rPr>
        <w:t>附件2：评标办法(详见第三章 评标办法)</w:t>
      </w:r>
    </w:p>
    <w:p>
      <w:pPr>
        <w:pStyle w:val="56"/>
        <w:topLinePunct/>
        <w:spacing w:line="400" w:lineRule="atLeast"/>
        <w:ind w:firstLine="480" w:firstLineChars="200"/>
        <w:rPr>
          <w:rFonts w:eastAsia="黑体" w:cs="Times New Roman"/>
          <w:color w:val="000000"/>
          <w:sz w:val="24"/>
          <w:szCs w:val="24"/>
        </w:rPr>
      </w:pPr>
      <w:r>
        <w:rPr>
          <w:rFonts w:eastAsia="黑体" w:cs="Times New Roman"/>
          <w:color w:val="000000"/>
          <w:sz w:val="24"/>
          <w:szCs w:val="24"/>
        </w:rPr>
        <w:t>附件3：项目概况</w:t>
      </w:r>
    </w:p>
    <w:p>
      <w:pPr>
        <w:pStyle w:val="57"/>
        <w:keepNext/>
        <w:keepLines/>
        <w:spacing w:before="240" w:after="240" w:line="240" w:lineRule="atLeast"/>
        <w:outlineLvl w:val="1"/>
        <w:rPr>
          <w:rFonts w:eastAsia="黑体" w:cs="Times New Roman"/>
          <w:b/>
          <w:bCs/>
          <w:color w:val="000000"/>
          <w:kern w:val="44"/>
          <w:sz w:val="28"/>
          <w:szCs w:val="28"/>
        </w:rPr>
      </w:pPr>
      <w:bookmarkStart w:id="27" w:name="_Toc509993797"/>
      <w:bookmarkStart w:id="28" w:name="_Toc234832851"/>
      <w:r>
        <w:rPr>
          <w:rFonts w:eastAsia="黑体" w:cs="Times New Roman"/>
          <w:b/>
          <w:bCs/>
          <w:color w:val="000000"/>
          <w:kern w:val="44"/>
          <w:sz w:val="28"/>
          <w:szCs w:val="28"/>
        </w:rPr>
        <w:t>10. 联系方式</w:t>
      </w:r>
      <w:bookmarkEnd w:id="27"/>
      <w:bookmarkEnd w:id="28"/>
    </w:p>
    <w:p>
      <w:pPr>
        <w:pStyle w:val="58"/>
        <w:spacing w:line="400" w:lineRule="atLeast"/>
        <w:ind w:firstLine="480" w:firstLineChars="200"/>
        <w:rPr>
          <w:rFonts w:hint="eastAsia" w:eastAsia="黑体" w:cs="Times New Roman"/>
          <w:sz w:val="24"/>
        </w:rPr>
      </w:pPr>
      <w:bookmarkStart w:id="29" w:name="_Hlk2752524"/>
      <w:r>
        <w:rPr>
          <w:rFonts w:hint="eastAsia" w:eastAsia="黑体" w:cs="Times New Roman"/>
          <w:sz w:val="24"/>
        </w:rPr>
        <w:t xml:space="preserve">招 标 人：湖南省沅辰高速公路建设开发有限公司      </w:t>
      </w:r>
    </w:p>
    <w:p>
      <w:pPr>
        <w:pStyle w:val="59"/>
        <w:spacing w:line="400" w:lineRule="atLeast"/>
        <w:ind w:firstLine="480" w:firstLineChars="200"/>
        <w:rPr>
          <w:rFonts w:hint="eastAsia" w:eastAsia="黑体" w:cs="Times New Roman"/>
          <w:sz w:val="24"/>
        </w:rPr>
      </w:pPr>
      <w:r>
        <w:rPr>
          <w:rFonts w:hint="eastAsia" w:eastAsia="黑体" w:cs="Times New Roman"/>
          <w:sz w:val="24"/>
        </w:rPr>
        <w:t xml:space="preserve">地    址：湖南省怀化市辰溪县火马冲镇火马冲工业园管委会             </w:t>
      </w:r>
    </w:p>
    <w:p>
      <w:pPr>
        <w:pStyle w:val="60"/>
        <w:spacing w:line="400" w:lineRule="atLeast"/>
        <w:ind w:firstLine="480" w:firstLineChars="200"/>
        <w:rPr>
          <w:rFonts w:ascii="黑体" w:hAnsi="黑体" w:eastAsia="黑体" w:cs="Times New Roman"/>
          <w:sz w:val="24"/>
        </w:rPr>
      </w:pPr>
      <w:r>
        <w:rPr>
          <w:rFonts w:hint="eastAsia" w:eastAsia="黑体" w:cs="Times New Roman"/>
          <w:sz w:val="24"/>
        </w:rPr>
        <w:t xml:space="preserve">联 系 人：程先生          </w:t>
      </w:r>
      <w:r>
        <w:rPr>
          <w:rFonts w:ascii="黑体" w:hAnsi="黑体" w:eastAsia="黑体" w:cs="Times New Roman"/>
          <w:sz w:val="24"/>
        </w:rPr>
        <w:t xml:space="preserve">       </w:t>
      </w:r>
    </w:p>
    <w:p>
      <w:pPr>
        <w:pStyle w:val="61"/>
        <w:topLinePunct/>
        <w:spacing w:line="400" w:lineRule="atLeast"/>
        <w:ind w:firstLine="480" w:firstLineChars="200"/>
        <w:rPr>
          <w:rFonts w:ascii="黑体" w:hAnsi="黑体" w:eastAsia="黑体" w:cs="Times New Roman"/>
          <w:sz w:val="24"/>
        </w:rPr>
      </w:pPr>
      <w:r>
        <w:rPr>
          <w:rFonts w:ascii="黑体" w:hAnsi="黑体" w:eastAsia="黑体" w:cs="Times New Roman"/>
          <w:sz w:val="24"/>
        </w:rPr>
        <w:t>电    话：</w:t>
      </w:r>
      <w:r>
        <w:rPr>
          <w:rFonts w:hint="eastAsia" w:ascii="黑体" w:hAnsi="黑体" w:eastAsia="黑体" w:cs="Times New Roman"/>
          <w:sz w:val="24"/>
          <w:lang w:eastAsia="zh-CN"/>
        </w:rPr>
        <w:t>0745-2505007</w:t>
      </w:r>
      <w:r>
        <w:rPr>
          <w:rFonts w:ascii="黑体" w:hAnsi="黑体" w:eastAsia="黑体" w:cs="Times New Roman"/>
          <w:sz w:val="24"/>
        </w:rPr>
        <w:t xml:space="preserve">   </w:t>
      </w:r>
    </w:p>
    <w:p>
      <w:pPr>
        <w:pStyle w:val="62"/>
        <w:topLinePunct/>
        <w:spacing w:line="400" w:lineRule="atLeast"/>
        <w:ind w:firstLine="480" w:firstLineChars="200"/>
        <w:rPr>
          <w:rFonts w:ascii="黑体" w:hAnsi="黑体" w:eastAsia="黑体" w:cs="Times New Roman"/>
          <w:sz w:val="24"/>
        </w:rPr>
      </w:pPr>
      <w:r>
        <w:rPr>
          <w:rFonts w:ascii="黑体" w:hAnsi="黑体" w:eastAsia="黑体" w:cs="Times New Roman"/>
          <w:sz w:val="24"/>
        </w:rPr>
        <w:t xml:space="preserve">                                                                  </w:t>
      </w:r>
    </w:p>
    <w:p>
      <w:pPr>
        <w:pStyle w:val="63"/>
        <w:spacing w:line="440" w:lineRule="exact"/>
        <w:ind w:firstLine="424" w:firstLineChars="177"/>
        <w:rPr>
          <w:rFonts w:ascii="黑体" w:hAnsi="黑体" w:eastAsia="黑体" w:cs="Times New Roman"/>
          <w:sz w:val="24"/>
          <w:szCs w:val="24"/>
        </w:rPr>
      </w:pPr>
      <w:r>
        <w:rPr>
          <w:rFonts w:ascii="黑体" w:hAnsi="黑体" w:eastAsia="黑体" w:cs="Times New Roman"/>
          <w:sz w:val="24"/>
          <w:szCs w:val="24"/>
        </w:rPr>
        <w:t>监督部门：湖南省交通运输厅</w:t>
      </w:r>
    </w:p>
    <w:p>
      <w:pPr>
        <w:pStyle w:val="64"/>
        <w:spacing w:line="440" w:lineRule="exact"/>
        <w:ind w:firstLine="424" w:firstLineChars="177"/>
        <w:rPr>
          <w:rFonts w:ascii="黑体" w:hAnsi="黑体" w:eastAsia="黑体" w:cs="Times New Roman"/>
          <w:sz w:val="24"/>
          <w:szCs w:val="24"/>
        </w:rPr>
      </w:pPr>
      <w:r>
        <w:rPr>
          <w:rFonts w:ascii="黑体" w:hAnsi="黑体" w:eastAsia="黑体" w:cs="Times New Roman"/>
          <w:sz w:val="24"/>
          <w:szCs w:val="24"/>
        </w:rPr>
        <w:t>地    址：长沙市湘府西路199号</w:t>
      </w:r>
    </w:p>
    <w:p>
      <w:pPr>
        <w:pStyle w:val="65"/>
        <w:spacing w:line="440" w:lineRule="exact"/>
        <w:ind w:firstLine="424" w:firstLineChars="177"/>
        <w:rPr>
          <w:rFonts w:ascii="黑体" w:hAnsi="黑体" w:eastAsia="黑体" w:cs="Times New Roman"/>
          <w:sz w:val="24"/>
        </w:rPr>
      </w:pPr>
      <w:r>
        <w:rPr>
          <w:rFonts w:ascii="黑体" w:hAnsi="黑体" w:eastAsia="黑体" w:cs="Times New Roman"/>
          <w:sz w:val="24"/>
        </w:rPr>
        <w:t>电    话：0731-8877009</w:t>
      </w:r>
      <w:r>
        <w:rPr>
          <w:rFonts w:hint="eastAsia" w:ascii="黑体" w:hAnsi="黑体" w:eastAsia="黑体" w:cs="Times New Roman"/>
          <w:sz w:val="24"/>
        </w:rPr>
        <w:t>5</w:t>
      </w:r>
      <w:r>
        <w:rPr>
          <w:rFonts w:ascii="黑体" w:hAnsi="黑体" w:eastAsia="黑体" w:cs="Times New Roman"/>
          <w:sz w:val="24"/>
        </w:rPr>
        <w:t>（基本建设处）</w:t>
      </w:r>
    </w:p>
    <w:p>
      <w:pPr>
        <w:pStyle w:val="66"/>
        <w:spacing w:line="440" w:lineRule="exact"/>
        <w:ind w:firstLine="1624" w:firstLineChars="677"/>
        <w:rPr>
          <w:rFonts w:ascii="黑体" w:hAnsi="黑体" w:eastAsia="黑体" w:cs="Times New Roman"/>
          <w:sz w:val="24"/>
        </w:rPr>
      </w:pPr>
      <w:r>
        <w:rPr>
          <w:rFonts w:ascii="黑体" w:hAnsi="黑体" w:eastAsia="黑体" w:cs="Times New Roman"/>
          <w:sz w:val="24"/>
        </w:rPr>
        <w:t>0731-88770122（基本建设处）</w:t>
      </w:r>
    </w:p>
    <w:p>
      <w:pPr>
        <w:pStyle w:val="67"/>
        <w:spacing w:line="440" w:lineRule="exact"/>
        <w:ind w:firstLine="424" w:firstLineChars="177"/>
        <w:rPr>
          <w:rFonts w:ascii="黑体" w:hAnsi="黑体" w:eastAsia="黑体" w:cs="Times New Roman"/>
          <w:sz w:val="24"/>
        </w:rPr>
      </w:pPr>
      <w:r>
        <w:rPr>
          <w:rFonts w:ascii="黑体" w:hAnsi="黑体" w:eastAsia="黑体" w:cs="Times New Roman"/>
          <w:sz w:val="24"/>
        </w:rPr>
        <w:t>传    真：0731-88770094（基本建设处）</w:t>
      </w:r>
    </w:p>
    <w:p>
      <w:pPr>
        <w:pStyle w:val="68"/>
        <w:spacing w:line="440" w:lineRule="exact"/>
        <w:ind w:firstLine="424" w:firstLineChars="177"/>
        <w:rPr>
          <w:rFonts w:ascii="黑体" w:hAnsi="黑体" w:eastAsia="黑体" w:cs="Times New Roman"/>
          <w:sz w:val="24"/>
        </w:rPr>
      </w:pPr>
      <w:r>
        <w:rPr>
          <w:rFonts w:hint="eastAsia" w:ascii="黑体" w:hAnsi="黑体" w:eastAsia="黑体" w:cs="Times New Roman"/>
          <w:sz w:val="24"/>
        </w:rPr>
        <w:t>邮政编码：410004</w:t>
      </w:r>
    </w:p>
    <w:bookmarkEnd w:id="29"/>
    <w:p>
      <w:pPr>
        <w:rPr>
          <w:rStyle w:val="9"/>
          <w:rFonts w:eastAsia="黑体"/>
          <w:color w:val="000000"/>
          <w:sz w:val="29"/>
          <w:szCs w:val="29"/>
        </w:rPr>
      </w:pPr>
      <w:r>
        <w:rPr>
          <w:rStyle w:val="9"/>
          <w:rFonts w:eastAsia="黑体"/>
          <w:color w:val="000000"/>
          <w:sz w:val="29"/>
          <w:szCs w:val="29"/>
        </w:rPr>
        <w:br w:type="page"/>
      </w:r>
    </w:p>
    <w:p>
      <w:pPr>
        <w:pStyle w:val="2"/>
        <w:jc w:val="left"/>
        <w:outlineLvl w:val="0"/>
        <w:rPr>
          <w:rFonts w:hint="default"/>
          <w:b/>
          <w:bCs w:val="0"/>
          <w:sz w:val="21"/>
          <w:szCs w:val="21"/>
          <w:highlight w:val="white"/>
          <w:lang w:val="en-US" w:eastAsia="zh-CN"/>
        </w:rPr>
      </w:pPr>
      <w:r>
        <w:rPr>
          <w:rFonts w:hint="eastAsia"/>
          <w:b/>
          <w:bCs w:val="0"/>
          <w:sz w:val="21"/>
          <w:szCs w:val="21"/>
          <w:highlight w:val="white"/>
          <w:lang w:val="en-US" w:eastAsia="zh-CN"/>
        </w:rPr>
        <w:t>附件1：资格审查条件（第二章投标人须知之附录）</w:t>
      </w:r>
    </w:p>
    <w:p>
      <w:pPr>
        <w:widowControl w:val="0"/>
        <w:spacing w:before="260" w:after="260"/>
        <w:jc w:val="both"/>
        <w:outlineLvl w:val="1"/>
        <w:rPr>
          <w:rFonts w:ascii="宋体" w:hAnsi="宋体" w:eastAsia="黑体" w:cs="Times New Roman"/>
          <w:bCs/>
          <w:iCs/>
          <w:kern w:val="2"/>
          <w:sz w:val="44"/>
          <w:szCs w:val="44"/>
          <w:lang w:val="en-US" w:eastAsia="zh-CN" w:bidi="ar-SA"/>
        </w:rPr>
      </w:pPr>
      <w:bookmarkStart w:id="30" w:name="_Toc234832863"/>
      <w:bookmarkStart w:id="31" w:name="_Toc17549168"/>
      <w:bookmarkStart w:id="32" w:name="_Toc509993812"/>
      <w:r>
        <w:rPr>
          <w:rFonts w:ascii="宋体" w:hAnsi="宋体" w:eastAsia="黑体" w:cs="Times New Roman"/>
          <w:bCs/>
          <w:iCs/>
          <w:kern w:val="2"/>
          <w:sz w:val="28"/>
          <w:szCs w:val="20"/>
          <w:highlight w:val="white"/>
          <w:lang w:val="en-US" w:eastAsia="zh-CN" w:bidi="ar-SA"/>
        </w:rPr>
        <w:t>附录1  资格审查条件（资质最低要求）</w:t>
      </w:r>
      <w:bookmarkEnd w:id="30"/>
      <w:bookmarkEnd w:id="31"/>
      <w:bookmarkEnd w:id="32"/>
    </w:p>
    <w:tbl>
      <w:tblPr>
        <w:tblStyle w:val="11"/>
        <w:tblW w:w="85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5" w:hRule="atLeast"/>
          <w:jc w:val="center"/>
        </w:trPr>
        <w:tc>
          <w:tcPr>
            <w:tcW w:w="8596" w:type="dxa"/>
            <w:noWrap w:val="0"/>
            <w:vAlign w:val="center"/>
          </w:tcPr>
          <w:p>
            <w:pPr>
              <w:widowControl w:val="0"/>
              <w:adjustRightInd w:val="0"/>
              <w:snapToGrid w:val="0"/>
              <w:spacing w:line="400" w:lineRule="atLeast"/>
              <w:jc w:val="center"/>
              <w:rPr>
                <w:rFonts w:ascii="Times New Roman" w:hAnsi="Times New Roman"/>
                <w:color w:val="000000"/>
                <w:kern w:val="2"/>
                <w:sz w:val="21"/>
                <w:szCs w:val="21"/>
                <w:lang w:val="en-US" w:eastAsia="zh-CN" w:bidi="ar-SA"/>
              </w:rPr>
            </w:pPr>
            <w:r>
              <w:rPr>
                <w:rFonts w:ascii="Times New Roman" w:hAnsi="Times New Roman"/>
                <w:color w:val="000000"/>
                <w:kern w:val="2"/>
                <w:sz w:val="21"/>
                <w:szCs w:val="21"/>
                <w:highlight w:val="white"/>
                <w:lang w:val="en-US" w:eastAsia="zh-CN" w:bidi="ar-SA"/>
              </w:rPr>
              <w:t>勘察设计企业资质等级要求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3" w:hRule="atLeast"/>
          <w:jc w:val="center"/>
        </w:trPr>
        <w:tc>
          <w:tcPr>
            <w:tcW w:w="8596" w:type="dxa"/>
            <w:noWrap w:val="0"/>
            <w:vAlign w:val="center"/>
          </w:tcPr>
          <w:p>
            <w:pPr>
              <w:widowControl w:val="0"/>
              <w:adjustRightInd w:val="0"/>
              <w:snapToGrid w:val="0"/>
              <w:spacing w:line="400" w:lineRule="atLeast"/>
              <w:jc w:val="both"/>
              <w:rPr>
                <w:rFonts w:ascii="Times New Roman" w:hAnsi="Times New Roman"/>
                <w:color w:val="000000"/>
                <w:kern w:val="2"/>
                <w:sz w:val="21"/>
                <w:szCs w:val="21"/>
                <w:highlight w:val="green"/>
                <w:lang w:val="en-US" w:eastAsia="zh-CN" w:bidi="ar-SA"/>
              </w:rPr>
            </w:pPr>
            <w:bookmarkStart w:id="33" w:name="EBe3cb88ec9c134a67b4a5449826eff2b8"/>
            <w:r>
              <w:rPr>
                <w:rFonts w:hint="eastAsia" w:ascii="Times New Roman" w:hAnsi="Times New Roman"/>
                <w:color w:val="0000FF"/>
                <w:kern w:val="2"/>
                <w:sz w:val="21"/>
                <w:szCs w:val="21"/>
                <w:highlight w:val="white"/>
                <w:lang w:val="en-US" w:eastAsia="zh-CN" w:bidi="ar-SA"/>
              </w:rPr>
              <w:t>1.具有独立法人资格，持有有效的企业法人营业执照（或事业单位法人证书）；</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2.具有工程勘察综合甲级资质或工程勘察（岩土工程）专业类甲级资质；</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3.具有建筑行业（建筑工程专业）设计甲级资质或建筑工程行业设计甲级资质或工程设计综合甲级资质。</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注：投标人应根据招标文件第二章“投标人须知”第 3.5.1 项的要求在“投标人基本情况表”后附相关证明材料。</w:t>
            </w:r>
            <w:bookmarkEnd w:id="33"/>
          </w:p>
        </w:tc>
      </w:tr>
    </w:tbl>
    <w:p>
      <w:pPr>
        <w:rPr>
          <w:rFonts w:hint="eastAsia"/>
          <w:b/>
          <w:sz w:val="16"/>
        </w:rPr>
      </w:pPr>
      <w:bookmarkStart w:id="34" w:name="EB01d8899a4662477a8b26e3fb7a1164be"/>
      <w:r>
        <w:rPr>
          <w:rFonts w:hint="eastAsia"/>
          <w:b/>
          <w:sz w:val="16"/>
          <w:highlight w:val="white"/>
        </w:rPr>
        <w:t xml:space="preserve"> </w:t>
      </w:r>
      <w:bookmarkEnd w:id="34"/>
    </w:p>
    <w:p>
      <w:pPr>
        <w:rPr>
          <w:highlight w:val="yellow"/>
        </w:rPr>
      </w:pPr>
      <w:r>
        <w:rPr>
          <w:color w:val="000080"/>
          <w:sz w:val="20"/>
          <w:highlight w:val="white"/>
        </w:rPr>
        <w:br w:type="page"/>
      </w:r>
      <w:bookmarkStart w:id="35" w:name="EB47d397e26a77423793d180ab14ac4cf1"/>
      <w:r>
        <w:rPr>
          <w:rFonts w:hint="eastAsia"/>
          <w:color w:val="000080"/>
          <w:sz w:val="20"/>
          <w:highlight w:val="white"/>
        </w:rPr>
        <w:t xml:space="preserve"> </w:t>
      </w:r>
      <w:bookmarkEnd w:id="35"/>
      <w:bookmarkStart w:id="36" w:name="EB35e85ea607804dfca30eeacfa38c8e85"/>
      <w:r>
        <w:rPr>
          <w:rFonts w:hint="eastAsia"/>
          <w:color w:val="000080"/>
          <w:sz w:val="20"/>
          <w:highlight w:val="white"/>
        </w:rPr>
        <w:t xml:space="preserve"> </w:t>
      </w:r>
      <w:bookmarkEnd w:id="36"/>
    </w:p>
    <w:p>
      <w:pPr>
        <w:widowControl w:val="0"/>
        <w:spacing w:before="260" w:after="260"/>
        <w:jc w:val="both"/>
        <w:outlineLvl w:val="1"/>
        <w:rPr>
          <w:rFonts w:ascii="宋体" w:hAnsi="宋体" w:eastAsia="黑体" w:cs="Times New Roman"/>
          <w:bCs/>
          <w:iCs/>
          <w:kern w:val="2"/>
          <w:sz w:val="28"/>
          <w:szCs w:val="20"/>
          <w:lang w:val="en-US" w:eastAsia="zh-CN" w:bidi="ar-SA"/>
        </w:rPr>
      </w:pPr>
      <w:bookmarkStart w:id="37" w:name="_Toc234832865"/>
      <w:bookmarkStart w:id="38" w:name="_Toc509993813"/>
      <w:bookmarkStart w:id="39" w:name="_Toc17549169"/>
      <w:r>
        <w:rPr>
          <w:rFonts w:ascii="宋体" w:hAnsi="宋体" w:eastAsia="黑体" w:cs="Times New Roman"/>
          <w:bCs/>
          <w:iCs/>
          <w:kern w:val="2"/>
          <w:sz w:val="28"/>
          <w:szCs w:val="20"/>
          <w:highlight w:val="white"/>
          <w:lang w:val="en-US" w:eastAsia="zh-CN" w:bidi="ar-SA"/>
        </w:rPr>
        <w:t>附录2  资格审查条件（业绩最低要求）</w:t>
      </w:r>
      <w:bookmarkEnd w:id="37"/>
      <w:bookmarkEnd w:id="38"/>
      <w:bookmarkEnd w:id="39"/>
    </w:p>
    <w:tbl>
      <w:tblPr>
        <w:tblStyle w:val="11"/>
        <w:tblW w:w="85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5" w:hRule="atLeast"/>
          <w:jc w:val="center"/>
        </w:trPr>
        <w:tc>
          <w:tcPr>
            <w:tcW w:w="8596" w:type="dxa"/>
            <w:noWrap w:val="0"/>
            <w:vAlign w:val="center"/>
          </w:tcPr>
          <w:p>
            <w:pPr>
              <w:widowControl w:val="0"/>
              <w:adjustRightInd w:val="0"/>
              <w:snapToGrid w:val="0"/>
              <w:spacing w:line="400" w:lineRule="atLeast"/>
              <w:jc w:val="center"/>
              <w:rPr>
                <w:rFonts w:ascii="Times New Roman" w:hAnsi="Times New Roman"/>
                <w:color w:val="000000"/>
                <w:kern w:val="2"/>
                <w:sz w:val="21"/>
                <w:szCs w:val="21"/>
                <w:lang w:val="en-US" w:eastAsia="zh-CN" w:bidi="ar-SA"/>
              </w:rPr>
            </w:pPr>
            <w:r>
              <w:rPr>
                <w:rFonts w:ascii="Times New Roman" w:hAnsi="Times New Roman"/>
                <w:color w:val="000000"/>
                <w:kern w:val="2"/>
                <w:sz w:val="21"/>
                <w:szCs w:val="21"/>
                <w:highlight w:val="white"/>
                <w:lang w:val="en-US" w:eastAsia="zh-CN" w:bidi="ar-SA"/>
              </w:rPr>
              <w:t>业 绩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3" w:hRule="atLeast"/>
          <w:jc w:val="center"/>
        </w:trPr>
        <w:tc>
          <w:tcPr>
            <w:tcW w:w="8596" w:type="dxa"/>
            <w:noWrap w:val="0"/>
            <w:vAlign w:val="center"/>
          </w:tcPr>
          <w:p>
            <w:pPr>
              <w:widowControl w:val="0"/>
              <w:adjustRightInd w:val="0"/>
              <w:snapToGrid w:val="0"/>
              <w:spacing w:line="400" w:lineRule="atLeast"/>
              <w:jc w:val="both"/>
              <w:rPr>
                <w:rFonts w:ascii="Times New Roman" w:hAnsi="Times New Roman"/>
                <w:color w:val="000000"/>
                <w:kern w:val="2"/>
                <w:sz w:val="21"/>
                <w:szCs w:val="21"/>
                <w:highlight w:val="green"/>
                <w:lang w:val="en-US" w:eastAsia="zh-CN" w:bidi="ar-SA"/>
              </w:rPr>
            </w:pPr>
            <w:bookmarkStart w:id="40" w:name="EB96f005d44f764efe80502eb8c69e63d6"/>
            <w:r>
              <w:rPr>
                <w:rFonts w:hint="eastAsia" w:ascii="Times New Roman" w:hAnsi="Times New Roman"/>
                <w:color w:val="0000FF"/>
                <w:kern w:val="2"/>
                <w:sz w:val="21"/>
                <w:szCs w:val="21"/>
                <w:highlight w:val="white"/>
                <w:lang w:val="en-US" w:eastAsia="zh-CN" w:bidi="ar-SA"/>
              </w:rPr>
              <w:t xml:space="preserve">最近5年（递交投标文件截止之日前一日回溯 5 年）：完成过1个总建筑面积不少于16000平方米的房建工程施工图设计项目。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注： 1. 投标人应根据招标文件第二章“投标人须知”第3.5.2 项的要求在“近年完成的类似项目情况表”后附相关证明材料。若以上均无法查询，则应附有效证明文件，包括但不限于：①与项目发包人签订的合同协议书；②项目发包人出具的证明材料或验收文件等。若投标人提供国外业绩，则必须提供中华人民共和国商务部或所属省级商务厅（局）颁发的《对外承包工程项目投（议）标许可证》、中华人民共和国商务部或中国驻项目所在国大使馆具有相应职责的部门报备登记的有关业绩证明材料。</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2. 如近年来，投标人法人机构发生合法变更或重组或法人名称变更时，应提供相关部门的合法批件或其他相关证明材料来证明其所附业绩的继承性。</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3. 设计业绩计算以设计批复日期为准。</w:t>
            </w:r>
            <w:bookmarkEnd w:id="40"/>
          </w:p>
        </w:tc>
      </w:tr>
    </w:tbl>
    <w:p>
      <w:pPr>
        <w:rPr>
          <w:rFonts w:hint="eastAsia"/>
          <w:b/>
          <w:sz w:val="16"/>
        </w:rPr>
      </w:pPr>
      <w:bookmarkStart w:id="41" w:name="EB958572b5cf47428ea3bcd223c4a221ec"/>
      <w:r>
        <w:rPr>
          <w:rFonts w:hint="eastAsia"/>
          <w:b/>
          <w:sz w:val="16"/>
          <w:highlight w:val="white"/>
        </w:rPr>
        <w:t xml:space="preserve"> </w:t>
      </w:r>
      <w:bookmarkEnd w:id="41"/>
    </w:p>
    <w:p>
      <w:pPr>
        <w:rPr>
          <w:highlight w:val="yellow"/>
        </w:rPr>
      </w:pPr>
      <w:r>
        <w:rPr>
          <w:color w:val="000080"/>
          <w:sz w:val="20"/>
          <w:highlight w:val="white"/>
        </w:rPr>
        <w:br w:type="page"/>
      </w:r>
      <w:bookmarkStart w:id="42" w:name="EB298f6f86c6484ab5a45d5d277657fbd4"/>
      <w:r>
        <w:rPr>
          <w:rFonts w:hint="eastAsia"/>
          <w:color w:val="000080"/>
          <w:sz w:val="20"/>
          <w:highlight w:val="white"/>
        </w:rPr>
        <w:t xml:space="preserve"> </w:t>
      </w:r>
      <w:bookmarkEnd w:id="42"/>
      <w:bookmarkStart w:id="43" w:name="EBd190dd0747aa4aa1928c3e241ed904b5"/>
      <w:r>
        <w:rPr>
          <w:rFonts w:hint="eastAsia"/>
          <w:color w:val="000080"/>
          <w:sz w:val="20"/>
          <w:highlight w:val="white"/>
        </w:rPr>
        <w:t xml:space="preserve"> </w:t>
      </w:r>
      <w:bookmarkEnd w:id="43"/>
    </w:p>
    <w:p>
      <w:pPr>
        <w:widowControl w:val="0"/>
        <w:spacing w:before="260" w:after="260"/>
        <w:jc w:val="both"/>
        <w:outlineLvl w:val="1"/>
        <w:rPr>
          <w:rFonts w:ascii="宋体" w:hAnsi="宋体" w:eastAsia="黑体" w:cs="Times New Roman"/>
          <w:bCs/>
          <w:iCs/>
          <w:kern w:val="2"/>
          <w:sz w:val="28"/>
          <w:szCs w:val="20"/>
          <w:lang w:val="en-US" w:eastAsia="zh-CN" w:bidi="ar-SA"/>
        </w:rPr>
      </w:pPr>
      <w:bookmarkStart w:id="44" w:name="_Toc17549170"/>
      <w:bookmarkStart w:id="45" w:name="_Toc509993814"/>
      <w:bookmarkStart w:id="46" w:name="_Toc234832866"/>
      <w:r>
        <w:rPr>
          <w:rFonts w:ascii="宋体" w:hAnsi="宋体" w:eastAsia="黑体" w:cs="Times New Roman"/>
          <w:bCs/>
          <w:iCs/>
          <w:kern w:val="2"/>
          <w:sz w:val="28"/>
          <w:szCs w:val="20"/>
          <w:highlight w:val="white"/>
          <w:lang w:val="en-US" w:eastAsia="zh-CN" w:bidi="ar-SA"/>
        </w:rPr>
        <w:t>附录3  资格审查条件（信誉最低要求）</w:t>
      </w:r>
      <w:bookmarkEnd w:id="44"/>
      <w:bookmarkEnd w:id="45"/>
      <w:bookmarkEnd w:id="46"/>
    </w:p>
    <w:tbl>
      <w:tblPr>
        <w:tblStyle w:val="11"/>
        <w:tblW w:w="85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5" w:hRule="atLeast"/>
          <w:jc w:val="center"/>
        </w:trPr>
        <w:tc>
          <w:tcPr>
            <w:tcW w:w="8596" w:type="dxa"/>
            <w:noWrap w:val="0"/>
            <w:vAlign w:val="center"/>
          </w:tcPr>
          <w:p>
            <w:pPr>
              <w:widowControl w:val="0"/>
              <w:adjustRightInd w:val="0"/>
              <w:snapToGrid w:val="0"/>
              <w:spacing w:line="400" w:lineRule="atLeast"/>
              <w:jc w:val="center"/>
              <w:rPr>
                <w:rFonts w:ascii="Times New Roman" w:hAnsi="Times New Roman"/>
                <w:color w:val="000000"/>
                <w:kern w:val="2"/>
                <w:sz w:val="21"/>
                <w:szCs w:val="21"/>
                <w:lang w:val="en-US" w:eastAsia="zh-CN" w:bidi="ar-SA"/>
              </w:rPr>
            </w:pPr>
            <w:r>
              <w:rPr>
                <w:rFonts w:ascii="Times New Roman" w:hAnsi="Times New Roman"/>
                <w:color w:val="000000"/>
                <w:kern w:val="2"/>
                <w:sz w:val="21"/>
                <w:szCs w:val="21"/>
                <w:highlight w:val="white"/>
                <w:lang w:val="en-US" w:eastAsia="zh-CN" w:bidi="ar-SA"/>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3" w:hRule="atLeast"/>
          <w:jc w:val="center"/>
        </w:trPr>
        <w:tc>
          <w:tcPr>
            <w:tcW w:w="8596" w:type="dxa"/>
            <w:noWrap w:val="0"/>
            <w:vAlign w:val="center"/>
          </w:tcPr>
          <w:p>
            <w:pPr>
              <w:widowControl w:val="0"/>
              <w:adjustRightInd w:val="0"/>
              <w:snapToGrid w:val="0"/>
              <w:spacing w:line="400" w:lineRule="atLeast"/>
              <w:jc w:val="both"/>
              <w:rPr>
                <w:rFonts w:ascii="Times New Roman" w:hAnsi="Times New Roman"/>
                <w:color w:val="000000"/>
                <w:kern w:val="2"/>
                <w:sz w:val="21"/>
                <w:szCs w:val="21"/>
                <w:highlight w:val="green"/>
                <w:lang w:val="en-US" w:eastAsia="zh-CN" w:bidi="ar-SA"/>
              </w:rPr>
            </w:pPr>
            <w:bookmarkStart w:id="47" w:name="EB4f3cea4aa8db4945b454e65f8beeba4c"/>
            <w:r>
              <w:rPr>
                <w:rFonts w:hint="eastAsia" w:ascii="Times New Roman" w:hAnsi="Times New Roman"/>
                <w:color w:val="0000FF"/>
                <w:kern w:val="2"/>
                <w:sz w:val="21"/>
                <w:szCs w:val="21"/>
                <w:highlight w:val="white"/>
                <w:lang w:val="en-US" w:eastAsia="zh-CN" w:bidi="ar-SA"/>
              </w:rPr>
              <w:t>投标人不得存在投标人须知1.4.3款和1.4.4款的情形且不得存在以下情形之一：</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被湖南省交通运输厅评为最近第一年度D级、连续两年（最近第二年和最近第一年）评为C级及以下信用等级的投标人。</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注：</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1. 投标人应根据招标文件第二章“投标人须知”正文第 1.4.4 项规定，逐条说明其信誉情况；</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2. 投标人应根据招标文件第二章“投标人须知”第 3.5.3 项的要求在“投标人信誉情况表”后附相关证明材料。</w:t>
            </w:r>
            <w:bookmarkEnd w:id="47"/>
          </w:p>
        </w:tc>
      </w:tr>
    </w:tbl>
    <w:p>
      <w:pPr>
        <w:rPr>
          <w:rFonts w:hint="eastAsia"/>
          <w:b/>
          <w:sz w:val="16"/>
        </w:rPr>
      </w:pPr>
      <w:bookmarkStart w:id="48" w:name="EBc4b9372d4b0d43f58ca74e78bf1e3cc9"/>
      <w:r>
        <w:rPr>
          <w:rFonts w:hint="eastAsia"/>
          <w:b/>
          <w:sz w:val="16"/>
          <w:highlight w:val="white"/>
        </w:rPr>
        <w:t xml:space="preserve"> </w:t>
      </w:r>
      <w:bookmarkEnd w:id="48"/>
    </w:p>
    <w:p>
      <w:pPr>
        <w:rPr>
          <w:highlight w:val="yellow"/>
        </w:rPr>
      </w:pPr>
      <w:r>
        <w:rPr>
          <w:color w:val="000080"/>
          <w:sz w:val="20"/>
          <w:highlight w:val="white"/>
        </w:rPr>
        <w:br w:type="page"/>
      </w:r>
      <w:bookmarkStart w:id="49" w:name="EBa874888f6cb74454b485394253745cfb"/>
      <w:r>
        <w:rPr>
          <w:rFonts w:hint="eastAsia"/>
          <w:color w:val="000080"/>
          <w:sz w:val="20"/>
          <w:highlight w:val="white"/>
        </w:rPr>
        <w:t xml:space="preserve"> </w:t>
      </w:r>
      <w:bookmarkEnd w:id="49"/>
      <w:bookmarkStart w:id="50" w:name="EB4416174e740b406db504afb1775f509d"/>
      <w:r>
        <w:rPr>
          <w:rFonts w:hint="eastAsia"/>
          <w:color w:val="000080"/>
          <w:sz w:val="20"/>
          <w:highlight w:val="white"/>
        </w:rPr>
        <w:t xml:space="preserve"> </w:t>
      </w:r>
      <w:bookmarkEnd w:id="50"/>
    </w:p>
    <w:p>
      <w:pPr>
        <w:widowControl w:val="0"/>
        <w:spacing w:before="260" w:after="260"/>
        <w:jc w:val="both"/>
        <w:outlineLvl w:val="1"/>
        <w:rPr>
          <w:rFonts w:ascii="宋体" w:hAnsi="宋体" w:eastAsia="黑体" w:cs="Times New Roman"/>
          <w:bCs/>
          <w:iCs/>
          <w:kern w:val="2"/>
          <w:sz w:val="28"/>
          <w:szCs w:val="20"/>
          <w:lang w:val="en-US" w:eastAsia="zh-CN" w:bidi="ar-SA"/>
        </w:rPr>
      </w:pPr>
      <w:bookmarkStart w:id="51" w:name="_Toc17549171"/>
      <w:bookmarkStart w:id="52" w:name="_Toc234832867"/>
      <w:bookmarkStart w:id="53" w:name="_Toc509993815"/>
      <w:r>
        <w:rPr>
          <w:rFonts w:ascii="宋体" w:hAnsi="宋体" w:eastAsia="黑体" w:cs="Times New Roman"/>
          <w:bCs/>
          <w:iCs/>
          <w:kern w:val="2"/>
          <w:sz w:val="28"/>
          <w:szCs w:val="20"/>
          <w:highlight w:val="white"/>
          <w:lang w:val="en-US" w:eastAsia="zh-CN" w:bidi="ar-SA"/>
        </w:rPr>
        <w:t>附录4  资格审查条件（项目负责人最低要求）</w:t>
      </w:r>
      <w:bookmarkEnd w:id="51"/>
      <w:bookmarkEnd w:id="52"/>
      <w:bookmarkEnd w:id="53"/>
    </w:p>
    <w:tbl>
      <w:tblPr>
        <w:tblStyle w:val="11"/>
        <w:tblW w:w="87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1748"/>
        <w:gridCol w:w="4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2140" w:type="dxa"/>
            <w:noWrap w:val="0"/>
            <w:vAlign w:val="center"/>
          </w:tcPr>
          <w:p>
            <w:pPr>
              <w:widowControl w:val="0"/>
              <w:adjustRightInd w:val="0"/>
              <w:snapToGrid w:val="0"/>
              <w:spacing w:line="300" w:lineRule="auto"/>
              <w:jc w:val="center"/>
              <w:rPr>
                <w:rFonts w:ascii="Times New Roman" w:hAnsi="Times New Roman"/>
                <w:color w:val="000000"/>
                <w:kern w:val="2"/>
                <w:sz w:val="21"/>
                <w:szCs w:val="21"/>
                <w:lang w:val="en-US" w:eastAsia="zh-CN" w:bidi="ar-SA"/>
              </w:rPr>
            </w:pPr>
            <w:bookmarkStart w:id="54" w:name="_Hlk12835511"/>
            <w:r>
              <w:rPr>
                <w:rFonts w:ascii="Times New Roman" w:hAnsi="Times New Roman"/>
                <w:color w:val="000000"/>
                <w:kern w:val="2"/>
                <w:sz w:val="21"/>
                <w:szCs w:val="21"/>
                <w:highlight w:val="white"/>
                <w:lang w:val="en-US" w:eastAsia="zh-CN" w:bidi="ar-SA"/>
              </w:rPr>
              <w:t>人  员</w:t>
            </w:r>
          </w:p>
        </w:tc>
        <w:tc>
          <w:tcPr>
            <w:tcW w:w="1748" w:type="dxa"/>
            <w:noWrap w:val="0"/>
            <w:vAlign w:val="center"/>
          </w:tcPr>
          <w:p>
            <w:pPr>
              <w:widowControl w:val="0"/>
              <w:adjustRightInd w:val="0"/>
              <w:snapToGrid w:val="0"/>
              <w:spacing w:line="300" w:lineRule="auto"/>
              <w:jc w:val="center"/>
              <w:rPr>
                <w:rFonts w:ascii="Times New Roman" w:hAnsi="Times New Roman"/>
                <w:color w:val="000000"/>
                <w:kern w:val="2"/>
                <w:sz w:val="21"/>
                <w:szCs w:val="21"/>
                <w:lang w:val="en-US" w:eastAsia="zh-CN" w:bidi="ar-SA"/>
              </w:rPr>
            </w:pPr>
            <w:r>
              <w:rPr>
                <w:rFonts w:ascii="Times New Roman" w:hAnsi="Times New Roman"/>
                <w:color w:val="000000"/>
                <w:kern w:val="2"/>
                <w:sz w:val="21"/>
                <w:szCs w:val="21"/>
                <w:highlight w:val="white"/>
                <w:lang w:val="en-US" w:eastAsia="zh-CN" w:bidi="ar-SA"/>
              </w:rPr>
              <w:t>数  量</w:t>
            </w:r>
          </w:p>
        </w:tc>
        <w:tc>
          <w:tcPr>
            <w:tcW w:w="4889" w:type="dxa"/>
            <w:noWrap w:val="0"/>
            <w:vAlign w:val="center"/>
          </w:tcPr>
          <w:p>
            <w:pPr>
              <w:widowControl w:val="0"/>
              <w:adjustRightInd w:val="0"/>
              <w:snapToGrid w:val="0"/>
              <w:spacing w:line="300" w:lineRule="auto"/>
              <w:jc w:val="center"/>
              <w:rPr>
                <w:rFonts w:ascii="Times New Roman" w:hAnsi="Times New Roman"/>
                <w:color w:val="000000"/>
                <w:kern w:val="2"/>
                <w:sz w:val="21"/>
                <w:szCs w:val="21"/>
                <w:lang w:val="en-US" w:eastAsia="zh-CN" w:bidi="ar-SA"/>
              </w:rPr>
            </w:pPr>
            <w:r>
              <w:rPr>
                <w:rFonts w:ascii="Times New Roman" w:hAnsi="Times New Roman"/>
                <w:color w:val="000000"/>
                <w:kern w:val="2"/>
                <w:sz w:val="21"/>
                <w:szCs w:val="21"/>
                <w:highlight w:val="white"/>
                <w:lang w:val="en-US" w:eastAsia="zh-CN" w:bidi="ar-SA"/>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0" w:hRule="atLeast"/>
          <w:jc w:val="center"/>
        </w:trPr>
        <w:tc>
          <w:tcPr>
            <w:tcW w:w="2140" w:type="dxa"/>
            <w:noWrap w:val="0"/>
            <w:vAlign w:val="center"/>
          </w:tcPr>
          <w:p>
            <w:pPr>
              <w:widowControl w:val="0"/>
              <w:spacing w:line="300" w:lineRule="auto"/>
              <w:jc w:val="center"/>
              <w:rPr>
                <w:rFonts w:ascii="Times New Roman" w:hAnsi="Times New Roman"/>
                <w:color w:val="000000"/>
                <w:kern w:val="2"/>
                <w:sz w:val="21"/>
                <w:szCs w:val="21"/>
                <w:highlight w:val="green"/>
                <w:lang w:val="en-US" w:eastAsia="zh-CN" w:bidi="ar-SA"/>
              </w:rPr>
            </w:pPr>
            <w:bookmarkStart w:id="55" w:name="EB47279cc22312400bb11ad98b7d3c7691"/>
            <w:r>
              <w:rPr>
                <w:rFonts w:hint="eastAsia" w:ascii="Times New Roman" w:hAnsi="Times New Roman"/>
                <w:color w:val="0000FF"/>
                <w:kern w:val="2"/>
                <w:sz w:val="21"/>
                <w:szCs w:val="21"/>
                <w:highlight w:val="white"/>
                <w:lang w:val="en-US" w:eastAsia="zh-CN" w:bidi="ar-SA"/>
              </w:rPr>
              <w:t>项目负责人</w:t>
            </w:r>
            <w:bookmarkEnd w:id="55"/>
          </w:p>
        </w:tc>
        <w:tc>
          <w:tcPr>
            <w:tcW w:w="1748" w:type="dxa"/>
            <w:noWrap w:val="0"/>
            <w:vAlign w:val="center"/>
          </w:tcPr>
          <w:p>
            <w:pPr>
              <w:widowControl w:val="0"/>
              <w:adjustRightInd w:val="0"/>
              <w:snapToGrid w:val="0"/>
              <w:spacing w:line="300" w:lineRule="auto"/>
              <w:jc w:val="center"/>
              <w:rPr>
                <w:rFonts w:ascii="Times New Roman" w:hAnsi="Times New Roman"/>
                <w:color w:val="000000"/>
                <w:kern w:val="2"/>
                <w:sz w:val="21"/>
                <w:szCs w:val="21"/>
                <w:highlight w:val="green"/>
                <w:lang w:val="en-US" w:eastAsia="zh-CN" w:bidi="ar-SA"/>
              </w:rPr>
            </w:pPr>
            <w:bookmarkStart w:id="56" w:name="EBb03f8ddf2eca43688c0e3282993ae0a3"/>
            <w:r>
              <w:rPr>
                <w:rFonts w:hint="eastAsia" w:ascii="Times New Roman" w:hAnsi="Times New Roman"/>
                <w:color w:val="0000FF"/>
                <w:kern w:val="2"/>
                <w:sz w:val="21"/>
                <w:szCs w:val="21"/>
                <w:highlight w:val="white"/>
                <w:lang w:val="en-US" w:eastAsia="zh-CN" w:bidi="ar-SA"/>
              </w:rPr>
              <w:t>1</w:t>
            </w:r>
            <w:bookmarkEnd w:id="56"/>
          </w:p>
        </w:tc>
        <w:tc>
          <w:tcPr>
            <w:tcW w:w="4889" w:type="dxa"/>
            <w:noWrap w:val="0"/>
            <w:vAlign w:val="center"/>
          </w:tcPr>
          <w:p>
            <w:pPr>
              <w:widowControl w:val="0"/>
              <w:adjustRightInd w:val="0"/>
              <w:snapToGrid w:val="0"/>
              <w:spacing w:line="300" w:lineRule="auto"/>
              <w:jc w:val="both"/>
              <w:rPr>
                <w:rFonts w:ascii="Times New Roman" w:hAnsi="Times New Roman"/>
                <w:color w:val="000000"/>
                <w:kern w:val="2"/>
                <w:sz w:val="21"/>
                <w:szCs w:val="21"/>
                <w:highlight w:val="green"/>
                <w:lang w:val="en-US" w:eastAsia="zh-CN" w:bidi="ar-SA"/>
              </w:rPr>
            </w:pPr>
            <w:bookmarkStart w:id="57" w:name="EB33dc4bf9265847ec93d89d2a77fc3283"/>
            <w:r>
              <w:rPr>
                <w:rFonts w:hint="eastAsia" w:ascii="Times New Roman" w:hAnsi="Times New Roman"/>
                <w:color w:val="0000FF"/>
                <w:kern w:val="2"/>
                <w:sz w:val="21"/>
                <w:szCs w:val="21"/>
                <w:highlight w:val="white"/>
                <w:lang w:val="en-US" w:eastAsia="zh-CN" w:bidi="ar-SA"/>
              </w:rPr>
              <w:t xml:space="preserve">1、建筑工程相关专业高级及以上职称； </w:t>
            </w:r>
          </w:p>
          <w:p>
            <w:pPr>
              <w:widowControl w:val="0"/>
              <w:adjustRightInd w:val="0"/>
              <w:snapToGrid w:val="0"/>
              <w:spacing w:line="300" w:lineRule="auto"/>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2、取得一级注册建筑师执业资格，且须注册在投标人处； </w:t>
            </w:r>
          </w:p>
          <w:p>
            <w:pPr>
              <w:widowControl w:val="0"/>
              <w:adjustRightInd w:val="0"/>
              <w:snapToGrid w:val="0"/>
              <w:spacing w:line="300" w:lineRule="auto"/>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3、具有 10 年及以上房屋建筑工程设计工作经验（指递交投标文件截止之日前一日回溯 10 年），最近 5 年内（指递交投标文件截止之日前一日回溯 5 年）作为项目负责人（或房建分项设计负责人）完成过1个总建筑面积不少于 16000平方米的房建工程施工图设计项目。</w:t>
            </w:r>
          </w:p>
          <w:p>
            <w:pPr>
              <w:widowControl w:val="0"/>
              <w:adjustRightInd w:val="0"/>
              <w:snapToGrid w:val="0"/>
              <w:spacing w:line="300" w:lineRule="auto"/>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注：1、建筑工程相关专业包括：土木工程、工民建、结构、建筑施工、建筑工程等专业（本招标文件中所列“建筑工程相关专业”均作本条所释）。 </w:t>
            </w:r>
          </w:p>
          <w:p>
            <w:pPr>
              <w:widowControl w:val="0"/>
              <w:adjustRightInd w:val="0"/>
              <w:snapToGrid w:val="0"/>
              <w:spacing w:line="300" w:lineRule="auto"/>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2、投标人应根据招标文件第二章“投标人须知”第 3.5.4 项的要求在“拟委任的项目负责人资历表”后附相关证明材料。若以上均无法查询，则应附有效证明文件，包括但不限于：①与项目发包人签订的合同协议书；②项目发包人出具的证明材料或验收文件等。若投标人提供国外业绩，则必须提供中华人民共和国商务部或所属省级商务厅（局）颁发的《对外承包工程项目投（议）标许可证》、中华人民共和国商务部或中国驻项目所在国大使馆具有相应职责的部门报备登记的有关业绩证明材料。</w:t>
            </w:r>
          </w:p>
          <w:p>
            <w:pPr>
              <w:widowControl w:val="0"/>
              <w:adjustRightInd w:val="0"/>
              <w:snapToGrid w:val="0"/>
              <w:spacing w:line="300" w:lineRule="auto"/>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3、拟委任的项目负责人不得处于暂停执业处罚期内，且未被取消资格。 </w:t>
            </w:r>
          </w:p>
          <w:p>
            <w:pPr>
              <w:widowControl w:val="0"/>
              <w:adjustRightInd w:val="0"/>
              <w:snapToGrid w:val="0"/>
              <w:spacing w:line="300" w:lineRule="auto"/>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4、未在投标文件中填报的人员不作为评审依据。 </w:t>
            </w:r>
          </w:p>
          <w:p>
            <w:pPr>
              <w:widowControl w:val="0"/>
              <w:adjustRightInd w:val="0"/>
              <w:snapToGrid w:val="0"/>
              <w:spacing w:line="300" w:lineRule="auto"/>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5、投标人必须按投标文件中填报的项目负责人进场，否则招标人将取消投标人的中标资格。 </w:t>
            </w:r>
          </w:p>
          <w:p>
            <w:pPr>
              <w:widowControl w:val="0"/>
              <w:adjustRightInd w:val="0"/>
              <w:snapToGrid w:val="0"/>
              <w:spacing w:line="300" w:lineRule="auto"/>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6、设计业绩计算以设计批复日期为准。</w:t>
            </w:r>
            <w:bookmarkEnd w:id="57"/>
          </w:p>
        </w:tc>
      </w:tr>
      <w:bookmarkEnd w:id="54"/>
    </w:tbl>
    <w:p>
      <w:pPr>
        <w:rPr>
          <w:rFonts w:hint="eastAsia"/>
          <w:b/>
          <w:sz w:val="16"/>
        </w:rPr>
      </w:pPr>
      <w:bookmarkStart w:id="58" w:name="EB33a6b43eecfc4d2796791a6cd2b8dce3"/>
      <w:r>
        <w:rPr>
          <w:rFonts w:hint="eastAsia"/>
          <w:b/>
          <w:sz w:val="16"/>
          <w:highlight w:val="white"/>
        </w:rPr>
        <w:t xml:space="preserve"> </w:t>
      </w:r>
      <w:bookmarkEnd w:id="58"/>
    </w:p>
    <w:p>
      <w:pPr>
        <w:rPr>
          <w:highlight w:val="yellow"/>
        </w:rPr>
      </w:pPr>
      <w:r>
        <w:rPr>
          <w:color w:val="000080"/>
          <w:sz w:val="20"/>
          <w:highlight w:val="white"/>
        </w:rPr>
        <w:br w:type="page"/>
      </w:r>
      <w:bookmarkStart w:id="59" w:name="EB34c261f151bd41aaa7cb2f001771354d"/>
      <w:r>
        <w:rPr>
          <w:rFonts w:hint="eastAsia"/>
          <w:color w:val="000080"/>
          <w:sz w:val="20"/>
          <w:highlight w:val="white"/>
        </w:rPr>
        <w:t xml:space="preserve"> </w:t>
      </w:r>
      <w:bookmarkEnd w:id="59"/>
      <w:bookmarkStart w:id="60" w:name="EB4370aa64128543329a87af91f3ce983b"/>
      <w:r>
        <w:rPr>
          <w:rFonts w:hint="eastAsia"/>
          <w:color w:val="000080"/>
          <w:sz w:val="20"/>
          <w:highlight w:val="white"/>
        </w:rPr>
        <w:t xml:space="preserve"> </w:t>
      </w:r>
      <w:bookmarkEnd w:id="60"/>
    </w:p>
    <w:p>
      <w:pPr>
        <w:widowControl w:val="0"/>
        <w:spacing w:before="260" w:after="260"/>
        <w:jc w:val="both"/>
        <w:outlineLvl w:val="1"/>
        <w:rPr>
          <w:rFonts w:ascii="宋体" w:hAnsi="宋体" w:eastAsia="黑体" w:cs="Times New Roman"/>
          <w:bCs/>
          <w:iCs/>
          <w:kern w:val="2"/>
          <w:sz w:val="28"/>
          <w:szCs w:val="20"/>
          <w:lang w:val="en-US" w:eastAsia="zh-CN" w:bidi="ar-SA"/>
        </w:rPr>
      </w:pPr>
      <w:bookmarkStart w:id="61" w:name="_Toc509993816"/>
      <w:bookmarkStart w:id="62" w:name="_Toc234832868"/>
      <w:bookmarkStart w:id="63" w:name="_Toc17549172"/>
      <w:r>
        <w:rPr>
          <w:rFonts w:ascii="宋体" w:hAnsi="宋体" w:eastAsia="黑体" w:cs="Times New Roman"/>
          <w:bCs/>
          <w:iCs/>
          <w:kern w:val="2"/>
          <w:sz w:val="28"/>
          <w:szCs w:val="20"/>
          <w:highlight w:val="white"/>
          <w:lang w:val="en-US" w:eastAsia="zh-CN" w:bidi="ar-SA"/>
        </w:rPr>
        <w:t>附录5  资格审查条件（分项负责人最低要求）</w:t>
      </w:r>
      <w:bookmarkEnd w:id="61"/>
      <w:bookmarkEnd w:id="62"/>
      <w:bookmarkEnd w:id="63"/>
    </w:p>
    <w:tbl>
      <w:tblPr>
        <w:tblStyle w:val="11"/>
        <w:tblW w:w="87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1297"/>
        <w:gridCol w:w="5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jc w:val="center"/>
        </w:trPr>
        <w:tc>
          <w:tcPr>
            <w:tcW w:w="1780" w:type="dxa"/>
            <w:noWrap w:val="0"/>
            <w:vAlign w:val="center"/>
          </w:tcPr>
          <w:p>
            <w:pPr>
              <w:widowControl w:val="0"/>
              <w:adjustRightInd w:val="0"/>
              <w:snapToGrid w:val="0"/>
              <w:spacing w:line="400" w:lineRule="atLeast"/>
              <w:jc w:val="center"/>
              <w:rPr>
                <w:rFonts w:ascii="Times New Roman" w:hAnsi="Times New Roman"/>
                <w:color w:val="000000"/>
                <w:kern w:val="2"/>
                <w:sz w:val="21"/>
                <w:szCs w:val="21"/>
                <w:lang w:val="en-US" w:eastAsia="zh-CN" w:bidi="ar-SA"/>
              </w:rPr>
            </w:pPr>
            <w:r>
              <w:rPr>
                <w:rFonts w:ascii="Times New Roman" w:hAnsi="Times New Roman"/>
                <w:color w:val="000000"/>
                <w:kern w:val="2"/>
                <w:sz w:val="21"/>
                <w:szCs w:val="21"/>
                <w:highlight w:val="white"/>
                <w:lang w:val="en-US" w:eastAsia="zh-CN" w:bidi="ar-SA"/>
              </w:rPr>
              <w:t>人  员</w:t>
            </w:r>
          </w:p>
        </w:tc>
        <w:tc>
          <w:tcPr>
            <w:tcW w:w="1297" w:type="dxa"/>
            <w:noWrap w:val="0"/>
            <w:vAlign w:val="center"/>
          </w:tcPr>
          <w:p>
            <w:pPr>
              <w:widowControl w:val="0"/>
              <w:adjustRightInd w:val="0"/>
              <w:snapToGrid w:val="0"/>
              <w:spacing w:line="400" w:lineRule="atLeast"/>
              <w:jc w:val="center"/>
              <w:rPr>
                <w:rFonts w:ascii="Times New Roman" w:hAnsi="Times New Roman"/>
                <w:color w:val="000000"/>
                <w:kern w:val="2"/>
                <w:sz w:val="21"/>
                <w:szCs w:val="21"/>
                <w:lang w:val="en-US" w:eastAsia="zh-CN" w:bidi="ar-SA"/>
              </w:rPr>
            </w:pPr>
            <w:r>
              <w:rPr>
                <w:rFonts w:ascii="Times New Roman" w:hAnsi="Times New Roman"/>
                <w:color w:val="000000"/>
                <w:kern w:val="2"/>
                <w:sz w:val="21"/>
                <w:szCs w:val="21"/>
                <w:highlight w:val="white"/>
                <w:lang w:val="en-US" w:eastAsia="zh-CN" w:bidi="ar-SA"/>
              </w:rPr>
              <w:t>数  量</w:t>
            </w:r>
          </w:p>
        </w:tc>
        <w:tc>
          <w:tcPr>
            <w:tcW w:w="5700" w:type="dxa"/>
            <w:noWrap w:val="0"/>
            <w:vAlign w:val="center"/>
          </w:tcPr>
          <w:p>
            <w:pPr>
              <w:widowControl w:val="0"/>
              <w:adjustRightInd w:val="0"/>
              <w:snapToGrid w:val="0"/>
              <w:spacing w:line="400" w:lineRule="atLeast"/>
              <w:jc w:val="center"/>
              <w:rPr>
                <w:rFonts w:ascii="Times New Roman" w:hAnsi="Times New Roman"/>
                <w:color w:val="000000"/>
                <w:kern w:val="2"/>
                <w:sz w:val="21"/>
                <w:szCs w:val="21"/>
                <w:lang w:val="en-US" w:eastAsia="zh-CN" w:bidi="ar-SA"/>
              </w:rPr>
            </w:pPr>
            <w:r>
              <w:rPr>
                <w:rFonts w:ascii="Times New Roman" w:hAnsi="Times New Roman"/>
                <w:color w:val="000000"/>
                <w:kern w:val="2"/>
                <w:sz w:val="21"/>
                <w:szCs w:val="21"/>
                <w:highlight w:val="white"/>
                <w:lang w:val="en-US" w:eastAsia="zh-CN" w:bidi="ar-SA"/>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78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center"/>
              <w:rPr>
                <w:rFonts w:ascii="Times New Roman" w:hAnsi="Times New Roman"/>
                <w:color w:val="000000"/>
                <w:kern w:val="2"/>
                <w:sz w:val="24"/>
                <w:szCs w:val="24"/>
                <w:highlight w:val="green"/>
                <w:lang w:val="en-US" w:eastAsia="zh-CN" w:bidi="ar-SA"/>
              </w:rPr>
            </w:pPr>
            <w:bookmarkStart w:id="64" w:name="EB0eae43347c5e484d92af4d5cd1f05ea7"/>
            <w:r>
              <w:rPr>
                <w:rFonts w:hint="eastAsia" w:ascii="Times New Roman" w:hAnsi="Times New Roman"/>
                <w:color w:val="0000FF"/>
                <w:kern w:val="2"/>
                <w:sz w:val="24"/>
                <w:szCs w:val="24"/>
                <w:highlight w:val="white"/>
                <w:lang w:val="en-US" w:eastAsia="zh-CN" w:bidi="ar-SA"/>
              </w:rPr>
              <w:t>工程地质勘察分项负责人</w:t>
            </w:r>
            <w:bookmarkEnd w:id="64"/>
          </w:p>
        </w:tc>
        <w:tc>
          <w:tcPr>
            <w:tcW w:w="129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center"/>
              <w:rPr>
                <w:rFonts w:ascii="Times New Roman" w:hAnsi="Times New Roman"/>
                <w:color w:val="000000"/>
                <w:kern w:val="2"/>
                <w:sz w:val="24"/>
                <w:szCs w:val="24"/>
                <w:highlight w:val="green"/>
                <w:lang w:val="en-US" w:eastAsia="zh-CN" w:bidi="ar-SA"/>
              </w:rPr>
            </w:pPr>
            <w:bookmarkStart w:id="65" w:name="EBbb976783f45542489cf178d19700c709"/>
            <w:bookmarkEnd w:id="65"/>
          </w:p>
        </w:tc>
        <w:tc>
          <w:tcPr>
            <w:tcW w:w="570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both"/>
              <w:rPr>
                <w:rFonts w:ascii="Times New Roman" w:hAnsi="Times New Roman"/>
                <w:color w:val="000000"/>
                <w:kern w:val="2"/>
                <w:sz w:val="24"/>
                <w:szCs w:val="24"/>
                <w:highlight w:val="green"/>
                <w:lang w:val="en-US" w:eastAsia="zh-CN" w:bidi="ar-SA"/>
              </w:rPr>
            </w:pPr>
            <w:bookmarkStart w:id="66" w:name="EB3ec7eac08cb8446299af19c7da94a96a"/>
            <w:bookmark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78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center"/>
              <w:rPr>
                <w:rFonts w:hint="eastAsia" w:ascii="Times New Roman" w:hAnsi="Times New Roman"/>
                <w:color w:val="0000FF"/>
                <w:kern w:val="2"/>
                <w:sz w:val="24"/>
                <w:szCs w:val="24"/>
                <w:highlight w:val="green"/>
                <w:lang w:val="en-US" w:eastAsia="zh-CN" w:bidi="ar-SA"/>
              </w:rPr>
            </w:pPr>
            <w:bookmarkStart w:id="67" w:name="EB60339cfb32ff4589a99ec052cdae34ea"/>
            <w:r>
              <w:rPr>
                <w:rFonts w:hint="eastAsia" w:ascii="Times New Roman" w:hAnsi="Times New Roman"/>
                <w:color w:val="0000FF"/>
                <w:kern w:val="2"/>
                <w:sz w:val="24"/>
                <w:szCs w:val="24"/>
                <w:highlight w:val="white"/>
                <w:lang w:val="en-US" w:eastAsia="zh-CN" w:bidi="ar-SA"/>
              </w:rPr>
              <w:t>工程造价分项负责人</w:t>
            </w:r>
            <w:bookmarkEnd w:id="67"/>
          </w:p>
        </w:tc>
        <w:tc>
          <w:tcPr>
            <w:tcW w:w="129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center"/>
              <w:rPr>
                <w:rFonts w:hint="eastAsia" w:ascii="Times New Roman" w:hAnsi="Times New Roman"/>
                <w:color w:val="0000FF"/>
                <w:kern w:val="2"/>
                <w:sz w:val="24"/>
                <w:szCs w:val="24"/>
                <w:highlight w:val="green"/>
                <w:lang w:val="en-US" w:eastAsia="zh-CN" w:bidi="ar-SA"/>
              </w:rPr>
            </w:pPr>
            <w:bookmarkStart w:id="68" w:name="EBae1f4acf17fc4c8e9471722ce0ffac68"/>
            <w:bookmarkEnd w:id="68"/>
          </w:p>
        </w:tc>
        <w:tc>
          <w:tcPr>
            <w:tcW w:w="570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both"/>
              <w:rPr>
                <w:rFonts w:hint="eastAsia" w:ascii="Times New Roman" w:hAnsi="Times New Roman"/>
                <w:color w:val="0000FF"/>
                <w:kern w:val="2"/>
                <w:sz w:val="24"/>
                <w:szCs w:val="24"/>
                <w:highlight w:val="green"/>
                <w:lang w:val="en-US" w:eastAsia="zh-CN" w:bidi="ar-SA"/>
              </w:rPr>
            </w:pPr>
            <w:bookmarkStart w:id="69" w:name="EB6565357946f5490e94c978c626154047"/>
            <w:bookmarkEnd w:id="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78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center"/>
              <w:rPr>
                <w:rFonts w:hint="eastAsia" w:ascii="Times New Roman" w:hAnsi="Times New Roman"/>
                <w:color w:val="0000FF"/>
                <w:kern w:val="2"/>
                <w:sz w:val="24"/>
                <w:szCs w:val="24"/>
                <w:highlight w:val="green"/>
                <w:lang w:val="en-US" w:eastAsia="zh-CN" w:bidi="ar-SA"/>
              </w:rPr>
            </w:pPr>
            <w:bookmarkStart w:id="70" w:name="EB40b7fd402a5b4c8689525c99e778193f"/>
            <w:r>
              <w:rPr>
                <w:rFonts w:hint="eastAsia" w:ascii="Times New Roman" w:hAnsi="Times New Roman"/>
                <w:color w:val="0000FF"/>
                <w:kern w:val="2"/>
                <w:sz w:val="24"/>
                <w:szCs w:val="24"/>
                <w:highlight w:val="white"/>
                <w:lang w:val="en-US" w:eastAsia="zh-CN" w:bidi="ar-SA"/>
              </w:rPr>
              <w:t>**专业分项负责人</w:t>
            </w:r>
            <w:bookmarkEnd w:id="70"/>
          </w:p>
        </w:tc>
        <w:tc>
          <w:tcPr>
            <w:tcW w:w="129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center"/>
              <w:rPr>
                <w:rFonts w:hint="eastAsia" w:ascii="Times New Roman" w:hAnsi="Times New Roman"/>
                <w:color w:val="0000FF"/>
                <w:kern w:val="2"/>
                <w:sz w:val="24"/>
                <w:szCs w:val="24"/>
                <w:highlight w:val="green"/>
                <w:lang w:val="en-US" w:eastAsia="zh-CN" w:bidi="ar-SA"/>
              </w:rPr>
            </w:pPr>
            <w:bookmarkStart w:id="71" w:name="EB33036a4cc5674807b6d6d7d1c3f33cda"/>
            <w:bookmarkEnd w:id="71"/>
          </w:p>
        </w:tc>
        <w:tc>
          <w:tcPr>
            <w:tcW w:w="570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both"/>
              <w:rPr>
                <w:rFonts w:hint="eastAsia" w:ascii="Times New Roman" w:hAnsi="Times New Roman"/>
                <w:color w:val="0000FF"/>
                <w:kern w:val="2"/>
                <w:sz w:val="24"/>
                <w:szCs w:val="24"/>
                <w:highlight w:val="green"/>
                <w:lang w:val="en-US" w:eastAsia="zh-CN" w:bidi="ar-SA"/>
              </w:rPr>
            </w:pPr>
            <w:bookmarkStart w:id="72" w:name="EB10b8d7f467c1453c884e7b439ee871fa"/>
            <w:bookmarkEnd w:id="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78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center"/>
              <w:rPr>
                <w:rFonts w:hint="eastAsia" w:ascii="Times New Roman" w:hAnsi="Times New Roman"/>
                <w:color w:val="0000FF"/>
                <w:kern w:val="2"/>
                <w:sz w:val="24"/>
                <w:szCs w:val="24"/>
                <w:highlight w:val="green"/>
                <w:lang w:val="en-US" w:eastAsia="zh-CN" w:bidi="ar-SA"/>
              </w:rPr>
            </w:pPr>
            <w:bookmarkStart w:id="73" w:name="EB97e0c19511eb43049efac799251711c9"/>
            <w:r>
              <w:rPr>
                <w:rFonts w:hint="eastAsia" w:ascii="Times New Roman" w:hAnsi="Times New Roman"/>
                <w:color w:val="0000FF"/>
                <w:kern w:val="2"/>
                <w:sz w:val="24"/>
                <w:szCs w:val="24"/>
                <w:highlight w:val="white"/>
                <w:lang w:val="en-US" w:eastAsia="zh-CN" w:bidi="ar-SA"/>
              </w:rPr>
              <w:t>**专业分项负责人</w:t>
            </w:r>
            <w:bookmarkEnd w:id="73"/>
          </w:p>
        </w:tc>
        <w:tc>
          <w:tcPr>
            <w:tcW w:w="129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center"/>
              <w:rPr>
                <w:rFonts w:hint="eastAsia" w:ascii="Times New Roman" w:hAnsi="Times New Roman"/>
                <w:color w:val="0000FF"/>
                <w:kern w:val="2"/>
                <w:sz w:val="24"/>
                <w:szCs w:val="24"/>
                <w:highlight w:val="green"/>
                <w:lang w:val="en-US" w:eastAsia="zh-CN" w:bidi="ar-SA"/>
              </w:rPr>
            </w:pPr>
            <w:bookmarkStart w:id="74" w:name="EB110f3319b2a24461addf04066205c10c"/>
            <w:bookmarkEnd w:id="74"/>
          </w:p>
        </w:tc>
        <w:tc>
          <w:tcPr>
            <w:tcW w:w="570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both"/>
              <w:rPr>
                <w:rFonts w:hint="eastAsia" w:ascii="Times New Roman" w:hAnsi="Times New Roman"/>
                <w:color w:val="0000FF"/>
                <w:kern w:val="2"/>
                <w:sz w:val="24"/>
                <w:szCs w:val="24"/>
                <w:highlight w:val="green"/>
                <w:lang w:val="en-US" w:eastAsia="zh-CN" w:bidi="ar-SA"/>
              </w:rPr>
            </w:pPr>
            <w:bookmarkStart w:id="75" w:name="EBf8f0d4f6a92d4e9d992b0a7f8468a2a4"/>
            <w:bookmarkEnd w:id="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78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center"/>
              <w:rPr>
                <w:rFonts w:hint="eastAsia" w:ascii="Times New Roman" w:hAnsi="Times New Roman"/>
                <w:color w:val="0000FF"/>
                <w:kern w:val="2"/>
                <w:sz w:val="24"/>
                <w:szCs w:val="24"/>
                <w:highlight w:val="green"/>
                <w:lang w:val="en-US" w:eastAsia="zh-CN" w:bidi="ar-SA"/>
              </w:rPr>
            </w:pPr>
            <w:bookmarkStart w:id="76" w:name="EB1d60f60ff4a64f28a49cd632a9103758"/>
            <w:bookmarkEnd w:id="76"/>
          </w:p>
        </w:tc>
        <w:tc>
          <w:tcPr>
            <w:tcW w:w="129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center"/>
              <w:rPr>
                <w:rFonts w:hint="eastAsia" w:ascii="Times New Roman" w:hAnsi="Times New Roman"/>
                <w:color w:val="0000FF"/>
                <w:kern w:val="2"/>
                <w:sz w:val="24"/>
                <w:szCs w:val="24"/>
                <w:highlight w:val="green"/>
                <w:lang w:val="en-US" w:eastAsia="zh-CN" w:bidi="ar-SA"/>
              </w:rPr>
            </w:pPr>
            <w:bookmarkStart w:id="77" w:name="EB6771398be4f04b6f94b061ecac135e3d"/>
            <w:bookmarkEnd w:id="77"/>
          </w:p>
        </w:tc>
        <w:tc>
          <w:tcPr>
            <w:tcW w:w="570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both"/>
              <w:rPr>
                <w:rFonts w:hint="eastAsia" w:ascii="Times New Roman" w:hAnsi="Times New Roman"/>
                <w:color w:val="0000FF"/>
                <w:kern w:val="2"/>
                <w:sz w:val="24"/>
                <w:szCs w:val="24"/>
                <w:highlight w:val="green"/>
                <w:lang w:val="en-US" w:eastAsia="zh-CN" w:bidi="ar-SA"/>
              </w:rPr>
            </w:pPr>
            <w:bookmarkStart w:id="78" w:name="EBed09592567d34cf6b720675d36427a62"/>
            <w:bookmarkEnd w:id="78"/>
          </w:p>
        </w:tc>
      </w:tr>
    </w:tbl>
    <w:p>
      <w:pPr>
        <w:rPr>
          <w:rFonts w:hint="eastAsia"/>
          <w:color w:val="000080"/>
          <w:sz w:val="20"/>
          <w:highlight w:val="cyan"/>
        </w:rPr>
      </w:pPr>
      <w:bookmarkStart w:id="79" w:name="EB69251e24f8aa4e7d827b36601e0b37b5"/>
      <w:r>
        <w:rPr>
          <w:rFonts w:hint="eastAsia"/>
          <w:color w:val="000080"/>
          <w:sz w:val="20"/>
          <w:highlight w:val="white"/>
        </w:rPr>
        <w:t xml:space="preserve"> </w:t>
      </w:r>
      <w:bookmarkEnd w:id="79"/>
    </w:p>
    <w:p>
      <w:pPr>
        <w:rPr>
          <w:rStyle w:val="9"/>
          <w:rFonts w:eastAsia="黑体"/>
          <w:color w:val="000000"/>
          <w:sz w:val="29"/>
          <w:szCs w:val="29"/>
        </w:rPr>
      </w:pPr>
      <w:r>
        <w:rPr>
          <w:color w:val="000080"/>
          <w:sz w:val="20"/>
          <w:highlight w:val="white"/>
        </w:rPr>
        <w:br w:type="page"/>
      </w:r>
    </w:p>
    <w:p>
      <w:pPr>
        <w:pStyle w:val="8"/>
        <w:rPr>
          <w:rStyle w:val="9"/>
          <w:rFonts w:eastAsia="黑体"/>
          <w:color w:val="000000"/>
          <w:sz w:val="29"/>
          <w:szCs w:val="29"/>
        </w:rPr>
      </w:pPr>
      <w:bookmarkStart w:id="80" w:name="_Toc20149128"/>
      <w:bookmarkStart w:id="81" w:name="_Toc20149390"/>
      <w:bookmarkStart w:id="82" w:name="_Toc234832942"/>
      <w:bookmarkStart w:id="83" w:name="_Toc17549189"/>
      <w:bookmarkStart w:id="84" w:name="_Toc256000013"/>
      <w:bookmarkStart w:id="85" w:name="_Toc509993881"/>
      <w:r>
        <w:rPr>
          <w:rFonts w:hint="eastAsia"/>
          <w:highlight w:val="white"/>
          <w:lang w:val="en-US" w:eastAsia="zh-CN"/>
        </w:rPr>
        <w:t>附件2</w:t>
      </w:r>
      <w:r>
        <w:rPr>
          <w:highlight w:val="white"/>
        </w:rPr>
        <w:t xml:space="preserve"> 评标办法（综合评估法）</w:t>
      </w:r>
      <w:bookmarkEnd w:id="80"/>
      <w:bookmarkEnd w:id="81"/>
      <w:bookmarkEnd w:id="82"/>
      <w:bookmarkEnd w:id="83"/>
      <w:bookmarkEnd w:id="84"/>
      <w:bookmarkEnd w:id="85"/>
    </w:p>
    <w:p>
      <w:pPr>
        <w:keepNext/>
        <w:keepLines/>
        <w:spacing w:before="480" w:after="240" w:line="380" w:lineRule="atLeast"/>
        <w:outlineLvl w:val="1"/>
        <w:rPr>
          <w:rFonts w:ascii="Times New Roman" w:hAnsi="Times New Roman" w:eastAsia="黑体"/>
          <w:bCs/>
          <w:color w:val="000000"/>
          <w:kern w:val="44"/>
          <w:sz w:val="24"/>
          <w:szCs w:val="24"/>
        </w:rPr>
      </w:pPr>
      <w:bookmarkStart w:id="86" w:name="_Toc509993882"/>
      <w:bookmarkStart w:id="87" w:name="_Toc17549190"/>
      <w:bookmarkStart w:id="88" w:name="_Toc234832943"/>
      <w:r>
        <w:rPr>
          <w:rFonts w:ascii="Times New Roman" w:hAnsi="Times New Roman" w:eastAsia="黑体"/>
          <w:bCs/>
          <w:color w:val="000000"/>
          <w:kern w:val="44"/>
          <w:sz w:val="24"/>
          <w:szCs w:val="24"/>
          <w:highlight w:val="white"/>
        </w:rPr>
        <w:t>评标办法前附表</w:t>
      </w:r>
      <w:bookmarkEnd w:id="86"/>
      <w:bookmarkEnd w:id="87"/>
      <w:bookmarkEnd w:id="88"/>
    </w:p>
    <w:tbl>
      <w:tblPr>
        <w:tblStyle w:val="11"/>
        <w:tblW w:w="889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280"/>
        <w:gridCol w:w="66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blHeader/>
        </w:trPr>
        <w:tc>
          <w:tcPr>
            <w:tcW w:w="2269" w:type="dxa"/>
            <w:gridSpan w:val="2"/>
            <w:tcBorders>
              <w:top w:val="single" w:color="auto" w:sz="4" w:space="0"/>
              <w:bottom w:val="single" w:color="auto" w:sz="4" w:space="0"/>
              <w:right w:val="single" w:color="auto" w:sz="4" w:space="0"/>
            </w:tcBorders>
            <w:noWrap w:val="0"/>
            <w:vAlign w:val="center"/>
          </w:tcPr>
          <w:p>
            <w:pPr>
              <w:widowControl w:val="0"/>
              <w:spacing w:line="380" w:lineRule="atLeast"/>
              <w:jc w:val="center"/>
              <w:rPr>
                <w:rFonts w:ascii="Times New Roman" w:hAnsi="Times New Roman"/>
                <w:b/>
                <w:color w:val="000000"/>
                <w:kern w:val="2"/>
                <w:sz w:val="21"/>
                <w:szCs w:val="21"/>
                <w:lang w:val="en-US" w:eastAsia="zh-CN" w:bidi="ar-SA"/>
              </w:rPr>
            </w:pPr>
            <w:r>
              <w:rPr>
                <w:rFonts w:ascii="Times New Roman" w:hAnsi="Times New Roman"/>
                <w:b/>
                <w:color w:val="000000"/>
                <w:kern w:val="2"/>
                <w:sz w:val="21"/>
                <w:szCs w:val="21"/>
                <w:highlight w:val="white"/>
                <w:lang w:val="en-US" w:eastAsia="zh-CN" w:bidi="ar-SA"/>
              </w:rPr>
              <w:t>条款号</w:t>
            </w:r>
          </w:p>
        </w:tc>
        <w:tc>
          <w:tcPr>
            <w:tcW w:w="662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80" w:lineRule="atLeast"/>
              <w:jc w:val="center"/>
              <w:rPr>
                <w:rFonts w:ascii="Times New Roman" w:hAnsi="Times New Roman"/>
                <w:b/>
                <w:color w:val="000000"/>
                <w:spacing w:val="4"/>
                <w:kern w:val="2"/>
                <w:sz w:val="21"/>
                <w:szCs w:val="21"/>
                <w:lang w:val="en-US" w:eastAsia="zh-CN" w:bidi="ar-SA"/>
              </w:rPr>
            </w:pPr>
            <w:r>
              <w:rPr>
                <w:rFonts w:ascii="Times New Roman" w:hAnsi="Times New Roman"/>
                <w:b/>
                <w:color w:val="000000"/>
                <w:spacing w:val="4"/>
                <w:kern w:val="2"/>
                <w:sz w:val="21"/>
                <w:szCs w:val="21"/>
                <w:highlight w:val="white"/>
                <w:lang w:val="en-US" w:eastAsia="zh-CN" w:bidi="ar-SA"/>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89" w:type="dxa"/>
            <w:tcBorders>
              <w:top w:val="single" w:color="auto" w:sz="4" w:space="0"/>
              <w:bottom w:val="single" w:color="auto" w:sz="4" w:space="0"/>
              <w:right w:val="single" w:color="auto" w:sz="4" w:space="0"/>
            </w:tcBorders>
            <w:noWrap w:val="0"/>
            <w:vAlign w:val="center"/>
          </w:tcPr>
          <w:p>
            <w:pPr>
              <w:widowControl w:val="0"/>
              <w:spacing w:line="380" w:lineRule="atLeast"/>
              <w:jc w:val="center"/>
              <w:rPr>
                <w:rFonts w:ascii="Times New Roman" w:hAnsi="Times New Roman"/>
                <w:color w:val="000000"/>
                <w:kern w:val="2"/>
                <w:sz w:val="21"/>
                <w:szCs w:val="21"/>
                <w:lang w:val="en-US" w:eastAsia="zh-CN" w:bidi="ar-SA"/>
              </w:rPr>
            </w:pPr>
            <w:r>
              <w:rPr>
                <w:rFonts w:ascii="Times New Roman" w:hAnsi="Times New Roman"/>
                <w:color w:val="000000"/>
                <w:kern w:val="2"/>
                <w:sz w:val="21"/>
                <w:szCs w:val="21"/>
                <w:highlight w:val="white"/>
                <w:lang w:val="en-US" w:eastAsia="zh-CN" w:bidi="ar-SA"/>
              </w:rPr>
              <w:t>1</w:t>
            </w:r>
          </w:p>
        </w:tc>
        <w:tc>
          <w:tcPr>
            <w:tcW w:w="1280" w:type="dxa"/>
            <w:tcBorders>
              <w:top w:val="single" w:color="auto" w:sz="4" w:space="0"/>
              <w:bottom w:val="single" w:color="auto" w:sz="4" w:space="0"/>
              <w:right w:val="single" w:color="auto" w:sz="4" w:space="0"/>
            </w:tcBorders>
            <w:noWrap w:val="0"/>
            <w:vAlign w:val="center"/>
          </w:tcPr>
          <w:p>
            <w:pPr>
              <w:widowControl w:val="0"/>
              <w:spacing w:line="380" w:lineRule="atLeast"/>
              <w:jc w:val="center"/>
              <w:rPr>
                <w:rFonts w:ascii="Times New Roman" w:hAnsi="Times New Roman"/>
                <w:color w:val="000000"/>
                <w:kern w:val="2"/>
                <w:sz w:val="21"/>
                <w:szCs w:val="21"/>
                <w:lang w:val="en-US" w:eastAsia="zh-CN" w:bidi="ar-SA"/>
              </w:rPr>
            </w:pPr>
            <w:r>
              <w:rPr>
                <w:rFonts w:ascii="Times New Roman" w:hAnsi="Times New Roman"/>
                <w:color w:val="000000"/>
                <w:kern w:val="2"/>
                <w:sz w:val="21"/>
                <w:szCs w:val="21"/>
                <w:highlight w:val="white"/>
                <w:lang w:val="en-US" w:eastAsia="zh-CN" w:bidi="ar-SA"/>
              </w:rPr>
              <w:t>评标方法</w:t>
            </w:r>
          </w:p>
        </w:tc>
        <w:tc>
          <w:tcPr>
            <w:tcW w:w="662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tLeast"/>
              <w:ind w:firstLine="420" w:firstLineChars="200"/>
              <w:jc w:val="both"/>
              <w:rPr>
                <w:rFonts w:ascii="Times New Roman" w:hAnsi="Times New Roman"/>
                <w:color w:val="000000"/>
                <w:kern w:val="2"/>
                <w:sz w:val="21"/>
                <w:szCs w:val="21"/>
                <w:lang w:val="en-US" w:eastAsia="zh-CN" w:bidi="ar-SA"/>
              </w:rPr>
            </w:pPr>
            <w:r>
              <w:rPr>
                <w:rFonts w:ascii="Times New Roman" w:hAnsi="Times New Roman"/>
                <w:color w:val="000000"/>
                <w:kern w:val="2"/>
                <w:sz w:val="21"/>
                <w:szCs w:val="21"/>
                <w:highlight w:val="white"/>
                <w:lang w:val="en-US" w:eastAsia="zh-CN" w:bidi="ar-SA"/>
              </w:rPr>
              <w:t>综合评分相等时，评标委员会依次按照以下优先顺序推荐中标候选人或确定中标人：</w:t>
            </w:r>
          </w:p>
          <w:p>
            <w:pPr>
              <w:widowControl w:val="0"/>
              <w:spacing w:line="360" w:lineRule="atLeast"/>
              <w:ind w:firstLine="420" w:firstLineChars="200"/>
              <w:jc w:val="both"/>
              <w:rPr>
                <w:rFonts w:ascii="Times New Roman" w:hAnsi="Times New Roman"/>
                <w:color w:val="000000"/>
                <w:kern w:val="2"/>
                <w:sz w:val="21"/>
                <w:szCs w:val="21"/>
                <w:lang w:val="en-US" w:eastAsia="zh-CN" w:bidi="ar-SA"/>
              </w:rPr>
            </w:pPr>
            <w:r>
              <w:rPr>
                <w:rFonts w:ascii="Times New Roman" w:hAnsi="Times New Roman"/>
                <w:color w:val="000000"/>
                <w:kern w:val="2"/>
                <w:sz w:val="21"/>
                <w:szCs w:val="21"/>
                <w:highlight w:val="white"/>
                <w:lang w:val="en-US" w:eastAsia="zh-CN" w:bidi="ar-SA"/>
              </w:rPr>
              <w:t>（1）评标价低的投标人优先；</w:t>
            </w:r>
          </w:p>
          <w:p>
            <w:pPr>
              <w:widowControl w:val="0"/>
              <w:spacing w:line="360" w:lineRule="atLeast"/>
              <w:ind w:firstLine="420" w:firstLineChars="200"/>
              <w:jc w:val="both"/>
              <w:rPr>
                <w:rFonts w:ascii="Times New Roman" w:hAnsi="Times New Roman" w:eastAsia="黑体"/>
                <w:color w:val="000000"/>
                <w:kern w:val="2"/>
                <w:sz w:val="21"/>
                <w:szCs w:val="21"/>
                <w:lang w:val="en-US" w:eastAsia="zh-CN" w:bidi="ar-SA"/>
              </w:rPr>
            </w:pPr>
            <w:r>
              <w:rPr>
                <w:rFonts w:ascii="Times New Roman" w:hAnsi="Times New Roman" w:eastAsia="黑体"/>
                <w:color w:val="000000"/>
                <w:kern w:val="2"/>
                <w:sz w:val="21"/>
                <w:szCs w:val="21"/>
                <w:highlight w:val="white"/>
                <w:lang w:val="en-US" w:eastAsia="zh-CN" w:bidi="ar-SA"/>
              </w:rPr>
              <w:t>（2）被湖南省交通运输厅评为最近1年较高信用等级的投标人优先；</w:t>
            </w:r>
          </w:p>
          <w:p>
            <w:pPr>
              <w:widowControl w:val="0"/>
              <w:spacing w:line="360" w:lineRule="atLeast"/>
              <w:ind w:firstLine="420" w:firstLineChars="200"/>
              <w:jc w:val="both"/>
              <w:rPr>
                <w:rFonts w:ascii="Times New Roman" w:hAnsi="Times New Roman"/>
                <w:color w:val="000000"/>
                <w:kern w:val="2"/>
                <w:sz w:val="21"/>
                <w:szCs w:val="21"/>
                <w:lang w:val="en-US" w:eastAsia="zh-CN" w:bidi="ar-SA"/>
              </w:rPr>
            </w:pPr>
            <w:r>
              <w:rPr>
                <w:rFonts w:ascii="Times New Roman" w:hAnsi="Times New Roman"/>
                <w:color w:val="000000"/>
                <w:kern w:val="2"/>
                <w:sz w:val="21"/>
                <w:szCs w:val="21"/>
                <w:highlight w:val="white"/>
                <w:lang w:val="en-US" w:eastAsia="zh-CN" w:bidi="ar-SA"/>
              </w:rPr>
              <w:t>（3）商务和技术得分较高的投标人优先；</w:t>
            </w:r>
          </w:p>
          <w:p>
            <w:pPr>
              <w:widowControl w:val="0"/>
              <w:spacing w:line="360" w:lineRule="atLeast"/>
              <w:ind w:firstLine="420" w:firstLineChars="200"/>
              <w:jc w:val="both"/>
              <w:rPr>
                <w:rFonts w:ascii="Times New Roman" w:hAnsi="Times New Roman"/>
                <w:b/>
                <w:color w:val="000000"/>
                <w:kern w:val="2"/>
                <w:sz w:val="21"/>
                <w:szCs w:val="21"/>
                <w:lang w:val="en-US" w:eastAsia="zh-CN" w:bidi="ar-SA"/>
              </w:rPr>
            </w:pPr>
            <w:r>
              <w:rPr>
                <w:rFonts w:ascii="Times New Roman" w:hAnsi="Times New Roman" w:eastAsia="黑体"/>
                <w:color w:val="000000"/>
                <w:kern w:val="2"/>
                <w:sz w:val="21"/>
                <w:szCs w:val="21"/>
                <w:highlight w:val="white"/>
                <w:lang w:val="en-US" w:eastAsia="zh-CN" w:bidi="ar-SA"/>
              </w:rPr>
              <w:t>（4）随机摇号确定排序。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891" w:type="dxa"/>
            <w:gridSpan w:val="3"/>
            <w:tcBorders>
              <w:top w:val="single" w:color="auto" w:sz="4" w:space="0"/>
              <w:left w:val="nil"/>
              <w:bottom w:val="nil"/>
              <w:right w:val="nil"/>
            </w:tcBorders>
            <w:noWrap w:val="0"/>
            <w:vAlign w:val="center"/>
          </w:tcPr>
          <w:p>
            <w:pPr>
              <w:widowControl w:val="0"/>
              <w:jc w:val="both"/>
              <w:rPr>
                <w:rFonts w:hint="eastAsia"/>
                <w:kern w:val="2"/>
                <w:sz w:val="21"/>
                <w:szCs w:val="22"/>
                <w:highlight w:val="red"/>
                <w:lang w:val="en-US" w:eastAsia="zh-CN" w:bidi="ar-SA"/>
              </w:rPr>
            </w:pPr>
            <w:bookmarkStart w:id="89" w:name="EB18e56fd9d09c408c87d36a9122cde04e"/>
          </w:p>
          <w:tbl>
            <w:tblPr>
              <w:tblStyle w:val="11"/>
              <w:tblW w:w="8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333"/>
              <w:gridCol w:w="5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3"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2.1.1</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2.1.3</w:t>
                  </w:r>
                </w:p>
              </w:tc>
              <w:tc>
                <w:tcPr>
                  <w:tcW w:w="1333"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形式评审与响应性评审标准</w:t>
                  </w:r>
                </w:p>
              </w:tc>
              <w:tc>
                <w:tcPr>
                  <w:tcW w:w="5999"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第一个信封（商务及技术文件）评审标准：</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(1)开标形式评审</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a. 开标后投标人投标函所列标段与招标标段一致；</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b. 投标人在规定的时间内解密投标文件第一信封（商务和技术文件）；</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c. 不同投标人的投标文件编制识别码不一致(若一致则视为投标人相互串通投标)。</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d.不同投标人提交电子投标文件IP地址不相同（若相同时能合理说明）；</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e.不同投标人提交电子投标文件的IP地址不在某一特定区域（若相同时能合理说明）；</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f.电子投标文件硬件信息不相同（若相同时能合理说明）。</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(2)投标文件按照招标文件规定的格式、内容填写，字迹清晰可辨，内容齐全完整</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a.投标函按招标文件规定填报了项目名称、标段号、补遗书编号（如有）、勘察设计服务期限、质量要求、安全目标及环保目标；</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b.投标文件组成齐全完整，内容均按规定填写。</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(3)投标文件上法定代表人或其委托代理人的签字、投标人的单位章盖章齐全，符合招标文件规定。</w:t>
                  </w:r>
                </w:p>
                <w:p>
                  <w:pPr>
                    <w:widowControl w:val="0"/>
                    <w:jc w:val="left"/>
                    <w:rPr>
                      <w:rFonts w:ascii="宋体" w:hAnsi="宋体" w:eastAsia="宋体" w:cs="宋体"/>
                      <w:b w:val="0"/>
                      <w:kern w:val="2"/>
                      <w:sz w:val="21"/>
                      <w:szCs w:val="22"/>
                      <w:lang w:val="en-US" w:eastAsia="zh-CN" w:bidi="ar-SA"/>
                    </w:rPr>
                  </w:pP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(4)投标人按照招标文件的规定提供了投标保证金</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a.投标保证金金额符合招标文件规定的金额，且投标保证金有效期与投标有效期一致；</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b.若投标保证金采用现金或支票形式提交，投标人应在递交投标文件截止时间之前，将投标保证金由投标人的基本账户一次性转入招标人指定账户；</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c.若投标保证金采用银行保函形式提交，银行保函的格式、开具保函的银行及时效均满足招标文件要求，且在递交投标文件截止时间之前向招标人提交了银行保函和银行查询授权书原件。若保函仅加盖银行业务公章，提交了银行出具的同等法律效力证明的原件。</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(5)法定代表人授权委托代理人签署投标文件的，须提交授权委托书，且授权人和被授权人均在授权委托书上签名。</w:t>
                  </w:r>
                </w:p>
                <w:p>
                  <w:pPr>
                    <w:widowControl w:val="0"/>
                    <w:jc w:val="left"/>
                    <w:rPr>
                      <w:rFonts w:ascii="宋体" w:hAnsi="宋体" w:eastAsia="宋体" w:cs="宋体"/>
                      <w:b w:val="0"/>
                      <w:kern w:val="2"/>
                      <w:sz w:val="21"/>
                      <w:szCs w:val="22"/>
                      <w:lang w:val="en-US" w:eastAsia="zh-CN" w:bidi="ar-SA"/>
                    </w:rPr>
                  </w:pP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(6)投标人法定代表人亲自签署投标文件的，提供了法定代表人身份证明，且法定代表人在法定代表人身份证明上签名。</w:t>
                  </w:r>
                </w:p>
                <w:p>
                  <w:pPr>
                    <w:widowControl w:val="0"/>
                    <w:jc w:val="left"/>
                    <w:rPr>
                      <w:rFonts w:ascii="宋体" w:hAnsi="宋体" w:eastAsia="宋体" w:cs="宋体"/>
                      <w:b w:val="0"/>
                      <w:kern w:val="2"/>
                      <w:sz w:val="21"/>
                      <w:szCs w:val="22"/>
                      <w:lang w:val="en-US" w:eastAsia="zh-CN" w:bidi="ar-SA"/>
                    </w:rPr>
                  </w:pP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(7)同一投标人未提交两个以上不同的投标文件，但招标文件要求提交备选投标的除外</w:t>
                  </w:r>
                </w:p>
                <w:p>
                  <w:pPr>
                    <w:widowControl w:val="0"/>
                    <w:jc w:val="left"/>
                    <w:rPr>
                      <w:rFonts w:ascii="宋体" w:hAnsi="宋体" w:eastAsia="宋体" w:cs="宋体"/>
                      <w:b w:val="0"/>
                      <w:kern w:val="2"/>
                      <w:sz w:val="21"/>
                      <w:szCs w:val="22"/>
                      <w:lang w:val="en-US" w:eastAsia="zh-CN" w:bidi="ar-SA"/>
                    </w:rPr>
                  </w:pP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(8)投标文件中未出现有关投标报价的内容</w:t>
                  </w:r>
                </w:p>
                <w:p>
                  <w:pPr>
                    <w:widowControl w:val="0"/>
                    <w:jc w:val="left"/>
                    <w:rPr>
                      <w:rFonts w:ascii="宋体" w:hAnsi="宋体" w:eastAsia="宋体" w:cs="宋体"/>
                      <w:b w:val="0"/>
                      <w:kern w:val="2"/>
                      <w:sz w:val="21"/>
                      <w:szCs w:val="22"/>
                      <w:lang w:val="en-US" w:eastAsia="zh-CN" w:bidi="ar-SA"/>
                    </w:rPr>
                  </w:pP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(9)投标文件载明的招标项目完成期限符合招标文件规定</w:t>
                  </w:r>
                </w:p>
                <w:p>
                  <w:pPr>
                    <w:widowControl w:val="0"/>
                    <w:jc w:val="left"/>
                    <w:rPr>
                      <w:rFonts w:ascii="宋体" w:hAnsi="宋体" w:eastAsia="宋体" w:cs="宋体"/>
                      <w:b w:val="0"/>
                      <w:kern w:val="2"/>
                      <w:sz w:val="21"/>
                      <w:szCs w:val="22"/>
                      <w:lang w:val="en-US" w:eastAsia="zh-CN" w:bidi="ar-SA"/>
                    </w:rPr>
                  </w:pP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(10)投标文件对招标文件的实质性要求和条件作出响应</w:t>
                  </w:r>
                </w:p>
                <w:p>
                  <w:pPr>
                    <w:widowControl w:val="0"/>
                    <w:jc w:val="left"/>
                    <w:rPr>
                      <w:rFonts w:ascii="宋体" w:hAnsi="宋体" w:eastAsia="宋体" w:cs="宋体"/>
                      <w:b w:val="0"/>
                      <w:kern w:val="2"/>
                      <w:sz w:val="21"/>
                      <w:szCs w:val="22"/>
                      <w:lang w:val="en-US" w:eastAsia="zh-CN" w:bidi="ar-SA"/>
                    </w:rPr>
                  </w:pP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(11)权利义务符合招标文件规定</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a.投标人应接受招标文件规定的风险划分原则，未提出新的风险划分办法；</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b.投标人未增加委托人的责任范围，或减少投标人义务；</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c.投标人未提出不同的支付办法；</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d.投标人对合同纠纷、事故处理办法未提出异议；</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e.投标人在投标活动中无欺诈行为；</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f.投标人未对合同条款有重要保留。</w:t>
                  </w:r>
                </w:p>
                <w:p>
                  <w:pPr>
                    <w:widowControl w:val="0"/>
                    <w:jc w:val="left"/>
                    <w:rPr>
                      <w:rFonts w:ascii="宋体" w:hAnsi="宋体" w:eastAsia="宋体" w:cs="宋体"/>
                      <w:b w:val="0"/>
                      <w:kern w:val="2"/>
                      <w:sz w:val="21"/>
                      <w:szCs w:val="22"/>
                      <w:lang w:val="en-US" w:eastAsia="zh-CN" w:bidi="ar-SA"/>
                    </w:rPr>
                  </w:pPr>
                </w:p>
              </w:tc>
            </w:tr>
            <w:bookmarkEnd w:id="89"/>
          </w:tbl>
          <w:p>
            <w:pPr>
              <w:widowControl w:val="0"/>
              <w:jc w:val="both"/>
              <w:rPr>
                <w:rFonts w:hint="eastAsia"/>
                <w:color w:val="000080"/>
                <w:kern w:val="2"/>
                <w:sz w:val="20"/>
                <w:szCs w:val="22"/>
                <w:highlight w:val="white"/>
                <w:lang w:val="en-US" w:eastAsia="zh-CN" w:bidi="ar-SA"/>
              </w:rPr>
            </w:pPr>
          </w:p>
          <w:p>
            <w:pPr>
              <w:widowControl w:val="0"/>
              <w:jc w:val="both"/>
              <w:rPr>
                <w:rFonts w:hint="eastAsia"/>
                <w:kern w:val="2"/>
                <w:sz w:val="21"/>
                <w:szCs w:val="22"/>
                <w:highlight w:val="red"/>
                <w:lang w:val="en-US" w:eastAsia="zh-CN" w:bidi="ar-SA"/>
              </w:rPr>
            </w:pPr>
            <w:bookmarkStart w:id="90" w:name="EB49a68601c16a4c3496c5dd5b499d40af"/>
          </w:p>
          <w:tbl>
            <w:tblPr>
              <w:tblStyle w:val="11"/>
              <w:tblW w:w="8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333"/>
              <w:gridCol w:w="5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3"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2.1.1</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2.1.3</w:t>
                  </w:r>
                </w:p>
              </w:tc>
              <w:tc>
                <w:tcPr>
                  <w:tcW w:w="1333"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形式评审与响应性评审标准</w:t>
                  </w:r>
                </w:p>
              </w:tc>
              <w:tc>
                <w:tcPr>
                  <w:tcW w:w="5999"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第二个信封（报价文件）评审标准：</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(1)开标形式性评审</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a.投标函上填写投标总价；</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b.投标人投标函所列标段与招标标段一致；</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c.投标报价未超出招标人公布的最高投标限价（如有）。</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d. 投标人在规定时间内进行解密投标文件第二信封（报价文件）；</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 xml:space="preserve">e.不同投标人的电子投标文件编制识别码不一致(若一致则视投标人相互串通投标)。    </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f.不同投标人提交电子投标文件IP地址不相同（若相同时能合理说明）；</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g.不同投标人提交电子投标文件的IP地址不在某一特定区域（若相同时能合理说明）；</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h.电子投标文件硬件信息不相同（若相同时能合理说明）。</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(2)投标文件按照招标文件规定的格式、内容填写，字迹清晰可辨，内容齐全完整</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a.投标函按招标文件规定填报了项目名称、标段号、补遗书编号（如有）、投标价（包括大写金额和小写金额）；</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b.已标价报价清单说明文字与招标文件规定一致，未进行实质性修改和删减；</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c.投标文件组成齐全完整，内容均按规定填写</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(3)投标文件上法定代表人或其委托代理人的签字、投标人的单位章盖章齐全，符合招标文件规定。</w:t>
                  </w:r>
                </w:p>
                <w:p>
                  <w:pPr>
                    <w:widowControl w:val="0"/>
                    <w:jc w:val="left"/>
                    <w:rPr>
                      <w:rFonts w:ascii="宋体" w:hAnsi="宋体" w:eastAsia="宋体" w:cs="宋体"/>
                      <w:b w:val="0"/>
                      <w:kern w:val="2"/>
                      <w:sz w:val="21"/>
                      <w:szCs w:val="22"/>
                      <w:lang w:val="en-US" w:eastAsia="zh-CN" w:bidi="ar-SA"/>
                    </w:rPr>
                  </w:pP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(4)投标报价未超过招标文件设定的最高投标限价（如有）</w:t>
                  </w:r>
                </w:p>
                <w:p>
                  <w:pPr>
                    <w:widowControl w:val="0"/>
                    <w:jc w:val="left"/>
                    <w:rPr>
                      <w:rFonts w:ascii="宋体" w:hAnsi="宋体" w:eastAsia="宋体" w:cs="宋体"/>
                      <w:b w:val="0"/>
                      <w:kern w:val="2"/>
                      <w:sz w:val="21"/>
                      <w:szCs w:val="22"/>
                      <w:lang w:val="en-US" w:eastAsia="zh-CN" w:bidi="ar-SA"/>
                    </w:rPr>
                  </w:pP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(5)投标报价的大写金额能够确定具体数值</w:t>
                  </w:r>
                </w:p>
                <w:p>
                  <w:pPr>
                    <w:widowControl w:val="0"/>
                    <w:jc w:val="left"/>
                    <w:rPr>
                      <w:rFonts w:ascii="宋体" w:hAnsi="宋体" w:eastAsia="宋体" w:cs="宋体"/>
                      <w:b w:val="0"/>
                      <w:kern w:val="2"/>
                      <w:sz w:val="21"/>
                      <w:szCs w:val="22"/>
                      <w:lang w:val="en-US" w:eastAsia="zh-CN" w:bidi="ar-SA"/>
                    </w:rPr>
                  </w:pP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(6)同一投标人未提交两个以上不同的投标报价，但招标文件要求提交备选投标的除外</w:t>
                  </w:r>
                </w:p>
                <w:p>
                  <w:pPr>
                    <w:widowControl w:val="0"/>
                    <w:jc w:val="left"/>
                    <w:rPr>
                      <w:rFonts w:ascii="宋体" w:hAnsi="宋体" w:eastAsia="宋体" w:cs="宋体"/>
                      <w:b w:val="0"/>
                      <w:kern w:val="2"/>
                      <w:sz w:val="21"/>
                      <w:szCs w:val="22"/>
                      <w:lang w:val="en-US" w:eastAsia="zh-CN" w:bidi="ar-SA"/>
                    </w:rPr>
                  </w:pPr>
                </w:p>
                <w:p>
                  <w:pPr>
                    <w:widowControl w:val="0"/>
                    <w:jc w:val="left"/>
                    <w:rPr>
                      <w:rFonts w:ascii="宋体" w:hAnsi="宋体" w:eastAsia="宋体" w:cs="宋体"/>
                      <w:b w:val="0"/>
                      <w:kern w:val="2"/>
                      <w:sz w:val="21"/>
                      <w:szCs w:val="22"/>
                      <w:lang w:val="en-US" w:eastAsia="zh-CN" w:bidi="ar-SA"/>
                    </w:rPr>
                  </w:pPr>
                </w:p>
              </w:tc>
            </w:tr>
            <w:bookmarkEnd w:id="90"/>
          </w:tbl>
          <w:p>
            <w:pPr>
              <w:widowControl w:val="0"/>
              <w:jc w:val="both"/>
              <w:rPr>
                <w:rFonts w:hint="eastAsia"/>
                <w:color w:val="000080"/>
                <w:kern w:val="2"/>
                <w:sz w:val="20"/>
                <w:szCs w:val="22"/>
                <w:highlight w:val="white"/>
                <w:lang w:val="en-US" w:eastAsia="zh-CN" w:bidi="ar-SA"/>
              </w:rPr>
            </w:pPr>
          </w:p>
          <w:p>
            <w:pPr>
              <w:widowControl w:val="0"/>
              <w:jc w:val="both"/>
              <w:rPr>
                <w:kern w:val="2"/>
                <w:sz w:val="21"/>
                <w:szCs w:val="22"/>
                <w:highlight w:val="red"/>
                <w:lang w:val="en-US" w:eastAsia="zh-CN" w:bidi="ar-SA"/>
              </w:rPr>
            </w:pPr>
            <w:bookmarkStart w:id="91" w:name="EB76f3d8ec73854c61b9114512c45e61dd"/>
          </w:p>
          <w:tbl>
            <w:tblPr>
              <w:tblStyle w:val="11"/>
              <w:tblW w:w="8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333"/>
              <w:gridCol w:w="5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6" w:type="dxa"/>
                  <w:gridSpan w:val="2"/>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条款号</w:t>
                  </w:r>
                </w:p>
              </w:tc>
              <w:tc>
                <w:tcPr>
                  <w:tcW w:w="5999"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3"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2.1.2</w:t>
                  </w:r>
                </w:p>
              </w:tc>
              <w:tc>
                <w:tcPr>
                  <w:tcW w:w="1333"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资格评审标准</w:t>
                  </w:r>
                </w:p>
              </w:tc>
              <w:tc>
                <w:tcPr>
                  <w:tcW w:w="5999"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(1)投标人具备有效的营业执照、组织机构代码证、勘察资质证书、设计资质证书和基本账户开户许可证明材料</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(2)投标人的资质等级符合招标文件规定</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(3)投标人的类似项目业绩符合招标文件规定</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(4)投标人的信誉符合招标文件规定</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(5)投标人的项目负责人资格符合招标文件规定</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(6)投标人的其他要求符合招标文件规定</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(7)投标人不存在第二章“投标人须知”第1.4.3项或第1.4.4项规定的任何一种情形</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(8)投标人符合第二章“投标人须知”第1.4.5项规定</w:t>
                  </w:r>
                </w:p>
                <w:p>
                  <w:pPr>
                    <w:widowControl w:val="0"/>
                    <w:jc w:val="left"/>
                    <w:rPr>
                      <w:rFonts w:ascii="宋体" w:hAnsi="宋体" w:eastAsia="宋体" w:cs="宋体"/>
                      <w:b w:val="0"/>
                      <w:kern w:val="2"/>
                      <w:sz w:val="21"/>
                      <w:szCs w:val="22"/>
                      <w:lang w:val="en-US" w:eastAsia="zh-CN" w:bidi="ar-SA"/>
                    </w:rPr>
                  </w:pPr>
                </w:p>
              </w:tc>
            </w:tr>
            <w:bookmarkEnd w:id="91"/>
          </w:tbl>
          <w:p>
            <w:pPr>
              <w:widowControl w:val="0"/>
              <w:jc w:val="both"/>
              <w:rPr>
                <w:rFonts w:hint="eastAsia"/>
                <w:color w:val="000080"/>
                <w:kern w:val="2"/>
                <w:sz w:val="20"/>
                <w:szCs w:val="22"/>
                <w:highlight w:val="white"/>
                <w:lang w:val="en-US" w:eastAsia="zh-CN" w:bidi="ar-SA"/>
              </w:rPr>
            </w:pPr>
          </w:p>
        </w:tc>
      </w:tr>
    </w:tbl>
    <w:p>
      <w:pPr>
        <w:rPr>
          <w:rFonts w:ascii="Times New Roman" w:hAnsi="Times New Roman"/>
          <w:color w:val="000000"/>
          <w:szCs w:val="24"/>
          <w:highlight w:val="red"/>
        </w:rPr>
      </w:pPr>
      <w:bookmarkStart w:id="92" w:name="EBe0cc0e1eedfa4cbfbd7a286747e1f76c"/>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2192"/>
        <w:gridCol w:w="5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kern w:val="2"/>
                <w:sz w:val="21"/>
                <w:szCs w:val="22"/>
                <w:lang w:val="en-US" w:eastAsia="zh-CN" w:bidi="ar-SA"/>
              </w:rPr>
            </w:pPr>
            <w:r>
              <w:rPr>
                <w:rFonts w:ascii="宋体" w:hAnsi="宋体" w:eastAsia="宋体" w:cs="宋体"/>
                <w:b/>
                <w:kern w:val="2"/>
                <w:sz w:val="21"/>
                <w:szCs w:val="22"/>
                <w:lang w:val="en-US" w:eastAsia="zh-CN" w:bidi="ar-SA"/>
              </w:rPr>
              <w:t>条款号</w:t>
            </w:r>
          </w:p>
        </w:tc>
        <w:tc>
          <w:tcPr>
            <w:tcW w:w="2192"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kern w:val="2"/>
                <w:sz w:val="21"/>
                <w:szCs w:val="22"/>
                <w:lang w:val="en-US" w:eastAsia="zh-CN" w:bidi="ar-SA"/>
              </w:rPr>
            </w:pPr>
            <w:r>
              <w:rPr>
                <w:rFonts w:ascii="宋体" w:hAnsi="宋体" w:eastAsia="宋体" w:cs="宋体"/>
                <w:b/>
                <w:kern w:val="2"/>
                <w:sz w:val="21"/>
                <w:szCs w:val="22"/>
                <w:lang w:val="en-US" w:eastAsia="zh-CN" w:bidi="ar-SA"/>
              </w:rPr>
              <w:t>条款内容</w:t>
            </w:r>
          </w:p>
        </w:tc>
        <w:tc>
          <w:tcPr>
            <w:tcW w:w="5348"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kern w:val="2"/>
                <w:sz w:val="21"/>
                <w:szCs w:val="22"/>
                <w:lang w:val="en-US" w:eastAsia="zh-CN" w:bidi="ar-SA"/>
              </w:rPr>
            </w:pPr>
            <w:r>
              <w:rPr>
                <w:rFonts w:ascii="宋体" w:hAnsi="宋体" w:eastAsia="宋体" w:cs="宋体"/>
                <w:b/>
                <w:kern w:val="2"/>
                <w:sz w:val="21"/>
                <w:szCs w:val="22"/>
                <w:lang w:val="en-US" w:eastAsia="zh-CN" w:bidi="ar-SA"/>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2.2.1</w:t>
            </w:r>
          </w:p>
        </w:tc>
        <w:tc>
          <w:tcPr>
            <w:tcW w:w="2192"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分值构成</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（总分100.0分）</w:t>
            </w:r>
          </w:p>
        </w:tc>
        <w:tc>
          <w:tcPr>
            <w:tcW w:w="5348"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第一个信封（商务及技术文件）评分分值构成：</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技术建议书：40.0分</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主要人员：20.0分</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业绩 ：25分</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履约信誉 ：5分</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第二个信封（报价文件）评分分值构成：</w:t>
            </w:r>
          </w:p>
          <w:p>
            <w:pPr>
              <w:widowControl w:val="0"/>
              <w:jc w:val="left"/>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评标价 ：10.0 分</w:t>
            </w:r>
          </w:p>
        </w:tc>
      </w:tr>
      <w:bookmarkEnd w:id="92"/>
    </w:tbl>
    <w:p>
      <w:pPr>
        <w:rPr>
          <w:rFonts w:hint="eastAsia" w:ascii="Times New Roman" w:hAnsi="Times New Roman"/>
          <w:color w:val="000080"/>
          <w:sz w:val="20"/>
          <w:szCs w:val="24"/>
          <w:highlight w:val="white"/>
        </w:rPr>
      </w:pPr>
    </w:p>
    <w:tbl>
      <w:tblPr>
        <w:tblStyle w:val="11"/>
        <w:tblW w:w="896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4"/>
        <w:gridCol w:w="1512"/>
        <w:gridCol w:w="65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64" w:type="dxa"/>
            <w:tcBorders>
              <w:top w:val="single" w:color="auto" w:sz="4" w:space="0"/>
              <w:bottom w:val="single" w:color="auto" w:sz="4" w:space="0"/>
              <w:right w:val="single" w:color="auto" w:sz="4" w:space="0"/>
            </w:tcBorders>
            <w:noWrap w:val="0"/>
            <w:vAlign w:val="center"/>
          </w:tcPr>
          <w:p>
            <w:pPr>
              <w:widowControl w:val="0"/>
              <w:spacing w:line="340" w:lineRule="atLeast"/>
              <w:jc w:val="center"/>
              <w:rPr>
                <w:rFonts w:ascii="Times New Roman" w:hAnsi="Times New Roman"/>
                <w:color w:val="000000"/>
                <w:kern w:val="2"/>
                <w:sz w:val="21"/>
                <w:szCs w:val="21"/>
                <w:lang w:val="en-US" w:eastAsia="zh-CN" w:bidi="ar-SA"/>
              </w:rPr>
            </w:pPr>
            <w:r>
              <w:rPr>
                <w:rFonts w:ascii="Times New Roman" w:hAnsi="Times New Roman"/>
                <w:color w:val="000000"/>
                <w:kern w:val="2"/>
                <w:sz w:val="21"/>
                <w:szCs w:val="21"/>
                <w:highlight w:val="white"/>
                <w:lang w:val="en-US" w:eastAsia="zh-CN" w:bidi="ar-SA"/>
              </w:rPr>
              <w:t>2.2.2</w:t>
            </w:r>
          </w:p>
        </w:tc>
        <w:tc>
          <w:tcPr>
            <w:tcW w:w="1512" w:type="dxa"/>
            <w:tcBorders>
              <w:top w:val="single" w:color="auto" w:sz="4" w:space="0"/>
              <w:bottom w:val="single" w:color="auto" w:sz="4" w:space="0"/>
              <w:right w:val="single" w:color="auto" w:sz="4" w:space="0"/>
            </w:tcBorders>
            <w:noWrap w:val="0"/>
            <w:vAlign w:val="center"/>
          </w:tcPr>
          <w:p>
            <w:pPr>
              <w:widowControl w:val="0"/>
              <w:spacing w:line="340" w:lineRule="atLeast"/>
              <w:jc w:val="center"/>
              <w:rPr>
                <w:rFonts w:ascii="Times New Roman" w:hAnsi="Times New Roman"/>
                <w:color w:val="000000"/>
                <w:kern w:val="2"/>
                <w:sz w:val="21"/>
                <w:szCs w:val="21"/>
                <w:lang w:val="en-US" w:eastAsia="zh-CN" w:bidi="ar-SA"/>
              </w:rPr>
            </w:pPr>
            <w:r>
              <w:rPr>
                <w:rFonts w:ascii="Times New Roman" w:hAnsi="Times New Roman"/>
                <w:color w:val="000000"/>
                <w:kern w:val="2"/>
                <w:sz w:val="21"/>
                <w:szCs w:val="21"/>
                <w:highlight w:val="white"/>
                <w:lang w:val="en-US" w:eastAsia="zh-CN" w:bidi="ar-SA"/>
              </w:rPr>
              <w:t>评标基准价计算方法</w:t>
            </w:r>
          </w:p>
        </w:tc>
        <w:tc>
          <w:tcPr>
            <w:tcW w:w="658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tLeast"/>
              <w:jc w:val="left"/>
              <w:rPr>
                <w:rFonts w:ascii="Times New Roman" w:hAnsi="Times New Roman" w:eastAsia="黑体"/>
                <w:color w:val="000000"/>
                <w:kern w:val="2"/>
                <w:sz w:val="21"/>
                <w:szCs w:val="21"/>
                <w:highlight w:val="red"/>
                <w:lang w:val="en-US" w:eastAsia="zh-CN" w:bidi="ar-SA"/>
              </w:rPr>
            </w:pPr>
            <w:bookmarkStart w:id="93" w:name="EBbb53cf9ac159432f9083724c0bed65db"/>
          </w:p>
          <w:p>
            <w:pPr>
              <w:widowControl w:val="0"/>
              <w:jc w:val="both"/>
              <w:rPr>
                <w:rFonts w:ascii="宋体" w:hAnsi="宋体" w:eastAsia="宋体" w:cs="宋体"/>
                <w:kern w:val="2"/>
                <w:sz w:val="21"/>
                <w:szCs w:val="22"/>
                <w:lang w:val="en-US" w:eastAsia="zh-CN" w:bidi="ar-SA"/>
              </w:rPr>
            </w:pPr>
            <w:r>
              <w:rPr>
                <w:rFonts w:ascii="宋体" w:hAnsi="宋体" w:eastAsia="宋体" w:cs="宋体"/>
                <w:kern w:val="2"/>
                <w:sz w:val="21"/>
                <w:szCs w:val="22"/>
                <w:lang w:val="en-US" w:eastAsia="zh-CN" w:bidi="ar-SA"/>
              </w:rPr>
              <w:t>评标基准价计算方法：</w:t>
            </w:r>
          </w:p>
          <w:p>
            <w:pPr>
              <w:widowControl w:val="0"/>
              <w:jc w:val="both"/>
              <w:rPr>
                <w:rFonts w:ascii="宋体" w:hAnsi="宋体" w:eastAsia="宋体" w:cs="宋体"/>
                <w:kern w:val="2"/>
                <w:sz w:val="21"/>
                <w:szCs w:val="22"/>
                <w:lang w:val="en-US" w:eastAsia="zh-CN" w:bidi="ar-SA"/>
              </w:rPr>
            </w:pPr>
            <w:r>
              <w:rPr>
                <w:rFonts w:ascii="宋体" w:hAnsi="宋体" w:eastAsia="宋体" w:cs="宋体"/>
                <w:kern w:val="2"/>
                <w:sz w:val="21"/>
                <w:szCs w:val="22"/>
                <w:lang w:val="en-US" w:eastAsia="zh-CN" w:bidi="ar-SA"/>
              </w:rPr>
              <w:t>在开标现场，招标人将当场计算并宣布评标基准价。</w:t>
            </w:r>
          </w:p>
          <w:p>
            <w:pPr>
              <w:widowControl w:val="0"/>
              <w:jc w:val="both"/>
              <w:rPr>
                <w:rFonts w:ascii="宋体" w:hAnsi="宋体" w:eastAsia="宋体" w:cs="宋体"/>
                <w:kern w:val="2"/>
                <w:sz w:val="21"/>
                <w:szCs w:val="22"/>
                <w:lang w:val="en-US" w:eastAsia="zh-CN" w:bidi="ar-SA"/>
              </w:rPr>
            </w:pPr>
            <w:r>
              <w:rPr>
                <w:rFonts w:ascii="宋体" w:hAnsi="宋体" w:eastAsia="宋体" w:cs="宋体"/>
                <w:kern w:val="2"/>
                <w:sz w:val="21"/>
                <w:szCs w:val="22"/>
                <w:lang w:val="en-US" w:eastAsia="zh-CN" w:bidi="ar-SA"/>
              </w:rPr>
              <w:t>(1)评标价的确定：评标价=投标函文字报价</w:t>
            </w:r>
          </w:p>
          <w:p>
            <w:pPr>
              <w:widowControl w:val="0"/>
              <w:jc w:val="both"/>
              <w:rPr>
                <w:rFonts w:ascii="宋体" w:hAnsi="宋体" w:eastAsia="宋体" w:cs="宋体"/>
                <w:kern w:val="2"/>
                <w:sz w:val="21"/>
                <w:szCs w:val="22"/>
                <w:lang w:val="en-US" w:eastAsia="zh-CN" w:bidi="ar-SA"/>
              </w:rPr>
            </w:pPr>
            <w:r>
              <w:rPr>
                <w:rFonts w:ascii="宋体" w:hAnsi="宋体" w:eastAsia="宋体" w:cs="宋体"/>
                <w:kern w:val="2"/>
                <w:sz w:val="21"/>
                <w:szCs w:val="22"/>
                <w:lang w:val="en-US" w:eastAsia="zh-CN" w:bidi="ar-SA"/>
              </w:rPr>
              <w:t>(2)评标价平均值的计算：</w:t>
            </w:r>
          </w:p>
          <w:p>
            <w:pPr>
              <w:widowControl w:val="0"/>
              <w:jc w:val="both"/>
              <w:rPr>
                <w:rFonts w:ascii="宋体" w:hAnsi="宋体" w:eastAsia="宋体" w:cs="宋体"/>
                <w:kern w:val="2"/>
                <w:sz w:val="21"/>
                <w:szCs w:val="22"/>
                <w:lang w:val="en-US" w:eastAsia="zh-CN" w:bidi="ar-SA"/>
              </w:rPr>
            </w:pPr>
            <w:r>
              <w:rPr>
                <w:rFonts w:ascii="宋体" w:hAnsi="宋体" w:eastAsia="宋体" w:cs="宋体"/>
                <w:kern w:val="2"/>
                <w:sz w:val="21"/>
                <w:szCs w:val="22"/>
                <w:lang w:val="en-US" w:eastAsia="zh-CN" w:bidi="ar-SA"/>
              </w:rPr>
              <w:t>☑方案一：按第一个信封（商务及技术文件）评审得分由高到低的 顺序选取前 3 名（若不足 3 名，则选取相应数量），对其第二个信封（报 价文件）的评标价作算术平均（根据第二章“投标人须知”第 5.2.4 项 规定在开标现场被宣布为不进入评标基准价计算的投标报价除外），将 该平均值作为评标价平均值；</w:t>
            </w:r>
          </w:p>
          <w:p>
            <w:pPr>
              <w:widowControl w:val="0"/>
              <w:jc w:val="both"/>
              <w:rPr>
                <w:rFonts w:ascii="宋体" w:hAnsi="宋体" w:eastAsia="宋体" w:cs="宋体"/>
                <w:kern w:val="2"/>
                <w:sz w:val="21"/>
                <w:szCs w:val="22"/>
                <w:lang w:val="en-US" w:eastAsia="zh-CN" w:bidi="ar-SA"/>
              </w:rPr>
            </w:pPr>
            <w:r>
              <w:rPr>
                <w:rFonts w:ascii="宋体" w:hAnsi="宋体" w:eastAsia="宋体" w:cs="宋体"/>
                <w:kern w:val="2"/>
                <w:sz w:val="21"/>
                <w:szCs w:val="22"/>
                <w:lang w:val="en-US" w:eastAsia="zh-CN" w:bidi="ar-SA"/>
              </w:rPr>
              <w:t>□方案二：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widowControl w:val="0"/>
              <w:jc w:val="both"/>
              <w:rPr>
                <w:rFonts w:ascii="宋体" w:hAnsi="宋体" w:eastAsia="宋体" w:cs="宋体"/>
                <w:kern w:val="2"/>
                <w:sz w:val="21"/>
                <w:szCs w:val="22"/>
                <w:lang w:val="en-US" w:eastAsia="zh-CN" w:bidi="ar-SA"/>
              </w:rPr>
            </w:pPr>
          </w:p>
          <w:bookmarkEnd w:id="93"/>
          <w:p>
            <w:pPr>
              <w:widowControl w:val="0"/>
              <w:spacing w:line="360" w:lineRule="atLeast"/>
              <w:jc w:val="left"/>
              <w:rPr>
                <w:rFonts w:hint="eastAsia" w:ascii="Times New Roman" w:hAnsi="Times New Roman" w:eastAsia="黑体"/>
                <w:color w:val="000080"/>
                <w:kern w:val="2"/>
                <w:sz w:val="20"/>
                <w:szCs w:val="21"/>
                <w:highlight w:val="white"/>
                <w:lang w:val="en-US" w:eastAsia="zh-CN" w:bidi="ar-SA"/>
              </w:rPr>
            </w:pPr>
          </w:p>
          <w:p>
            <w:pPr>
              <w:widowControl w:val="0"/>
              <w:spacing w:line="360" w:lineRule="atLeast"/>
              <w:jc w:val="left"/>
              <w:rPr>
                <w:rFonts w:ascii="Times New Roman" w:hAnsi="Times New Roman" w:eastAsia="黑体"/>
                <w:color w:val="000000"/>
                <w:kern w:val="2"/>
                <w:sz w:val="21"/>
                <w:szCs w:val="21"/>
                <w:lang w:val="en-US" w:eastAsia="zh-CN" w:bidi="ar-SA"/>
              </w:rPr>
            </w:pPr>
            <w:r>
              <w:rPr>
                <w:rFonts w:ascii="Times New Roman" w:hAnsi="Times New Roman" w:eastAsia="黑体"/>
                <w:color w:val="000000"/>
                <w:kern w:val="2"/>
                <w:sz w:val="21"/>
                <w:szCs w:val="21"/>
                <w:highlight w:val="white"/>
                <w:lang w:val="en-US" w:eastAsia="zh-CN" w:bidi="ar-SA"/>
              </w:rPr>
              <w:t>(3)评标基准价的确定:</w:t>
            </w:r>
          </w:p>
          <w:p>
            <w:pPr>
              <w:widowControl w:val="0"/>
              <w:spacing w:line="360" w:lineRule="atLeast"/>
              <w:jc w:val="left"/>
              <w:rPr>
                <w:rFonts w:hint="eastAsia" w:ascii="Times New Roman" w:hAnsi="Times New Roman" w:eastAsia="黑体"/>
                <w:color w:val="000000"/>
                <w:kern w:val="2"/>
                <w:sz w:val="21"/>
                <w:szCs w:val="21"/>
                <w:highlight w:val="red"/>
                <w:lang w:val="en-US" w:eastAsia="zh-CN" w:bidi="ar-SA"/>
              </w:rPr>
            </w:pPr>
            <w:bookmarkStart w:id="94" w:name="EBafb35252eca845389af89473b8ca1aef"/>
            <w:r>
              <w:rPr>
                <w:rFonts w:hint="eastAsia" w:ascii="Times New Roman" w:hAnsi="Times New Roman" w:eastAsia="黑体"/>
                <w:color w:val="000080"/>
                <w:kern w:val="2"/>
                <w:sz w:val="20"/>
                <w:szCs w:val="21"/>
                <w:highlight w:val="white"/>
                <w:lang w:val="en-US" w:eastAsia="zh-CN" w:bidi="ar-SA"/>
              </w:rPr>
              <w:t>评标基准价=（最高投标限价×0.5+评标价平均值×0.5） ×（1-下浮系数）</w:t>
            </w:r>
            <w:bookmarkEnd w:id="94"/>
          </w:p>
          <w:p>
            <w:pPr>
              <w:widowControl w:val="0"/>
              <w:spacing w:line="360" w:lineRule="atLeast"/>
              <w:jc w:val="left"/>
              <w:rPr>
                <w:rFonts w:ascii="Times New Roman" w:hAnsi="Times New Roman" w:eastAsia="黑体"/>
                <w:color w:val="000000"/>
                <w:kern w:val="2"/>
                <w:sz w:val="21"/>
                <w:szCs w:val="21"/>
                <w:lang w:val="en-US" w:eastAsia="zh-CN" w:bidi="ar-SA"/>
              </w:rPr>
            </w:pPr>
            <w:r>
              <w:rPr>
                <w:rFonts w:ascii="Times New Roman" w:hAnsi="Times New Roman" w:eastAsia="黑体"/>
                <w:color w:val="000000"/>
                <w:kern w:val="2"/>
                <w:sz w:val="21"/>
                <w:szCs w:val="21"/>
                <w:highlight w:val="white"/>
                <w:lang w:val="en-US" w:eastAsia="zh-CN" w:bidi="ar-SA"/>
              </w:rPr>
              <w:t>下浮系数将从1%~5%中选取5个数，步距不小于0.5%，设置等差数列，并在开标时随机抽取。</w:t>
            </w:r>
          </w:p>
          <w:p>
            <w:pPr>
              <w:widowControl w:val="0"/>
              <w:spacing w:line="360" w:lineRule="atLeast"/>
              <w:jc w:val="left"/>
              <w:rPr>
                <w:rFonts w:ascii="Times New Roman" w:hAnsi="Times New Roman" w:eastAsia="黑体"/>
                <w:color w:val="000000"/>
                <w:kern w:val="2"/>
                <w:sz w:val="21"/>
                <w:szCs w:val="21"/>
                <w:lang w:val="en-US" w:eastAsia="zh-CN" w:bidi="ar-SA"/>
              </w:rPr>
            </w:pPr>
            <w:r>
              <w:rPr>
                <w:rFonts w:ascii="Times New Roman" w:hAnsi="Times New Roman" w:eastAsia="黑体"/>
                <w:color w:val="000000"/>
                <w:kern w:val="2"/>
                <w:sz w:val="21"/>
                <w:szCs w:val="21"/>
                <w:highlight w:val="white"/>
                <w:lang w:val="en-US" w:eastAsia="zh-CN" w:bidi="ar-SA"/>
              </w:rPr>
              <w:t>如果投标人认为某一标段的评标基准价计算有误， 有权在开标现场提出，经当场核实确认之后，可重新宣布评标基准价。</w:t>
            </w:r>
          </w:p>
          <w:p>
            <w:pPr>
              <w:widowControl w:val="0"/>
              <w:spacing w:line="340" w:lineRule="atLeast"/>
              <w:jc w:val="both"/>
              <w:rPr>
                <w:rFonts w:ascii="Times New Roman" w:hAnsi="Times New Roman" w:eastAsia="黑体"/>
                <w:color w:val="000000"/>
                <w:kern w:val="2"/>
                <w:sz w:val="21"/>
                <w:szCs w:val="21"/>
                <w:lang w:val="en-US" w:eastAsia="zh-CN" w:bidi="ar-SA"/>
              </w:rPr>
            </w:pPr>
            <w:r>
              <w:rPr>
                <w:rFonts w:ascii="Times New Roman" w:hAnsi="Times New Roman" w:eastAsia="黑体"/>
                <w:color w:val="000000"/>
                <w:kern w:val="2"/>
                <w:sz w:val="21"/>
                <w:szCs w:val="21"/>
                <w:highlight w:val="white"/>
                <w:lang w:val="en-US" w:eastAsia="zh-CN" w:bidi="ar-SA"/>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64" w:type="dxa"/>
            <w:tcBorders>
              <w:top w:val="single" w:color="auto" w:sz="4" w:space="0"/>
              <w:right w:val="single" w:color="auto" w:sz="4" w:space="0"/>
            </w:tcBorders>
            <w:noWrap w:val="0"/>
            <w:vAlign w:val="center"/>
          </w:tcPr>
          <w:p>
            <w:pPr>
              <w:widowControl w:val="0"/>
              <w:spacing w:line="340" w:lineRule="atLeast"/>
              <w:jc w:val="center"/>
              <w:rPr>
                <w:rFonts w:ascii="Times New Roman" w:hAnsi="Times New Roman"/>
                <w:color w:val="000000"/>
                <w:kern w:val="2"/>
                <w:sz w:val="21"/>
                <w:szCs w:val="21"/>
                <w:lang w:val="en-US" w:eastAsia="zh-CN" w:bidi="ar-SA"/>
              </w:rPr>
            </w:pPr>
            <w:r>
              <w:rPr>
                <w:rFonts w:ascii="Times New Roman" w:hAnsi="Times New Roman"/>
                <w:color w:val="000000"/>
                <w:kern w:val="2"/>
                <w:sz w:val="21"/>
                <w:szCs w:val="21"/>
                <w:highlight w:val="white"/>
                <w:lang w:val="en-US" w:eastAsia="zh-CN" w:bidi="ar-SA"/>
              </w:rPr>
              <w:t>2.2.3</w:t>
            </w:r>
          </w:p>
        </w:tc>
        <w:tc>
          <w:tcPr>
            <w:tcW w:w="1512" w:type="dxa"/>
            <w:tcBorders>
              <w:top w:val="single" w:color="auto" w:sz="4" w:space="0"/>
              <w:right w:val="single" w:color="auto" w:sz="4" w:space="0"/>
            </w:tcBorders>
            <w:noWrap w:val="0"/>
            <w:vAlign w:val="center"/>
          </w:tcPr>
          <w:p>
            <w:pPr>
              <w:widowControl w:val="0"/>
              <w:spacing w:line="360" w:lineRule="exact"/>
              <w:jc w:val="center"/>
              <w:rPr>
                <w:rFonts w:ascii="Times New Roman" w:hAnsi="Times New Roman"/>
                <w:color w:val="000000"/>
                <w:kern w:val="2"/>
                <w:sz w:val="21"/>
                <w:szCs w:val="21"/>
                <w:lang w:val="en-US" w:eastAsia="zh-CN" w:bidi="ar-SA"/>
              </w:rPr>
            </w:pPr>
            <w:r>
              <w:rPr>
                <w:rFonts w:ascii="Times New Roman" w:hAnsi="Times New Roman"/>
                <w:color w:val="000000"/>
                <w:kern w:val="2"/>
                <w:sz w:val="21"/>
                <w:szCs w:val="21"/>
                <w:highlight w:val="white"/>
                <w:lang w:val="en-US" w:eastAsia="zh-CN" w:bidi="ar-SA"/>
              </w:rPr>
              <w:t>评标价的偏差率计算公式</w:t>
            </w:r>
          </w:p>
        </w:tc>
        <w:tc>
          <w:tcPr>
            <w:tcW w:w="6585" w:type="dxa"/>
            <w:tcBorders>
              <w:top w:val="single" w:color="auto" w:sz="4" w:space="0"/>
              <w:left w:val="single" w:color="auto" w:sz="4" w:space="0"/>
              <w:right w:val="single" w:color="auto" w:sz="4" w:space="0"/>
            </w:tcBorders>
            <w:noWrap w:val="0"/>
            <w:vAlign w:val="center"/>
          </w:tcPr>
          <w:p>
            <w:pPr>
              <w:widowControl w:val="0"/>
              <w:spacing w:line="340" w:lineRule="atLeast"/>
              <w:ind w:firstLine="420" w:firstLineChars="200"/>
              <w:jc w:val="both"/>
              <w:rPr>
                <w:rFonts w:ascii="Times New Roman" w:hAnsi="Times New Roman" w:eastAsia="黑体"/>
                <w:b/>
                <w:color w:val="000000"/>
                <w:kern w:val="2"/>
                <w:sz w:val="21"/>
                <w:szCs w:val="21"/>
                <w:lang w:val="en-US" w:eastAsia="zh-CN" w:bidi="ar-SA"/>
              </w:rPr>
            </w:pPr>
            <w:r>
              <w:rPr>
                <w:rFonts w:ascii="Times New Roman" w:hAnsi="Times New Roman" w:eastAsia="黑体"/>
                <w:color w:val="000000"/>
                <w:kern w:val="2"/>
                <w:sz w:val="21"/>
                <w:szCs w:val="21"/>
                <w:highlight w:val="white"/>
                <w:lang w:val="en-US" w:eastAsia="zh-CN" w:bidi="ar-SA"/>
              </w:rPr>
              <w:t>偏差率=100% ×（投标人评标价－评标基准价）/评标基准价</w:t>
            </w:r>
          </w:p>
        </w:tc>
      </w:tr>
    </w:tbl>
    <w:p>
      <w:pPr>
        <w:ind w:right="1526"/>
        <w:rPr>
          <w:rFonts w:ascii="Times New Roman" w:hAnsi="Times New Roman"/>
          <w:color w:val="000000"/>
          <w:szCs w:val="24"/>
          <w:highlight w:val="red"/>
        </w:rPr>
      </w:pPr>
      <w:bookmarkStart w:id="95" w:name="EBf10eba42b5014ed2b1d69ec9ca4bdb7c"/>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514"/>
        <w:gridCol w:w="514"/>
        <w:gridCol w:w="695"/>
        <w:gridCol w:w="1529"/>
        <w:gridCol w:w="481"/>
        <w:gridCol w:w="3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条款号</w:t>
            </w:r>
          </w:p>
        </w:tc>
        <w:tc>
          <w:tcPr>
            <w:tcW w:w="3733" w:type="dxa"/>
            <w:gridSpan w:val="5"/>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评审因素</w:t>
            </w:r>
          </w:p>
        </w:tc>
        <w:tc>
          <w:tcPr>
            <w:tcW w:w="3975" w:type="dxa"/>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1028" w:type="dxa"/>
            <w:gridSpan w:val="2"/>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评分因素</w:t>
            </w:r>
          </w:p>
        </w:tc>
        <w:tc>
          <w:tcPr>
            <w:tcW w:w="695"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评分因素</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权重分值</w:t>
            </w:r>
          </w:p>
        </w:tc>
        <w:tc>
          <w:tcPr>
            <w:tcW w:w="1529"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各评分因素细分项</w:t>
            </w:r>
          </w:p>
        </w:tc>
        <w:tc>
          <w:tcPr>
            <w:tcW w:w="481"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分值</w:t>
            </w:r>
          </w:p>
        </w:tc>
        <w:tc>
          <w:tcPr>
            <w:tcW w:w="3975" w:type="dxa"/>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2.2.4（1）</w:t>
            </w:r>
          </w:p>
        </w:tc>
        <w:tc>
          <w:tcPr>
            <w:tcW w:w="1028" w:type="dxa"/>
            <w:gridSpan w:val="2"/>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技术建议书</w:t>
            </w:r>
          </w:p>
        </w:tc>
        <w:tc>
          <w:tcPr>
            <w:tcW w:w="695" w:type="dxa"/>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40.0分</w:t>
            </w:r>
          </w:p>
        </w:tc>
        <w:tc>
          <w:tcPr>
            <w:tcW w:w="1529"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对招标项目的理解和总体设计思路</w:t>
            </w:r>
          </w:p>
        </w:tc>
        <w:tc>
          <w:tcPr>
            <w:tcW w:w="481"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5分</w:t>
            </w:r>
          </w:p>
        </w:tc>
        <w:tc>
          <w:tcPr>
            <w:tcW w:w="3975"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满足工程基本要求，得  4分；切实可行且合理科学的，酌情加分，本项最高得 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1028" w:type="dxa"/>
            <w:gridSpan w:val="2"/>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695" w:type="dxa"/>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1529"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招标项目勘察设计的特点、关键技术问题的认识及其对策措施</w:t>
            </w:r>
          </w:p>
        </w:tc>
        <w:tc>
          <w:tcPr>
            <w:tcW w:w="481"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12分</w:t>
            </w:r>
          </w:p>
        </w:tc>
        <w:tc>
          <w:tcPr>
            <w:tcW w:w="3975"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满足工程基本要求，得  9.6分；切实可行且合理科学的，酌情加分，本项最高得  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1028" w:type="dxa"/>
            <w:gridSpan w:val="2"/>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695" w:type="dxa"/>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1529"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对前一阶段工作技术结论及技术方案的不同看法及建议</w:t>
            </w:r>
          </w:p>
        </w:tc>
        <w:tc>
          <w:tcPr>
            <w:tcW w:w="481"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8分</w:t>
            </w:r>
          </w:p>
        </w:tc>
        <w:tc>
          <w:tcPr>
            <w:tcW w:w="3975"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满足工程基本要求，得  6.4分；切实可行且合理科学的，酌情加分，本项最高得  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1028" w:type="dxa"/>
            <w:gridSpan w:val="2"/>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695" w:type="dxa"/>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1529"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勘察设计工作量及计划安排</w:t>
            </w:r>
          </w:p>
        </w:tc>
        <w:tc>
          <w:tcPr>
            <w:tcW w:w="481"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5分</w:t>
            </w:r>
          </w:p>
        </w:tc>
        <w:tc>
          <w:tcPr>
            <w:tcW w:w="3975"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满足工程基本要求，得  4分；切实可行且合理科学的，酌情加分，本项最高得  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1028" w:type="dxa"/>
            <w:gridSpan w:val="2"/>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695" w:type="dxa"/>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1529"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勘察设计的质量保证措施、进度保证措施、安全保证措施</w:t>
            </w:r>
          </w:p>
        </w:tc>
        <w:tc>
          <w:tcPr>
            <w:tcW w:w="481"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3分</w:t>
            </w:r>
          </w:p>
        </w:tc>
        <w:tc>
          <w:tcPr>
            <w:tcW w:w="3975"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满足工程基本要求，得  2.4分；切实可行且合理科学的，酌情加分，本项最高得  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1028" w:type="dxa"/>
            <w:gridSpan w:val="2"/>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695" w:type="dxa"/>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1529"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后续服务的安排及保证措施</w:t>
            </w:r>
          </w:p>
        </w:tc>
        <w:tc>
          <w:tcPr>
            <w:tcW w:w="481"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3分</w:t>
            </w:r>
          </w:p>
        </w:tc>
        <w:tc>
          <w:tcPr>
            <w:tcW w:w="3975"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满足工程基本要求，得  2.4分；切实可行且合理科学的，酌情加分，本项最高得  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1028" w:type="dxa"/>
            <w:gridSpan w:val="2"/>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695" w:type="dxa"/>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1529"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合理化建议</w:t>
            </w:r>
          </w:p>
        </w:tc>
        <w:tc>
          <w:tcPr>
            <w:tcW w:w="481"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4分</w:t>
            </w:r>
          </w:p>
        </w:tc>
        <w:tc>
          <w:tcPr>
            <w:tcW w:w="3975"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满足工程基本要求，得3.2分；切实可行且合理科学的，酌情加分，本项最高得4分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2.2.4（2）</w:t>
            </w:r>
          </w:p>
        </w:tc>
        <w:tc>
          <w:tcPr>
            <w:tcW w:w="1028" w:type="dxa"/>
            <w:gridSpan w:val="2"/>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主要人员</w:t>
            </w:r>
          </w:p>
        </w:tc>
        <w:tc>
          <w:tcPr>
            <w:tcW w:w="695"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20.0分</w:t>
            </w:r>
          </w:p>
        </w:tc>
        <w:tc>
          <w:tcPr>
            <w:tcW w:w="1529"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项目负责人任职资格与业绩</w:t>
            </w:r>
          </w:p>
        </w:tc>
        <w:tc>
          <w:tcPr>
            <w:tcW w:w="481"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20分</w:t>
            </w:r>
          </w:p>
        </w:tc>
        <w:tc>
          <w:tcPr>
            <w:tcW w:w="3975"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1、满足附录4资格审查条件(项目负责人最低要求)，得16分；</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2、在此基础上，最近5年（递交投标文件截止之日前一日回溯5年），每增加1个总建筑面积不少于 20000平方米的房建工程施工图设计项目设计负责人（或房建分项设计负责人）任职业绩，加2分，加满4分止。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2.2.4（3）</w:t>
            </w:r>
          </w:p>
        </w:tc>
        <w:tc>
          <w:tcPr>
            <w:tcW w:w="1028" w:type="dxa"/>
            <w:gridSpan w:val="2"/>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评标价</w:t>
            </w:r>
          </w:p>
        </w:tc>
        <w:tc>
          <w:tcPr>
            <w:tcW w:w="695"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10.0分</w:t>
            </w:r>
          </w:p>
        </w:tc>
        <w:tc>
          <w:tcPr>
            <w:tcW w:w="5985" w:type="dxa"/>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评标价得分计算公式示例：</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（1）如果投标人的评标价＞评标基准价，则评标价得分＝F－偏差率×100× E1；</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（2）如果投标人的评标价≤评标基准价，则评标价得分＝F＋偏差率× 100× E2。</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其中：F是评标价所占的权重分值，E1是评标价每高于评标基准价一个百分点的扣分值，E2是评标价每低于评标基准价一个百分点的扣分值。</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E1=0.2, E2=0.1</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(3)评标基准价的确定:</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评标基准价=（最高投标限价×0.5+评标价平均值×0.5） ×（1-下浮系数）</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下浮系数将从1%、1.5%、2%、2.5%、3%五值中在开标时随机抽取。评标价最低得分为0分。</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（4）评标价平均值的计算：本次招标适用方案一。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2.2.4（4）</w:t>
            </w:r>
          </w:p>
        </w:tc>
        <w:tc>
          <w:tcPr>
            <w:tcW w:w="514" w:type="dxa"/>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其他因素</w:t>
            </w:r>
          </w:p>
        </w:tc>
        <w:tc>
          <w:tcPr>
            <w:tcW w:w="514"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业绩</w:t>
            </w:r>
          </w:p>
        </w:tc>
        <w:tc>
          <w:tcPr>
            <w:tcW w:w="695"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25分</w:t>
            </w:r>
          </w:p>
        </w:tc>
        <w:tc>
          <w:tcPr>
            <w:tcW w:w="5985" w:type="dxa"/>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1、满足附录2资格审查条件（业绩最低要求）得20分；</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在此基础上，最近5年（递交投标文件截止之日前一日回溯5年），增加第1个具有满足总建筑面积不少于20000平方米的房建工程施工图勘察设计业绩的加2分，增加第2个具有满足总建筑面积不少于20000平方米的房建工程施工图勘察设计业绩的加1.5分，增加第3个具有满足总建筑面积不少于20000平方米的房建工程施工图勘察设计业绩的加1.5分，加满5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514" w:type="dxa"/>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514"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履约信誉</w:t>
            </w:r>
          </w:p>
        </w:tc>
        <w:tc>
          <w:tcPr>
            <w:tcW w:w="695" w:type="dxa"/>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5分</w:t>
            </w:r>
          </w:p>
        </w:tc>
        <w:tc>
          <w:tcPr>
            <w:tcW w:w="5985" w:type="dxa"/>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spacing w:val="0"/>
                <w:kern w:val="2"/>
                <w:sz w:val="21"/>
                <w:szCs w:val="22"/>
                <w:lang w:val="en-US" w:eastAsia="zh-CN" w:bidi="ar-SA"/>
              </w:rPr>
            </w:pPr>
            <w:r>
              <w:rPr>
                <w:rFonts w:ascii="宋体" w:hAnsi="宋体" w:eastAsia="宋体" w:cs="宋体"/>
                <w:b w:val="0"/>
                <w:spacing w:val="301"/>
                <w:kern w:val="2"/>
                <w:sz w:val="21"/>
                <w:szCs w:val="22"/>
                <w:lang w:val="en-US" w:eastAsia="zh-CN" w:bidi="ar-SA"/>
              </w:rPr>
              <w:t>信用评价（5分）</w:t>
            </w:r>
            <w:r>
              <w:rPr>
                <w:rFonts w:ascii="宋体" w:hAnsi="宋体" w:eastAsia="宋体" w:cs="宋体"/>
                <w:b w:val="0"/>
                <w:spacing w:val="0"/>
                <w:kern w:val="2"/>
                <w:sz w:val="21"/>
                <w:szCs w:val="22"/>
                <w:lang w:val="en-US" w:eastAsia="zh-CN" w:bidi="ar-SA"/>
              </w:rPr>
              <w:t>：</w:t>
            </w:r>
          </w:p>
          <w:p>
            <w:pPr>
              <w:widowControl w:val="0"/>
              <w:jc w:val="center"/>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年度</w:t>
            </w:r>
          </w:p>
          <w:p>
            <w:pPr>
              <w:widowControl w:val="0"/>
              <w:jc w:val="center"/>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信用等级 最近第一年/分</w:t>
            </w:r>
            <w:r>
              <w:rPr>
                <w:rFonts w:ascii="宋体" w:hAnsi="宋体" w:eastAsia="宋体" w:cs="宋体"/>
                <w:b w:val="0"/>
                <w:spacing w:val="0"/>
                <w:kern w:val="2"/>
                <w:sz w:val="21"/>
                <w:szCs w:val="22"/>
                <w:lang w:val="en-US" w:eastAsia="zh-CN" w:bidi="ar-SA"/>
              </w:rPr>
              <w:tab/>
            </w:r>
            <w:r>
              <w:rPr>
                <w:rFonts w:ascii="宋体" w:hAnsi="宋体" w:eastAsia="宋体" w:cs="宋体"/>
                <w:b w:val="0"/>
                <w:spacing w:val="0"/>
                <w:kern w:val="2"/>
                <w:sz w:val="21"/>
                <w:szCs w:val="22"/>
                <w:lang w:val="en-US" w:eastAsia="zh-CN" w:bidi="ar-SA"/>
              </w:rPr>
              <w:t>最近第二年/分</w:t>
            </w:r>
            <w:r>
              <w:rPr>
                <w:rFonts w:ascii="宋体" w:hAnsi="宋体" w:eastAsia="宋体" w:cs="宋体"/>
                <w:b w:val="0"/>
                <w:spacing w:val="0"/>
                <w:kern w:val="2"/>
                <w:sz w:val="21"/>
                <w:szCs w:val="22"/>
                <w:lang w:val="en-US" w:eastAsia="zh-CN" w:bidi="ar-SA"/>
              </w:rPr>
              <w:tab/>
            </w:r>
            <w:r>
              <w:rPr>
                <w:rFonts w:ascii="宋体" w:hAnsi="宋体" w:eastAsia="宋体" w:cs="宋体"/>
                <w:b w:val="0"/>
                <w:spacing w:val="0"/>
                <w:kern w:val="2"/>
                <w:sz w:val="21"/>
                <w:szCs w:val="22"/>
                <w:lang w:val="en-US" w:eastAsia="zh-CN" w:bidi="ar-SA"/>
              </w:rPr>
              <w:t>最近第三年/分</w:t>
            </w:r>
          </w:p>
          <w:p>
            <w:pPr>
              <w:widowControl w:val="0"/>
              <w:ind w:firstLine="210" w:firstLineChars="100"/>
              <w:jc w:val="both"/>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AA</w:t>
            </w:r>
            <w:r>
              <w:rPr>
                <w:rFonts w:ascii="宋体" w:hAnsi="宋体" w:eastAsia="宋体" w:cs="宋体"/>
                <w:b w:val="0"/>
                <w:spacing w:val="0"/>
                <w:kern w:val="2"/>
                <w:sz w:val="21"/>
                <w:szCs w:val="22"/>
                <w:lang w:val="en-US" w:eastAsia="zh-CN" w:bidi="ar-SA"/>
              </w:rPr>
              <w:tab/>
            </w:r>
            <w:r>
              <w:rPr>
                <w:rFonts w:ascii="宋体" w:hAnsi="宋体" w:eastAsia="宋体" w:cs="宋体"/>
                <w:b w:val="0"/>
                <w:spacing w:val="0"/>
                <w:kern w:val="2"/>
                <w:sz w:val="21"/>
                <w:szCs w:val="22"/>
                <w:lang w:val="en-US" w:eastAsia="zh-CN" w:bidi="ar-SA"/>
              </w:rPr>
              <w:t xml:space="preserve">    2.5</w:t>
            </w:r>
            <w:r>
              <w:rPr>
                <w:rFonts w:ascii="宋体" w:hAnsi="宋体" w:eastAsia="宋体" w:cs="宋体"/>
                <w:b w:val="0"/>
                <w:spacing w:val="0"/>
                <w:kern w:val="2"/>
                <w:sz w:val="21"/>
                <w:szCs w:val="22"/>
                <w:lang w:val="en-US" w:eastAsia="zh-CN" w:bidi="ar-SA"/>
              </w:rPr>
              <w:tab/>
            </w:r>
            <w:r>
              <w:rPr>
                <w:rFonts w:ascii="宋体" w:hAnsi="宋体" w:eastAsia="宋体" w:cs="宋体"/>
                <w:b w:val="0"/>
                <w:spacing w:val="0"/>
                <w:kern w:val="2"/>
                <w:sz w:val="21"/>
                <w:szCs w:val="22"/>
                <w:lang w:val="en-US" w:eastAsia="zh-CN" w:bidi="ar-SA"/>
              </w:rPr>
              <w:t xml:space="preserve">        </w:t>
            </w:r>
            <w:r>
              <w:rPr>
                <w:rFonts w:hint="eastAsia" w:ascii="宋体" w:hAnsi="宋体" w:cs="宋体"/>
                <w:b w:val="0"/>
                <w:spacing w:val="0"/>
                <w:kern w:val="2"/>
                <w:sz w:val="21"/>
                <w:szCs w:val="22"/>
                <w:lang w:val="en-US" w:eastAsia="zh-CN" w:bidi="ar-SA"/>
              </w:rPr>
              <w:t xml:space="preserve">     </w:t>
            </w:r>
            <w:r>
              <w:rPr>
                <w:rFonts w:ascii="宋体" w:hAnsi="宋体" w:eastAsia="宋体" w:cs="宋体"/>
                <w:b w:val="0"/>
                <w:spacing w:val="0"/>
                <w:kern w:val="2"/>
                <w:sz w:val="21"/>
                <w:szCs w:val="22"/>
                <w:lang w:val="en-US" w:eastAsia="zh-CN" w:bidi="ar-SA"/>
              </w:rPr>
              <w:t xml:space="preserve"> 1.5</w:t>
            </w:r>
            <w:r>
              <w:rPr>
                <w:rFonts w:ascii="宋体" w:hAnsi="宋体" w:eastAsia="宋体" w:cs="宋体"/>
                <w:b w:val="0"/>
                <w:spacing w:val="0"/>
                <w:kern w:val="2"/>
                <w:sz w:val="21"/>
                <w:szCs w:val="22"/>
                <w:lang w:val="en-US" w:eastAsia="zh-CN" w:bidi="ar-SA"/>
              </w:rPr>
              <w:tab/>
            </w:r>
            <w:r>
              <w:rPr>
                <w:rFonts w:ascii="宋体" w:hAnsi="宋体" w:eastAsia="宋体" w:cs="宋体"/>
                <w:b w:val="0"/>
                <w:spacing w:val="0"/>
                <w:kern w:val="2"/>
                <w:sz w:val="21"/>
                <w:szCs w:val="22"/>
                <w:lang w:val="en-US" w:eastAsia="zh-CN" w:bidi="ar-SA"/>
              </w:rPr>
              <w:t xml:space="preserve">       </w:t>
            </w:r>
            <w:r>
              <w:rPr>
                <w:rFonts w:hint="eastAsia" w:ascii="宋体" w:hAnsi="宋体" w:cs="宋体"/>
                <w:b w:val="0"/>
                <w:spacing w:val="0"/>
                <w:kern w:val="2"/>
                <w:sz w:val="21"/>
                <w:szCs w:val="22"/>
                <w:lang w:val="en-US" w:eastAsia="zh-CN" w:bidi="ar-SA"/>
              </w:rPr>
              <w:t xml:space="preserve">     </w:t>
            </w:r>
            <w:r>
              <w:rPr>
                <w:rFonts w:ascii="宋体" w:hAnsi="宋体" w:eastAsia="宋体" w:cs="宋体"/>
                <w:b w:val="0"/>
                <w:spacing w:val="0"/>
                <w:kern w:val="2"/>
                <w:sz w:val="21"/>
                <w:szCs w:val="22"/>
                <w:lang w:val="en-US" w:eastAsia="zh-CN" w:bidi="ar-SA"/>
              </w:rPr>
              <w:t xml:space="preserve">  </w:t>
            </w:r>
            <w:r>
              <w:rPr>
                <w:rFonts w:hint="eastAsia" w:ascii="宋体" w:hAnsi="宋体" w:cs="宋体"/>
                <w:b w:val="0"/>
                <w:spacing w:val="0"/>
                <w:kern w:val="2"/>
                <w:sz w:val="21"/>
                <w:szCs w:val="22"/>
                <w:lang w:val="en-US" w:eastAsia="zh-CN" w:bidi="ar-SA"/>
              </w:rPr>
              <w:t xml:space="preserve"> </w:t>
            </w:r>
            <w:r>
              <w:rPr>
                <w:rFonts w:ascii="宋体" w:hAnsi="宋体" w:eastAsia="宋体" w:cs="宋体"/>
                <w:b w:val="0"/>
                <w:spacing w:val="0"/>
                <w:kern w:val="2"/>
                <w:sz w:val="21"/>
                <w:szCs w:val="22"/>
                <w:lang w:val="en-US" w:eastAsia="zh-CN" w:bidi="ar-SA"/>
              </w:rPr>
              <w:t xml:space="preserve"> 1   </w:t>
            </w:r>
          </w:p>
          <w:p>
            <w:pPr>
              <w:widowControl w:val="0"/>
              <w:ind w:firstLine="210" w:firstLineChars="100"/>
              <w:jc w:val="both"/>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A</w:t>
            </w:r>
            <w:r>
              <w:rPr>
                <w:rFonts w:ascii="宋体" w:hAnsi="宋体" w:eastAsia="宋体" w:cs="宋体"/>
                <w:b w:val="0"/>
                <w:spacing w:val="0"/>
                <w:kern w:val="2"/>
                <w:sz w:val="21"/>
                <w:szCs w:val="22"/>
                <w:lang w:val="en-US" w:eastAsia="zh-CN" w:bidi="ar-SA"/>
              </w:rPr>
              <w:tab/>
            </w:r>
            <w:r>
              <w:rPr>
                <w:rFonts w:ascii="宋体" w:hAnsi="宋体" w:eastAsia="宋体" w:cs="宋体"/>
                <w:b w:val="0"/>
                <w:spacing w:val="0"/>
                <w:kern w:val="2"/>
                <w:sz w:val="21"/>
                <w:szCs w:val="22"/>
                <w:lang w:val="en-US" w:eastAsia="zh-CN" w:bidi="ar-SA"/>
              </w:rPr>
              <w:t xml:space="preserve">   </w:t>
            </w:r>
            <w:r>
              <w:rPr>
                <w:rFonts w:hint="eastAsia" w:ascii="宋体" w:hAnsi="宋体" w:cs="宋体"/>
                <w:b w:val="0"/>
                <w:spacing w:val="0"/>
                <w:kern w:val="2"/>
                <w:sz w:val="21"/>
                <w:szCs w:val="22"/>
                <w:lang w:val="en-US" w:eastAsia="zh-CN" w:bidi="ar-SA"/>
              </w:rPr>
              <w:t xml:space="preserve"> </w:t>
            </w:r>
            <w:r>
              <w:rPr>
                <w:rFonts w:ascii="宋体" w:hAnsi="宋体" w:eastAsia="宋体" w:cs="宋体"/>
                <w:b w:val="0"/>
                <w:spacing w:val="0"/>
                <w:kern w:val="2"/>
                <w:sz w:val="21"/>
                <w:szCs w:val="22"/>
                <w:lang w:val="en-US" w:eastAsia="zh-CN" w:bidi="ar-SA"/>
              </w:rPr>
              <w:t xml:space="preserve"> </w:t>
            </w:r>
            <w:r>
              <w:rPr>
                <w:rFonts w:hint="eastAsia" w:ascii="宋体" w:hAnsi="宋体" w:cs="宋体"/>
                <w:b w:val="0"/>
                <w:spacing w:val="0"/>
                <w:kern w:val="2"/>
                <w:sz w:val="21"/>
                <w:szCs w:val="22"/>
                <w:lang w:val="en-US" w:eastAsia="zh-CN" w:bidi="ar-SA"/>
              </w:rPr>
              <w:t xml:space="preserve"> </w:t>
            </w:r>
            <w:r>
              <w:rPr>
                <w:rFonts w:ascii="宋体" w:hAnsi="宋体" w:eastAsia="宋体" w:cs="宋体"/>
                <w:b w:val="0"/>
                <w:spacing w:val="0"/>
                <w:kern w:val="2"/>
                <w:sz w:val="21"/>
                <w:szCs w:val="22"/>
                <w:lang w:val="en-US" w:eastAsia="zh-CN" w:bidi="ar-SA"/>
              </w:rPr>
              <w:t>1.75</w:t>
            </w:r>
            <w:r>
              <w:rPr>
                <w:rFonts w:ascii="宋体" w:hAnsi="宋体" w:eastAsia="宋体" w:cs="宋体"/>
                <w:b w:val="0"/>
                <w:spacing w:val="0"/>
                <w:kern w:val="2"/>
                <w:sz w:val="21"/>
                <w:szCs w:val="22"/>
                <w:lang w:val="en-US" w:eastAsia="zh-CN" w:bidi="ar-SA"/>
              </w:rPr>
              <w:tab/>
            </w:r>
            <w:r>
              <w:rPr>
                <w:rFonts w:ascii="宋体" w:hAnsi="宋体" w:eastAsia="宋体" w:cs="宋体"/>
                <w:b w:val="0"/>
                <w:spacing w:val="0"/>
                <w:kern w:val="2"/>
                <w:sz w:val="21"/>
                <w:szCs w:val="22"/>
                <w:lang w:val="en-US" w:eastAsia="zh-CN" w:bidi="ar-SA"/>
              </w:rPr>
              <w:t xml:space="preserve">        </w:t>
            </w:r>
            <w:r>
              <w:rPr>
                <w:rFonts w:hint="eastAsia" w:ascii="宋体" w:hAnsi="宋体" w:cs="宋体"/>
                <w:b w:val="0"/>
                <w:spacing w:val="0"/>
                <w:kern w:val="2"/>
                <w:sz w:val="21"/>
                <w:szCs w:val="22"/>
                <w:lang w:val="en-US" w:eastAsia="zh-CN" w:bidi="ar-SA"/>
              </w:rPr>
              <w:t xml:space="preserve"> </w:t>
            </w:r>
            <w:r>
              <w:rPr>
                <w:rFonts w:ascii="宋体" w:hAnsi="宋体" w:eastAsia="宋体" w:cs="宋体"/>
                <w:b w:val="0"/>
                <w:spacing w:val="0"/>
                <w:kern w:val="2"/>
                <w:sz w:val="21"/>
                <w:szCs w:val="22"/>
                <w:lang w:val="en-US" w:eastAsia="zh-CN" w:bidi="ar-SA"/>
              </w:rPr>
              <w:t xml:space="preserve"> </w:t>
            </w:r>
            <w:r>
              <w:rPr>
                <w:rFonts w:hint="eastAsia" w:ascii="宋体" w:hAnsi="宋体" w:cs="宋体"/>
                <w:b w:val="0"/>
                <w:spacing w:val="0"/>
                <w:kern w:val="2"/>
                <w:sz w:val="21"/>
                <w:szCs w:val="22"/>
                <w:lang w:val="en-US" w:eastAsia="zh-CN" w:bidi="ar-SA"/>
              </w:rPr>
              <w:t xml:space="preserve"> </w:t>
            </w:r>
            <w:r>
              <w:rPr>
                <w:rFonts w:ascii="宋体" w:hAnsi="宋体" w:eastAsia="宋体" w:cs="宋体"/>
                <w:b w:val="0"/>
                <w:spacing w:val="0"/>
                <w:kern w:val="2"/>
                <w:sz w:val="21"/>
                <w:szCs w:val="22"/>
                <w:lang w:val="en-US" w:eastAsia="zh-CN" w:bidi="ar-SA"/>
              </w:rPr>
              <w:t xml:space="preserve">  1.05            </w:t>
            </w:r>
            <w:r>
              <w:rPr>
                <w:rFonts w:hint="eastAsia" w:ascii="宋体" w:hAnsi="宋体" w:cs="宋体"/>
                <w:b w:val="0"/>
                <w:spacing w:val="0"/>
                <w:kern w:val="2"/>
                <w:sz w:val="21"/>
                <w:szCs w:val="22"/>
                <w:lang w:val="en-US" w:eastAsia="zh-CN" w:bidi="ar-SA"/>
              </w:rPr>
              <w:t xml:space="preserve"> </w:t>
            </w:r>
            <w:r>
              <w:rPr>
                <w:rFonts w:ascii="宋体" w:hAnsi="宋体" w:eastAsia="宋体" w:cs="宋体"/>
                <w:b w:val="0"/>
                <w:spacing w:val="0"/>
                <w:kern w:val="2"/>
                <w:sz w:val="21"/>
                <w:szCs w:val="22"/>
                <w:lang w:val="en-US" w:eastAsia="zh-CN" w:bidi="ar-SA"/>
              </w:rPr>
              <w:t xml:space="preserve">     0.7</w:t>
            </w:r>
          </w:p>
          <w:p>
            <w:pPr>
              <w:widowControl w:val="0"/>
              <w:jc w:val="center"/>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B</w:t>
            </w:r>
            <w:r>
              <w:rPr>
                <w:rFonts w:ascii="宋体" w:hAnsi="宋体" w:eastAsia="宋体" w:cs="宋体"/>
                <w:b w:val="0"/>
                <w:spacing w:val="0"/>
                <w:kern w:val="2"/>
                <w:sz w:val="21"/>
                <w:szCs w:val="22"/>
                <w:lang w:val="en-US" w:eastAsia="zh-CN" w:bidi="ar-SA"/>
              </w:rPr>
              <w:tab/>
            </w:r>
            <w:r>
              <w:rPr>
                <w:rFonts w:ascii="宋体" w:hAnsi="宋体" w:eastAsia="宋体" w:cs="宋体"/>
                <w:b w:val="0"/>
                <w:spacing w:val="0"/>
                <w:kern w:val="2"/>
                <w:sz w:val="21"/>
                <w:szCs w:val="22"/>
                <w:lang w:val="en-US" w:eastAsia="zh-CN" w:bidi="ar-SA"/>
              </w:rPr>
              <w:t xml:space="preserve">      0                    0                   0</w:t>
            </w:r>
          </w:p>
          <w:p>
            <w:pPr>
              <w:widowControl w:val="0"/>
              <w:jc w:val="center"/>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C</w:t>
            </w:r>
            <w:r>
              <w:rPr>
                <w:rFonts w:ascii="宋体" w:hAnsi="宋体" w:eastAsia="宋体" w:cs="宋体"/>
                <w:b w:val="0"/>
                <w:spacing w:val="0"/>
                <w:kern w:val="2"/>
                <w:sz w:val="21"/>
                <w:szCs w:val="22"/>
                <w:lang w:val="en-US" w:eastAsia="zh-CN" w:bidi="ar-SA"/>
              </w:rPr>
              <w:tab/>
            </w:r>
            <w:r>
              <w:rPr>
                <w:rFonts w:ascii="宋体" w:hAnsi="宋体" w:eastAsia="宋体" w:cs="宋体"/>
                <w:b w:val="0"/>
                <w:spacing w:val="0"/>
                <w:kern w:val="2"/>
                <w:sz w:val="21"/>
                <w:szCs w:val="22"/>
                <w:lang w:val="en-US" w:eastAsia="zh-CN" w:bidi="ar-SA"/>
              </w:rPr>
              <w:t xml:space="preserve">      0                    0                   0</w:t>
            </w:r>
          </w:p>
          <w:p>
            <w:pPr>
              <w:widowControl w:val="0"/>
              <w:jc w:val="both"/>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注：</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1. 信用评价总分值为5分。</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2.本项目信用等级评价结果以递交投标文件截止之日前一日发布的文件结果为准，若发布的最近一年的信用等级和投标人填报的最近一年信用等级不一致时，以最新一年发布的信用评价文件为准。</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3. 信用等级以湖南省交通运输厅发布的公路工程设计企业信用评价结果为准，企业信用加分分值按湖南省交通运输厅近三年发布的企业信用评价结果进行权值分配，企业近三年均无湖南省交通运输厅发布企业信用等级的，按交通运输部近三年发布的信用等级结果进行权值分配（其中交通运输部发布的信用评价结果为AA级的企业，按照A级计算当年信用评价得分），当年在湖南省发布的公路工程设计企业信用评价结果中无信用评价等级的，其当年的信用评价得分按上一年度发布的公路工程设计企业信用评价结果的信用等级结果进行评分（其中上一年度发布的信用评价结果为AA级的企业，按照A级计算当年信用评价得分）；上一年度发布的公路工程设计企业信用评价结果也没有信用等级结果的，其当年的信用评价得分按0分计。</w:t>
            </w:r>
          </w:p>
        </w:tc>
      </w:tr>
      <w:bookmarkEnd w:id="95"/>
    </w:tbl>
    <w:p>
      <w:pPr>
        <w:keepNext/>
        <w:keepLines/>
        <w:spacing w:before="360" w:after="240" w:line="240" w:lineRule="atLeast"/>
        <w:outlineLvl w:val="1"/>
      </w:pPr>
      <w:r>
        <w:rPr>
          <w:b/>
          <w:sz w:val="27"/>
          <w:szCs w:val="27"/>
          <w:highlight w:val="white"/>
        </w:rPr>
        <w:br w:type="page"/>
      </w:r>
      <w:bookmarkStart w:id="96" w:name="_Toc509993883"/>
      <w:bookmarkStart w:id="97" w:name="_Toc17549191"/>
      <w:bookmarkStart w:id="98" w:name="_Toc234832944"/>
      <w:r>
        <w:rPr>
          <w:rFonts w:ascii="Times New Roman" w:hAnsi="Times New Roman" w:eastAsia="黑体"/>
          <w:bCs/>
          <w:color w:val="000000"/>
          <w:kern w:val="44"/>
          <w:sz w:val="28"/>
          <w:szCs w:val="28"/>
          <w:highlight w:val="white"/>
        </w:rPr>
        <w:t>1. 评标方法</w:t>
      </w:r>
      <w:bookmarkEnd w:id="96"/>
      <w:bookmarkEnd w:id="97"/>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keepNext/>
        <w:keepLines/>
        <w:spacing w:before="360" w:after="240" w:line="240" w:lineRule="atLeast"/>
        <w:outlineLvl w:val="1"/>
        <w:rPr>
          <w:rFonts w:ascii="Times New Roman" w:hAnsi="Times New Roman" w:eastAsia="黑体"/>
          <w:bCs/>
          <w:color w:val="000000"/>
          <w:kern w:val="44"/>
          <w:sz w:val="28"/>
          <w:szCs w:val="28"/>
        </w:rPr>
      </w:pPr>
      <w:bookmarkStart w:id="99" w:name="_Toc17549192"/>
      <w:bookmarkStart w:id="100" w:name="_Toc509993884"/>
      <w:r>
        <w:rPr>
          <w:rFonts w:ascii="Times New Roman" w:hAnsi="Times New Roman" w:eastAsia="黑体"/>
          <w:bCs/>
          <w:color w:val="000000"/>
          <w:kern w:val="44"/>
          <w:sz w:val="28"/>
          <w:szCs w:val="28"/>
          <w:highlight w:val="white"/>
        </w:rPr>
        <w:t>2. 评审标准</w:t>
      </w:r>
      <w:bookmarkEnd w:id="99"/>
      <w:bookmarkEnd w:id="100"/>
    </w:p>
    <w:p>
      <w:pPr>
        <w:keepNext/>
        <w:keepLines/>
        <w:spacing w:before="240" w:after="240" w:line="240" w:lineRule="atLeast"/>
        <w:outlineLvl w:val="2"/>
        <w:rPr>
          <w:rFonts w:ascii="Times New Roman" w:hAnsi="Times New Roman" w:eastAsia="黑体"/>
          <w:bCs/>
          <w:color w:val="000000"/>
          <w:kern w:val="44"/>
          <w:sz w:val="24"/>
          <w:szCs w:val="24"/>
        </w:rPr>
      </w:pPr>
      <w:bookmarkStart w:id="101" w:name="_Toc509993885"/>
      <w:r>
        <w:rPr>
          <w:rFonts w:ascii="Times New Roman" w:hAnsi="Times New Roman" w:eastAsia="黑体"/>
          <w:bCs/>
          <w:color w:val="000000"/>
          <w:kern w:val="44"/>
          <w:sz w:val="24"/>
          <w:szCs w:val="24"/>
          <w:highlight w:val="white"/>
        </w:rPr>
        <w:t>2.1 初步评审标准</w:t>
      </w:r>
      <w:bookmarkEnd w:id="101"/>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2.1.1 形式评审标准：见评标办法前附表。</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2.1.2 资格评审标准：见评标办法前附表。（适用于未进行资格预审的）</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2.1.2 资格评审标准：见资格预审文件第三章“资格审查办法”详细审查标准。（适用于已进行资格预审的）</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2.1.3 响应性评审标准：见评标办法前附表。</w:t>
      </w:r>
    </w:p>
    <w:p>
      <w:pPr>
        <w:keepNext/>
        <w:keepLines/>
        <w:spacing w:before="240" w:after="240" w:line="240" w:lineRule="atLeast"/>
        <w:outlineLvl w:val="2"/>
        <w:rPr>
          <w:rFonts w:ascii="Times New Roman" w:hAnsi="Times New Roman" w:eastAsia="黑体"/>
          <w:bCs/>
          <w:color w:val="000000"/>
          <w:kern w:val="44"/>
          <w:sz w:val="24"/>
          <w:szCs w:val="24"/>
        </w:rPr>
      </w:pPr>
      <w:bookmarkStart w:id="102" w:name="_Toc509993886"/>
      <w:r>
        <w:rPr>
          <w:rFonts w:ascii="Times New Roman" w:hAnsi="Times New Roman" w:eastAsia="黑体"/>
          <w:bCs/>
          <w:color w:val="000000"/>
          <w:kern w:val="44"/>
          <w:sz w:val="24"/>
          <w:szCs w:val="24"/>
          <w:highlight w:val="white"/>
        </w:rPr>
        <w:t>2.2 分值构成与评分标准</w:t>
      </w:r>
      <w:bookmarkEnd w:id="102"/>
    </w:p>
    <w:p>
      <w:pPr>
        <w:tabs>
          <w:tab w:val="left" w:pos="360"/>
        </w:tabs>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 xml:space="preserve">2.2.1 </w:t>
      </w:r>
      <w:r>
        <w:rPr>
          <w:rFonts w:ascii="Times New Roman" w:hAnsi="Times New Roman" w:eastAsia="黑体"/>
          <w:color w:val="000000"/>
          <w:sz w:val="24"/>
          <w:szCs w:val="24"/>
          <w:highlight w:val="white"/>
        </w:rPr>
        <w:t>分值构成</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（1）技术建议书：见评标办法前附表；</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（2）主要人员：见评标办法前附表；</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（3）评标价：见评标办法前附表；</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（4）其他评分因素：见评标办法前附表。</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 xml:space="preserve">2.2.2 </w:t>
      </w:r>
      <w:r>
        <w:rPr>
          <w:rFonts w:ascii="Times New Roman" w:hAnsi="Times New Roman" w:eastAsia="黑体"/>
          <w:color w:val="000000"/>
          <w:sz w:val="24"/>
          <w:szCs w:val="24"/>
          <w:highlight w:val="white"/>
        </w:rPr>
        <w:t>评标基准价计算</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评标基准价计算方法：见评标办法前附表。</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 xml:space="preserve">2.2.3 </w:t>
      </w:r>
      <w:r>
        <w:rPr>
          <w:rFonts w:ascii="Times New Roman" w:hAnsi="Times New Roman" w:eastAsia="黑体"/>
          <w:color w:val="000000"/>
          <w:sz w:val="24"/>
          <w:szCs w:val="24"/>
          <w:highlight w:val="white"/>
        </w:rPr>
        <w:t>评标价的偏差率计算</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评标价的偏差率计算公式：见评标办法前附表。</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 xml:space="preserve">2.2.4 </w:t>
      </w:r>
      <w:r>
        <w:rPr>
          <w:rFonts w:ascii="Times New Roman" w:hAnsi="Times New Roman" w:eastAsia="黑体"/>
          <w:color w:val="000000"/>
          <w:sz w:val="24"/>
          <w:szCs w:val="24"/>
          <w:highlight w:val="white"/>
        </w:rPr>
        <w:t>评分标准</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（1）技术建议书评分标准：见评标办法前附表；</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（2）主要人员评分标准：见评标办法前附表；</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（3）评标价评分标准：见评标办法前附表；</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（4）其他因素评分标准：见评标办法前附表。</w:t>
      </w:r>
    </w:p>
    <w:p>
      <w:pPr>
        <w:keepNext/>
        <w:keepLines/>
        <w:spacing w:before="360" w:after="240" w:line="240" w:lineRule="atLeast"/>
        <w:outlineLvl w:val="1"/>
        <w:rPr>
          <w:rFonts w:ascii="Times New Roman" w:hAnsi="Times New Roman" w:eastAsia="黑体"/>
          <w:bCs/>
          <w:color w:val="000000"/>
          <w:kern w:val="44"/>
          <w:sz w:val="28"/>
          <w:szCs w:val="28"/>
        </w:rPr>
      </w:pPr>
      <w:bookmarkStart w:id="103" w:name="_Toc17549193"/>
      <w:bookmarkStart w:id="104" w:name="_Toc509993887"/>
      <w:r>
        <w:rPr>
          <w:rFonts w:ascii="Times New Roman" w:hAnsi="Times New Roman" w:eastAsia="黑体"/>
          <w:bCs/>
          <w:color w:val="000000"/>
          <w:kern w:val="44"/>
          <w:sz w:val="28"/>
          <w:szCs w:val="28"/>
          <w:highlight w:val="white"/>
        </w:rPr>
        <w:t>3. 评标程序</w:t>
      </w:r>
      <w:bookmarkEnd w:id="103"/>
      <w:bookmarkEnd w:id="104"/>
    </w:p>
    <w:p>
      <w:pPr>
        <w:keepNext/>
        <w:keepLines/>
        <w:spacing w:before="240" w:after="240" w:line="240" w:lineRule="atLeast"/>
        <w:outlineLvl w:val="2"/>
        <w:rPr>
          <w:rFonts w:ascii="Times New Roman" w:hAnsi="Times New Roman" w:eastAsia="黑体"/>
          <w:bCs/>
          <w:color w:val="000000"/>
          <w:kern w:val="44"/>
          <w:sz w:val="24"/>
          <w:szCs w:val="24"/>
        </w:rPr>
      </w:pPr>
      <w:bookmarkStart w:id="105" w:name="_Toc509993888"/>
      <w:r>
        <w:rPr>
          <w:rFonts w:ascii="Times New Roman" w:hAnsi="Times New Roman" w:eastAsia="黑体"/>
          <w:bCs/>
          <w:color w:val="000000"/>
          <w:kern w:val="44"/>
          <w:sz w:val="24"/>
          <w:szCs w:val="24"/>
          <w:highlight w:val="white"/>
        </w:rPr>
        <w:t>3.1 第一个信封初步评审</w:t>
      </w:r>
      <w:bookmarkEnd w:id="105"/>
    </w:p>
    <w:p>
      <w:pPr>
        <w:spacing w:line="400" w:lineRule="atLeast"/>
        <w:ind w:firstLine="480" w:firstLineChars="200"/>
        <w:rPr>
          <w:rFonts w:ascii="Times New Roman" w:hAnsi="Times New Roman"/>
          <w:color w:val="000000"/>
          <w:sz w:val="24"/>
          <w:szCs w:val="24"/>
        </w:rPr>
      </w:pPr>
      <w:r>
        <w:rPr>
          <w:rFonts w:hint="eastAsia" w:ascii="Times New Roman" w:hAnsi="Times New Roman"/>
          <w:color w:val="000000"/>
          <w:sz w:val="24"/>
          <w:szCs w:val="24"/>
          <w:highlight w:val="white"/>
        </w:rPr>
        <w:t>*</w:t>
      </w:r>
      <w:r>
        <w:rPr>
          <w:rFonts w:ascii="Times New Roman" w:hAnsi="Times New Roman"/>
          <w:color w:val="000000"/>
          <w:sz w:val="24"/>
          <w:szCs w:val="24"/>
          <w:highlight w:val="white"/>
        </w:rPr>
        <w:t>3.1.1 评标委员会可以要求投标人提交第二章“投标人须知”第3.5.1项至第3.5.5项规定的有关证明和证件的原件，以便核验。评标委员会依据本章第2.1款规定的标准对投标文件第一个信封（商务及技术文件）进行初步评审。有一项不符合评审标准的，评标委员会应否决其投标。（适用于未进行资格预审的）</w:t>
      </w:r>
    </w:p>
    <w:p>
      <w:pPr>
        <w:spacing w:line="400" w:lineRule="atLeast"/>
        <w:ind w:firstLine="480" w:firstLineChars="200"/>
        <w:rPr>
          <w:rFonts w:ascii="Times New Roman" w:hAnsi="Times New Roman"/>
          <w:color w:val="000000"/>
          <w:sz w:val="24"/>
          <w:szCs w:val="24"/>
        </w:rPr>
      </w:pPr>
      <w:r>
        <w:rPr>
          <w:rFonts w:hint="eastAsia" w:ascii="Times New Roman" w:hAnsi="Times New Roman"/>
          <w:color w:val="000000"/>
          <w:sz w:val="24"/>
          <w:szCs w:val="24"/>
          <w:highlight w:val="white"/>
        </w:rPr>
        <w:t>*</w:t>
      </w:r>
      <w:r>
        <w:rPr>
          <w:rFonts w:ascii="Times New Roman" w:hAnsi="Times New Roman"/>
          <w:color w:val="000000"/>
          <w:sz w:val="24"/>
          <w:szCs w:val="24"/>
          <w:highlight w:val="white"/>
        </w:rPr>
        <w:t>3.1.1 评标委员会依据本章第2.1.1项、第2.1.3项规定的评审标准对投标文件第一个信封（商务及技术文件）进行初步评审。有一项不符合评审标准的，评标委员会应否决其投标。当投标人资格预审申请文件的内容发生重大变化时，评标委员会依据本章第2.1.2项规定的标准对其更新资料进行评审。（适用于已进行资格预审的）</w:t>
      </w:r>
    </w:p>
    <w:p>
      <w:pPr>
        <w:keepNext/>
        <w:keepLines/>
        <w:spacing w:before="240" w:after="240" w:line="240" w:lineRule="atLeast"/>
        <w:outlineLvl w:val="2"/>
        <w:rPr>
          <w:rFonts w:ascii="Times New Roman" w:hAnsi="Times New Roman" w:eastAsia="黑体"/>
          <w:bCs/>
          <w:color w:val="000000"/>
          <w:kern w:val="44"/>
          <w:sz w:val="24"/>
          <w:szCs w:val="24"/>
        </w:rPr>
      </w:pPr>
      <w:bookmarkStart w:id="106" w:name="_Toc509993889"/>
      <w:r>
        <w:rPr>
          <w:rFonts w:ascii="Times New Roman" w:hAnsi="Times New Roman" w:eastAsia="黑体"/>
          <w:bCs/>
          <w:color w:val="000000"/>
          <w:kern w:val="44"/>
          <w:sz w:val="24"/>
          <w:szCs w:val="24"/>
          <w:highlight w:val="white"/>
        </w:rPr>
        <w:t>3.2 第一个信封详细评审</w:t>
      </w:r>
      <w:bookmarkEnd w:id="106"/>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3.2.1 评标委员会按本章第2.2款规定的量化因素和分值进行打分，并计算出各投标人的商务和技术得分。</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（1）按本章第2.2.4项（1）目规定的评审因素和分值对技术建议书部分计算出得分A；</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（2）按本章第2.2.4项（2）目规定的评审因素和分值对主要人员部分计算出得分B；</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（3）按本章第2.2.4项（4）目规定的评审因素和分值对其他部分计算出得分D。</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3.2.2 投标人的商务和技术得分分值计算保留小数点后两位，小数点后第三位“四舍五入”。</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 xml:space="preserve">3.2.3 投标人的商务和技术得分=A+B+D。 </w:t>
      </w:r>
    </w:p>
    <w:p>
      <w:pPr>
        <w:keepNext/>
        <w:keepLines/>
        <w:spacing w:before="240" w:after="240" w:line="240" w:lineRule="atLeast"/>
        <w:outlineLvl w:val="2"/>
        <w:rPr>
          <w:rFonts w:ascii="Times New Roman" w:hAnsi="Times New Roman" w:eastAsia="黑体"/>
          <w:bCs/>
          <w:color w:val="000000"/>
          <w:kern w:val="44"/>
          <w:sz w:val="24"/>
          <w:szCs w:val="24"/>
        </w:rPr>
      </w:pPr>
      <w:bookmarkStart w:id="107" w:name="_Toc509993890"/>
      <w:r>
        <w:rPr>
          <w:rFonts w:ascii="Times New Roman" w:hAnsi="Times New Roman" w:eastAsia="黑体"/>
          <w:bCs/>
          <w:color w:val="000000"/>
          <w:kern w:val="44"/>
          <w:sz w:val="24"/>
          <w:szCs w:val="24"/>
          <w:highlight w:val="white"/>
        </w:rPr>
        <w:t>3.3 第二个信封开标</w:t>
      </w:r>
      <w:bookmarkEnd w:id="107"/>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第一个信封（商务及技术文件）评审结束后，招标人将按照第二章“投标人须知”第5.1款规定的时间和地点对通过投标文件第一个信封（商务及技术文件）评审的投标文件第二个信封（报价文件）进行开标。</w:t>
      </w:r>
    </w:p>
    <w:p>
      <w:pPr>
        <w:keepNext/>
        <w:keepLines/>
        <w:spacing w:before="240" w:after="240" w:line="240" w:lineRule="atLeast"/>
        <w:outlineLvl w:val="2"/>
        <w:rPr>
          <w:rFonts w:ascii="Times New Roman" w:hAnsi="Times New Roman" w:eastAsia="黑体"/>
          <w:bCs/>
          <w:color w:val="000000"/>
          <w:kern w:val="44"/>
          <w:sz w:val="24"/>
          <w:szCs w:val="24"/>
        </w:rPr>
      </w:pPr>
      <w:bookmarkStart w:id="108" w:name="_Toc509993891"/>
      <w:r>
        <w:rPr>
          <w:rFonts w:ascii="Times New Roman" w:hAnsi="Times New Roman" w:eastAsia="黑体"/>
          <w:bCs/>
          <w:color w:val="000000"/>
          <w:kern w:val="44"/>
          <w:sz w:val="24"/>
          <w:szCs w:val="24"/>
          <w:highlight w:val="white"/>
        </w:rPr>
        <w:t>3.4 第二个信封初步评审</w:t>
      </w:r>
      <w:bookmarkEnd w:id="108"/>
    </w:p>
    <w:p>
      <w:pPr>
        <w:spacing w:line="400" w:lineRule="atLeast"/>
        <w:ind w:firstLine="480" w:firstLineChars="200"/>
        <w:rPr>
          <w:rFonts w:ascii="Times New Roman" w:hAnsi="Times New Roman"/>
          <w:color w:val="000000"/>
          <w:sz w:val="24"/>
          <w:szCs w:val="24"/>
        </w:rPr>
      </w:pPr>
      <w:r>
        <w:rPr>
          <w:rFonts w:hint="eastAsia" w:ascii="Times New Roman" w:hAnsi="Times New Roman"/>
          <w:color w:val="000000"/>
          <w:sz w:val="24"/>
          <w:szCs w:val="24"/>
          <w:highlight w:val="white"/>
        </w:rPr>
        <w:t>*</w:t>
      </w:r>
      <w:r>
        <w:rPr>
          <w:rFonts w:ascii="Times New Roman" w:hAnsi="Times New Roman"/>
          <w:color w:val="000000"/>
          <w:sz w:val="24"/>
          <w:szCs w:val="24"/>
          <w:highlight w:val="white"/>
        </w:rPr>
        <w:t>3.4.1 评标委员会依据本章第2.1.1项、第2.1.3项规定的评审标准对投标文件第二个信封（报价文件）进行初步评审。有一项不符合评审标准的，评标委员会应否决其投标。</w:t>
      </w:r>
    </w:p>
    <w:p>
      <w:pPr>
        <w:spacing w:line="400" w:lineRule="atLeast"/>
        <w:ind w:firstLine="480" w:firstLineChars="200"/>
        <w:rPr>
          <w:rFonts w:ascii="Times New Roman" w:hAnsi="Times New Roman"/>
          <w:color w:val="000000"/>
          <w:sz w:val="24"/>
          <w:szCs w:val="24"/>
        </w:rPr>
      </w:pPr>
      <w:r>
        <w:rPr>
          <w:rFonts w:hint="eastAsia" w:ascii="Times New Roman" w:hAnsi="Times New Roman"/>
          <w:color w:val="000000"/>
          <w:sz w:val="24"/>
          <w:szCs w:val="24"/>
          <w:highlight w:val="white"/>
        </w:rPr>
        <w:t>*</w:t>
      </w:r>
      <w:r>
        <w:rPr>
          <w:rFonts w:ascii="Times New Roman" w:hAnsi="Times New Roman"/>
          <w:color w:val="000000"/>
          <w:sz w:val="24"/>
          <w:szCs w:val="24"/>
          <w:highlight w:val="white"/>
        </w:rPr>
        <w:t>3.4.2 投标报价有算术错误的，评标委员会按以下原则对投标报价进行修正，修正的价格经投标人书面确认后具有约束力。投标人不接受修正价格的，评标委员会应否决其投标。</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（1）投标文件中的大写金额与小写金额不一致的，以大写金额为准；</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（2）总价金额与依据单价计算出的结果不一致的，以单价金额为准修正总价，但单价金额小数点有明显错误的除外；</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（3）当单价与数量相乘不等于合价时，以单价计算为准，如果单价有明显的小数点位置差错，应以标出的合价为准，同时对单价予以修正；</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（4）当各子目的合价累计不等于总价时，应以各子目合价累计数为准，修正总价。</w:t>
      </w:r>
    </w:p>
    <w:p>
      <w:pPr>
        <w:spacing w:line="400" w:lineRule="atLeast"/>
        <w:ind w:firstLine="480" w:firstLineChars="200"/>
        <w:rPr>
          <w:rFonts w:ascii="Times New Roman" w:hAnsi="Times New Roman"/>
          <w:color w:val="000000"/>
          <w:sz w:val="24"/>
          <w:szCs w:val="24"/>
        </w:rPr>
      </w:pPr>
      <w:r>
        <w:rPr>
          <w:rFonts w:hint="eastAsia" w:ascii="Times New Roman" w:hAnsi="Times New Roman"/>
          <w:color w:val="000000"/>
          <w:sz w:val="24"/>
          <w:szCs w:val="24"/>
          <w:highlight w:val="white"/>
        </w:rPr>
        <w:t>*</w:t>
      </w:r>
      <w:r>
        <w:rPr>
          <w:rFonts w:ascii="Times New Roman" w:hAnsi="Times New Roman"/>
          <w:color w:val="000000"/>
          <w:sz w:val="24"/>
          <w:szCs w:val="24"/>
          <w:highlight w:val="white"/>
        </w:rPr>
        <w:t>3.4.3 修正后的最终投标报价若超过最高投标限价（如有），评标委员会应否决其投标。</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3.4.4 修正后的最终投标报价仅作为签订合同的一个依据，不参与评标价得分的计算。</w:t>
      </w:r>
    </w:p>
    <w:p>
      <w:pPr>
        <w:keepNext/>
        <w:keepLines/>
        <w:spacing w:before="240" w:after="240" w:line="240" w:lineRule="atLeast"/>
        <w:outlineLvl w:val="2"/>
        <w:rPr>
          <w:rFonts w:ascii="Times New Roman" w:hAnsi="Times New Roman" w:eastAsia="黑体"/>
          <w:bCs/>
          <w:color w:val="000000"/>
          <w:kern w:val="44"/>
          <w:sz w:val="24"/>
          <w:szCs w:val="24"/>
        </w:rPr>
      </w:pPr>
      <w:bookmarkStart w:id="109" w:name="_Toc509993892"/>
      <w:r>
        <w:rPr>
          <w:rFonts w:ascii="Times New Roman" w:hAnsi="Times New Roman" w:eastAsia="黑体"/>
          <w:bCs/>
          <w:color w:val="000000"/>
          <w:kern w:val="44"/>
          <w:sz w:val="24"/>
          <w:szCs w:val="24"/>
          <w:highlight w:val="white"/>
        </w:rPr>
        <w:t>3.5 第二个信封详细评审</w:t>
      </w:r>
      <w:bookmarkEnd w:id="109"/>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3.5.1 评标委员会按本章第2.2.4项（3）目规定的评审因素和分值对评标价计算出得分C。评标价得分分值计算保留小数点后两位，小数点后第三位“四舍五入”。</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3.5.2 投标人综合得分=投标人的商务和技术得分+C。</w:t>
      </w:r>
    </w:p>
    <w:p>
      <w:pPr>
        <w:spacing w:line="400" w:lineRule="atLeast"/>
        <w:ind w:firstLine="480" w:firstLineChars="200"/>
        <w:rPr>
          <w:rFonts w:ascii="Times New Roman" w:hAnsi="Times New Roman"/>
          <w:color w:val="000000"/>
          <w:sz w:val="24"/>
          <w:szCs w:val="24"/>
        </w:rPr>
      </w:pPr>
      <w:r>
        <w:rPr>
          <w:rFonts w:hint="eastAsia" w:ascii="Times New Roman" w:hAnsi="Times New Roman"/>
          <w:color w:val="000000"/>
          <w:sz w:val="24"/>
          <w:szCs w:val="24"/>
          <w:highlight w:val="white"/>
        </w:rPr>
        <w:t>*</w:t>
      </w:r>
      <w:r>
        <w:rPr>
          <w:rFonts w:ascii="Times New Roman" w:hAnsi="Times New Roman"/>
          <w:color w:val="000000"/>
          <w:sz w:val="24"/>
          <w:szCs w:val="24"/>
          <w:highlight w:val="white"/>
        </w:rPr>
        <w:t>3.5.3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keepNext/>
        <w:keepLines/>
        <w:spacing w:before="240" w:after="240" w:line="240" w:lineRule="atLeast"/>
        <w:outlineLvl w:val="2"/>
        <w:rPr>
          <w:rFonts w:ascii="Times New Roman" w:hAnsi="Times New Roman" w:eastAsia="黑体"/>
          <w:bCs/>
          <w:color w:val="000000"/>
          <w:kern w:val="44"/>
          <w:sz w:val="24"/>
          <w:szCs w:val="24"/>
        </w:rPr>
      </w:pPr>
      <w:bookmarkStart w:id="110" w:name="_Toc509993893"/>
      <w:r>
        <w:rPr>
          <w:rFonts w:ascii="Times New Roman" w:hAnsi="Times New Roman" w:eastAsia="黑体"/>
          <w:bCs/>
          <w:color w:val="000000"/>
          <w:kern w:val="44"/>
          <w:sz w:val="24"/>
          <w:szCs w:val="24"/>
          <w:highlight w:val="white"/>
        </w:rPr>
        <w:t>3.6 投标文件相关信息的核查</w:t>
      </w:r>
      <w:bookmarkEnd w:id="110"/>
    </w:p>
    <w:p>
      <w:pPr>
        <w:spacing w:line="400" w:lineRule="atLeast"/>
        <w:ind w:firstLine="480" w:firstLineChars="200"/>
        <w:rPr>
          <w:rFonts w:ascii="Times New Roman" w:hAnsi="Times New Roman"/>
          <w:color w:val="000000"/>
          <w:sz w:val="24"/>
          <w:szCs w:val="24"/>
        </w:rPr>
      </w:pPr>
      <w:r>
        <w:rPr>
          <w:rFonts w:hint="eastAsia" w:ascii="Times New Roman" w:hAnsi="Times New Roman"/>
          <w:color w:val="000000"/>
          <w:sz w:val="24"/>
          <w:szCs w:val="24"/>
          <w:highlight w:val="white"/>
        </w:rPr>
        <w:t>*</w:t>
      </w:r>
      <w:r>
        <w:rPr>
          <w:rFonts w:ascii="Times New Roman" w:hAnsi="Times New Roman"/>
          <w:color w:val="000000"/>
          <w:sz w:val="24"/>
          <w:szCs w:val="24"/>
          <w:highlight w:val="white"/>
        </w:rPr>
        <w:t>3.6.1 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pPr>
        <w:spacing w:line="400" w:lineRule="atLeast"/>
        <w:ind w:firstLine="480" w:firstLineChars="200"/>
        <w:rPr>
          <w:rFonts w:ascii="Times New Roman" w:hAnsi="Times New Roman"/>
          <w:color w:val="000000"/>
          <w:sz w:val="24"/>
          <w:szCs w:val="24"/>
        </w:rPr>
      </w:pPr>
      <w:r>
        <w:rPr>
          <w:rFonts w:hint="eastAsia" w:ascii="Times New Roman" w:hAnsi="Times New Roman"/>
          <w:color w:val="000000"/>
          <w:sz w:val="24"/>
          <w:szCs w:val="24"/>
          <w:highlight w:val="white"/>
        </w:rPr>
        <w:t>*</w:t>
      </w:r>
      <w:r>
        <w:rPr>
          <w:rFonts w:ascii="Times New Roman" w:hAnsi="Times New Roman"/>
          <w:color w:val="000000"/>
          <w:sz w:val="24"/>
          <w:szCs w:val="24"/>
          <w:highlight w:val="white"/>
        </w:rPr>
        <w:t>3.6.2 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（1）有下列情形之一的，属于投标人相互串通投标：</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a.投标人之间协商投标报价等投标文件的实质性内容；</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b.投标人之间约定中标人；</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c.投标人之间约定部分投标人放弃投标或中标；</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d.属于同一集团、协会、商会等组织成员的投标人按照该组织要求协同投标；</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e.投标人之间为谋取中标或排斥特定投标人而采取的其他联合行动。</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（2）有下列情形之一的，视为投标人相互串通投标：</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a.不同投标人的投标文件由同一单位或个人编制；</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b.不同投标人委托同一单位或个人办理投标事宜；</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c.不同投标人的投标文件载明的项目管理成员为同一人；</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d.不同投标人的投标文件异常一致或投标报价呈规律性差异；</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e.不同投标人的投标文件相互混装；</w:t>
      </w:r>
    </w:p>
    <w:p>
      <w:pPr>
        <w:spacing w:line="400" w:lineRule="atLeast"/>
        <w:ind w:firstLine="480" w:firstLineChars="200"/>
        <w:rPr>
          <w:rFonts w:hint="eastAsia" w:ascii="Times New Roman" w:hAnsi="Times New Roman"/>
          <w:color w:val="000000"/>
          <w:sz w:val="24"/>
          <w:szCs w:val="24"/>
        </w:rPr>
      </w:pPr>
      <w:r>
        <w:rPr>
          <w:rFonts w:ascii="Times New Roman" w:hAnsi="Times New Roman"/>
          <w:color w:val="000000"/>
          <w:sz w:val="24"/>
          <w:szCs w:val="24"/>
          <w:highlight w:val="white"/>
        </w:rPr>
        <w:t>f.不同投标人的投标保证金从同一单位或个人的账户转出</w:t>
      </w:r>
      <w:r>
        <w:rPr>
          <w:rFonts w:hint="eastAsia" w:ascii="Times New Roman" w:hAnsi="Times New Roman"/>
          <w:color w:val="000000"/>
          <w:sz w:val="24"/>
          <w:szCs w:val="24"/>
          <w:highlight w:val="white"/>
        </w:rPr>
        <w:t>；</w:t>
      </w:r>
    </w:p>
    <w:p>
      <w:pPr>
        <w:spacing w:line="400" w:lineRule="atLeast"/>
        <w:ind w:firstLine="480" w:firstLineChars="200"/>
        <w:rPr>
          <w:rFonts w:hint="eastAsia" w:ascii="Times New Roman" w:hAnsi="Times New Roman"/>
          <w:color w:val="000000"/>
          <w:sz w:val="24"/>
          <w:szCs w:val="24"/>
        </w:rPr>
      </w:pPr>
      <w:r>
        <w:rPr>
          <w:rFonts w:hint="eastAsia" w:ascii="Times New Roman" w:hAnsi="Times New Roman"/>
          <w:color w:val="000000"/>
          <w:sz w:val="24"/>
          <w:szCs w:val="24"/>
          <w:highlight w:val="white"/>
        </w:rPr>
        <w:t>g.不同投标人提交电子投标文件IP地址相同且无法合理说明的；</w:t>
      </w:r>
    </w:p>
    <w:p>
      <w:pPr>
        <w:spacing w:line="400" w:lineRule="atLeast"/>
        <w:ind w:firstLine="480" w:firstLineChars="200"/>
        <w:rPr>
          <w:rFonts w:hint="eastAsia" w:ascii="Times New Roman" w:hAnsi="Times New Roman"/>
          <w:color w:val="000000"/>
          <w:sz w:val="24"/>
          <w:szCs w:val="24"/>
        </w:rPr>
      </w:pPr>
      <w:r>
        <w:rPr>
          <w:rFonts w:hint="eastAsia" w:ascii="Times New Roman" w:hAnsi="Times New Roman"/>
          <w:color w:val="000000"/>
          <w:sz w:val="24"/>
          <w:szCs w:val="24"/>
          <w:highlight w:val="white"/>
        </w:rPr>
        <w:t>h.不同投标人提交电子投标文件的IP地址在某一特定区域且无法合理说明的；</w:t>
      </w:r>
    </w:p>
    <w:p>
      <w:pPr>
        <w:spacing w:line="400" w:lineRule="atLeast"/>
        <w:ind w:firstLine="480" w:firstLineChars="200"/>
        <w:rPr>
          <w:rFonts w:ascii="Times New Roman" w:hAnsi="Times New Roman"/>
          <w:color w:val="000000"/>
          <w:sz w:val="24"/>
          <w:szCs w:val="24"/>
        </w:rPr>
      </w:pPr>
      <w:r>
        <w:rPr>
          <w:rFonts w:hint="eastAsia" w:ascii="Times New Roman" w:hAnsi="Times New Roman"/>
          <w:color w:val="000000"/>
          <w:sz w:val="24"/>
          <w:szCs w:val="24"/>
          <w:highlight w:val="white"/>
        </w:rPr>
        <w:t>i.电子投标文件硬件信息相同且无法合理说明的。</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（3）有下列情形之一的，属于招标人与投标人串通投标：</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a.招标人在开标前开启投标文件并将有关信息泄露给其他投标人;</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b.招标人直接或间接向投标人泄露标底、评标委员会成员等信息；</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c.招标人明示或暗示投标人压低或抬高投标报价；</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d.招标人授意投标人撤换、修改投标文件；</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e.招标人明示或暗示投标人为特定投标人中标提供方便；</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f.招标人与投标人为谋求特定投标人中标而采取的其他串通行为。</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（4）投标人有下列情形之一的，属于弄虚作假的行为：</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a.使用通过受让或租借等方式获取的资格、资质证书投标；</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b.使用伪造、变造的许可证件；</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c.提供虚假的业绩；</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d.提供虚假的项目负责人或主要技术人员简历、劳动关系证明；</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e.提供虚假的信用状况；</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f.其他弄虚作假的行为。</w:t>
      </w:r>
    </w:p>
    <w:p>
      <w:pPr>
        <w:keepNext/>
        <w:keepLines/>
        <w:spacing w:before="240" w:after="240" w:line="400" w:lineRule="atLeast"/>
        <w:outlineLvl w:val="2"/>
        <w:rPr>
          <w:rFonts w:ascii="Times New Roman" w:hAnsi="Times New Roman" w:eastAsia="黑体"/>
          <w:bCs/>
          <w:color w:val="000000"/>
          <w:kern w:val="44"/>
          <w:sz w:val="24"/>
          <w:szCs w:val="24"/>
        </w:rPr>
      </w:pPr>
      <w:bookmarkStart w:id="111" w:name="_Toc509993894"/>
      <w:r>
        <w:rPr>
          <w:rFonts w:ascii="Times New Roman" w:hAnsi="Times New Roman" w:eastAsia="黑体"/>
          <w:bCs/>
          <w:color w:val="000000"/>
          <w:kern w:val="44"/>
          <w:sz w:val="24"/>
          <w:szCs w:val="24"/>
          <w:highlight w:val="white"/>
        </w:rPr>
        <w:t>3.7 投标文件的澄清和说明</w:t>
      </w:r>
      <w:bookmarkEnd w:id="111"/>
    </w:p>
    <w:p>
      <w:pPr>
        <w:spacing w:line="400" w:lineRule="atLeast"/>
        <w:ind w:firstLine="480" w:firstLineChars="200"/>
        <w:rPr>
          <w:rFonts w:ascii="Times New Roman" w:hAnsi="Times New Roman"/>
          <w:color w:val="000000"/>
          <w:sz w:val="24"/>
          <w:szCs w:val="24"/>
        </w:rPr>
      </w:pPr>
      <w:r>
        <w:rPr>
          <w:rFonts w:hint="eastAsia" w:ascii="Times New Roman" w:hAnsi="Times New Roman"/>
          <w:color w:val="000000"/>
          <w:sz w:val="24"/>
          <w:szCs w:val="24"/>
          <w:highlight w:val="white"/>
        </w:rPr>
        <w:t>*</w:t>
      </w:r>
      <w:r>
        <w:rPr>
          <w:rFonts w:ascii="Times New Roman" w:hAnsi="Times New Roman"/>
          <w:color w:val="000000"/>
          <w:sz w:val="24"/>
          <w:szCs w:val="24"/>
          <w:highlight w:val="white"/>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3.7.2 澄清和说明不得超出投标文件的范围或改变投标文件的实质性内容（算术性错误的修正除外）。投标人的书面澄清、说明属于投标文件的组成部分。</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3.7.3 评标委员会不得暗示或诱导投标人作出澄清、说明，对投标人提交的澄清、说明有疑问的，可以要求投标人进一步澄清或说明，直至满足评标委员会的要求。</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3.7.4 凡超出招标文件规定的或给发包人带来未曾要求的利益的变化、偏差或其他因素在评标时不予考虑。</w:t>
      </w:r>
    </w:p>
    <w:p>
      <w:pPr>
        <w:keepNext/>
        <w:keepLines/>
        <w:spacing w:before="240" w:after="240" w:line="400" w:lineRule="atLeast"/>
        <w:outlineLvl w:val="2"/>
        <w:rPr>
          <w:rFonts w:ascii="Times New Roman" w:hAnsi="Times New Roman" w:eastAsia="黑体"/>
          <w:bCs/>
          <w:color w:val="000000"/>
          <w:kern w:val="44"/>
          <w:sz w:val="24"/>
          <w:szCs w:val="24"/>
        </w:rPr>
      </w:pPr>
      <w:bookmarkStart w:id="112" w:name="_Toc509993895"/>
      <w:bookmarkStart w:id="113" w:name="_Toc501257170"/>
      <w:r>
        <w:rPr>
          <w:rFonts w:ascii="Times New Roman" w:hAnsi="Times New Roman" w:eastAsia="黑体"/>
          <w:bCs/>
          <w:color w:val="000000"/>
          <w:kern w:val="44"/>
          <w:sz w:val="24"/>
          <w:szCs w:val="24"/>
          <w:highlight w:val="white"/>
        </w:rPr>
        <w:t>3.8 不得否决投标的情形</w:t>
      </w:r>
      <w:bookmarkEnd w:id="112"/>
      <w:bookmarkEnd w:id="113"/>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投标文件存在第二章“投标人须知”第1.12.3项所列情形的，均视为细微偏差，评标委员会不得否决投标人的投标，应按照第二章“投标人须知”第1.12.4项规定的原则处理。</w:t>
      </w:r>
    </w:p>
    <w:p>
      <w:pPr>
        <w:keepNext/>
        <w:keepLines/>
        <w:spacing w:before="240" w:after="240" w:line="240" w:lineRule="atLeast"/>
        <w:outlineLvl w:val="2"/>
        <w:rPr>
          <w:rFonts w:ascii="Times New Roman" w:hAnsi="Times New Roman" w:eastAsia="黑体"/>
          <w:bCs/>
          <w:color w:val="000000"/>
          <w:kern w:val="44"/>
          <w:sz w:val="24"/>
          <w:szCs w:val="24"/>
        </w:rPr>
      </w:pPr>
      <w:bookmarkStart w:id="114" w:name="_Toc509993896"/>
      <w:r>
        <w:rPr>
          <w:rFonts w:ascii="Times New Roman" w:hAnsi="Times New Roman" w:eastAsia="黑体"/>
          <w:bCs/>
          <w:color w:val="000000"/>
          <w:kern w:val="44"/>
          <w:sz w:val="24"/>
          <w:szCs w:val="24"/>
          <w:highlight w:val="white"/>
        </w:rPr>
        <w:t>3.9 评标结果</w:t>
      </w:r>
      <w:bookmarkEnd w:id="114"/>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3.9.1 除第二章“投标人须知”前附表授权直接确定中标人外，评标委员会按照得分由高到低的顺序推荐中标候选人，并标明排序。</w:t>
      </w:r>
    </w:p>
    <w:p>
      <w:pPr>
        <w:spacing w:line="400" w:lineRule="atLeast"/>
        <w:ind w:firstLine="480" w:firstLineChars="200"/>
        <w:rPr>
          <w:rFonts w:ascii="Times New Roman" w:hAnsi="Times New Roman"/>
          <w:color w:val="000000"/>
          <w:sz w:val="24"/>
          <w:szCs w:val="24"/>
          <w:highlight w:val="white"/>
        </w:rPr>
      </w:pPr>
      <w:r>
        <w:rPr>
          <w:rFonts w:ascii="Times New Roman" w:hAnsi="Times New Roman"/>
          <w:color w:val="000000"/>
          <w:sz w:val="24"/>
          <w:szCs w:val="24"/>
          <w:highlight w:val="white"/>
        </w:rPr>
        <w:t>3.9.2 评标委员会完成评标后，应向招标人提交书面评标报告。</w:t>
      </w:r>
      <w:bookmarkEnd w:id="98"/>
    </w:p>
    <w:p>
      <w:pPr>
        <w:rPr>
          <w:rFonts w:hint="default" w:ascii="Times New Roman" w:hAnsi="Times New Roman"/>
          <w:color w:val="000000"/>
          <w:sz w:val="24"/>
          <w:szCs w:val="24"/>
          <w:highlight w:val="white"/>
          <w:lang w:val="en-US" w:eastAsia="zh-CN"/>
        </w:rPr>
      </w:pPr>
      <w:r>
        <w:rPr>
          <w:rFonts w:hint="default" w:ascii="Times New Roman" w:hAnsi="Times New Roman"/>
          <w:color w:val="000000"/>
          <w:sz w:val="24"/>
          <w:szCs w:val="24"/>
          <w:highlight w:val="white"/>
          <w:lang w:val="en-US" w:eastAsia="zh-CN"/>
        </w:rPr>
        <w:br w:type="page"/>
      </w:r>
    </w:p>
    <w:p>
      <w:pPr>
        <w:pStyle w:val="75"/>
        <w:keepNext/>
        <w:keepLines/>
        <w:spacing w:before="240" w:after="240" w:line="240" w:lineRule="atLeast"/>
        <w:outlineLvl w:val="0"/>
        <w:rPr>
          <w:rFonts w:eastAsia="黑体" w:cs="Times New Roman"/>
          <w:color w:val="000000"/>
          <w:sz w:val="27"/>
          <w:szCs w:val="27"/>
        </w:rPr>
      </w:pPr>
      <w:r>
        <w:rPr>
          <w:rFonts w:eastAsia="黑体" w:cs="Times New Roman"/>
          <w:b/>
          <w:bCs/>
          <w:color w:val="000000"/>
          <w:kern w:val="44"/>
          <w:sz w:val="28"/>
          <w:szCs w:val="28"/>
        </w:rPr>
        <w:t xml:space="preserve">附件3 </w:t>
      </w:r>
      <w:r>
        <w:rPr>
          <w:rFonts w:eastAsia="黑体" w:cs="Times New Roman"/>
          <w:b/>
          <w:bCs/>
          <w:kern w:val="44"/>
          <w:sz w:val="28"/>
          <w:szCs w:val="28"/>
        </w:rPr>
        <w:t>项目概况</w:t>
      </w:r>
    </w:p>
    <w:p>
      <w:pPr>
        <w:pStyle w:val="76"/>
        <w:keepNext/>
        <w:adjustRightInd w:val="0"/>
        <w:spacing w:line="420" w:lineRule="atLeast"/>
        <w:outlineLvl w:val="3"/>
        <w:rPr>
          <w:rFonts w:eastAsia="黑体" w:cs="Times New Roman"/>
          <w:b/>
          <w:bCs/>
          <w:iCs/>
          <w:kern w:val="0"/>
          <w:sz w:val="24"/>
          <w:szCs w:val="24"/>
        </w:rPr>
      </w:pPr>
      <w:r>
        <w:rPr>
          <w:rFonts w:eastAsia="黑体" w:cs="Times New Roman"/>
          <w:b/>
          <w:bCs/>
          <w:iCs/>
          <w:kern w:val="0"/>
          <w:sz w:val="24"/>
          <w:szCs w:val="24"/>
        </w:rPr>
        <w:t>1  项目位置</w:t>
      </w:r>
    </w:p>
    <w:p>
      <w:pPr>
        <w:pStyle w:val="77"/>
        <w:spacing w:line="360" w:lineRule="auto"/>
        <w:outlineLvl w:val="3"/>
        <w:rPr>
          <w:rFonts w:eastAsia="宋体" w:cs="Times New Roman"/>
          <w:sz w:val="24"/>
        </w:rPr>
      </w:pPr>
      <w:r>
        <w:rPr>
          <w:rFonts w:eastAsia="宋体" w:cs="Times New Roman"/>
          <w:b/>
          <w:bCs/>
          <w:sz w:val="24"/>
        </w:rPr>
        <w:t>1.1  项目名称：</w:t>
      </w:r>
      <w:r>
        <w:rPr>
          <w:rFonts w:ascii="Calibri" w:hAnsi="Calibri" w:eastAsia="宋体" w:cs="Times New Roman"/>
          <w:bCs/>
          <w:sz w:val="24"/>
        </w:rPr>
        <w:t>湖南省</w:t>
      </w:r>
      <w:r>
        <w:rPr>
          <w:rFonts w:hint="eastAsia" w:ascii="Calibri" w:hAnsi="Calibri" w:eastAsia="宋体" w:cs="Times New Roman"/>
          <w:bCs/>
          <w:sz w:val="24"/>
          <w:u w:val="single"/>
        </w:rPr>
        <w:t>沅陵至辰溪高速</w:t>
      </w:r>
      <w:r>
        <w:rPr>
          <w:rFonts w:ascii="Calibri" w:hAnsi="Calibri" w:eastAsia="宋体" w:cs="Times New Roman"/>
          <w:sz w:val="24"/>
          <w:u w:val="single"/>
        </w:rPr>
        <w:t>公路</w:t>
      </w:r>
      <w:r>
        <w:rPr>
          <w:rFonts w:ascii="Calibri" w:hAnsi="Calibri" w:eastAsia="宋体" w:cs="Times New Roman"/>
          <w:sz w:val="24"/>
        </w:rPr>
        <w:t>项目（</w:t>
      </w:r>
      <w:r>
        <w:rPr>
          <w:rFonts w:hint="eastAsia" w:ascii="Calibri" w:hAnsi="Calibri" w:eastAsia="宋体" w:cs="Times New Roman"/>
          <w:sz w:val="24"/>
        </w:rPr>
        <w:t>以下</w:t>
      </w:r>
      <w:r>
        <w:rPr>
          <w:rFonts w:ascii="Calibri" w:hAnsi="Calibri" w:eastAsia="宋体" w:cs="Times New Roman"/>
          <w:sz w:val="24"/>
        </w:rPr>
        <w:t>简称</w:t>
      </w:r>
      <w:r>
        <w:rPr>
          <w:rFonts w:hint="eastAsia" w:ascii="Calibri" w:hAnsi="Calibri" w:eastAsia="宋体" w:cs="Times New Roman"/>
          <w:sz w:val="24"/>
        </w:rPr>
        <w:t>“</w:t>
      </w:r>
      <w:r>
        <w:rPr>
          <w:rFonts w:hint="eastAsia" w:ascii="Calibri" w:hAnsi="Calibri" w:eastAsia="宋体" w:cs="Times New Roman"/>
          <w:sz w:val="24"/>
          <w:u w:val="single"/>
        </w:rPr>
        <w:t>沅辰</w:t>
      </w:r>
      <w:r>
        <w:rPr>
          <w:rFonts w:ascii="Calibri" w:hAnsi="Calibri" w:eastAsia="宋体" w:cs="Times New Roman"/>
          <w:sz w:val="24"/>
          <w:u w:val="single"/>
        </w:rPr>
        <w:t>高速公路</w:t>
      </w:r>
      <w:r>
        <w:rPr>
          <w:rFonts w:hint="eastAsia" w:ascii="Calibri" w:hAnsi="Calibri" w:eastAsia="宋体" w:cs="Times New Roman"/>
          <w:sz w:val="24"/>
        </w:rPr>
        <w:t>”</w:t>
      </w:r>
      <w:r>
        <w:rPr>
          <w:rFonts w:ascii="Calibri" w:hAnsi="Calibri" w:eastAsia="宋体" w:cs="Times New Roman"/>
          <w:sz w:val="24"/>
        </w:rPr>
        <w:t>）</w:t>
      </w:r>
    </w:p>
    <w:p>
      <w:pPr>
        <w:pStyle w:val="78"/>
        <w:keepNext/>
        <w:adjustRightInd w:val="0"/>
        <w:spacing w:line="420" w:lineRule="atLeast"/>
        <w:outlineLvl w:val="3"/>
        <w:rPr>
          <w:rFonts w:eastAsia="黑体" w:cs="Times New Roman"/>
          <w:b/>
          <w:bCs/>
          <w:iCs/>
          <w:kern w:val="0"/>
          <w:sz w:val="24"/>
          <w:szCs w:val="24"/>
        </w:rPr>
      </w:pPr>
      <w:r>
        <w:rPr>
          <w:rFonts w:eastAsia="黑体" w:cs="Times New Roman"/>
          <w:b/>
          <w:bCs/>
          <w:iCs/>
          <w:kern w:val="0"/>
          <w:sz w:val="24"/>
          <w:szCs w:val="24"/>
        </w:rPr>
        <w:t>1.2  概述</w:t>
      </w:r>
    </w:p>
    <w:p>
      <w:pPr>
        <w:spacing w:line="400" w:lineRule="exact"/>
        <w:ind w:firstLine="512" w:firstLineChars="200"/>
        <w:rPr>
          <w:rFonts w:hint="eastAsia" w:ascii="宋体" w:hAnsi="宋体" w:cs="仿宋_GB2312"/>
        </w:rPr>
      </w:pPr>
      <w:r>
        <w:rPr>
          <w:rFonts w:hint="eastAsia"/>
          <w:bCs/>
          <w:spacing w:val="8"/>
          <w:kern w:val="0"/>
          <w:sz w:val="24"/>
        </w:rPr>
        <w:t>起于沅陵县盘古乡舒溪口、距常吉高速筲箕湾互通5.8km处，设枢纽互通与常吉高速公路相接，路线往南至鹿村坳附近设互通衔接G319，然后经上溪至黄洞水库附近进入辰溪县，再经长坡、船溪至田湾设互通与S250衔接，然后继续往南经双溪、竹桥、小田湾至万谷平后，沿辰溪县城规划区东侧边缘布线，设互通与S250和先锋路衔接，再往南在杨溪口附近跨沅水至马溪口，再往南经唐家人、瓦子溪、牛耳冲、锦滨至火马冲西侧设互通与S250衔接，最后往南至木桥江到达项目终点，设枢纽互通与溆怀高速公路相接，全长50.483 公里。全线设置舒溪口（枢纽）、泸溪东（银华山）、孝坪、辰溪、火马冲、辰溪南（枢纽）6处互通式立交。全线采用双向四车道高速公路标准，设计速度100km/h，路基宽度26.0米，桥涵设计汽车荷载等级采用公路－Ⅰ级。全线设置服务区1处、匝道收费站4处，桥隧监控站1处，养护工区1处，路政中队1处、交警基地1处。项目建成后，对改善怀化北部沅陵、辰溪县等地区的交通条件，促进沿线经济社会发展具有重要的意义，同时也是区域内连接常吉高速公路与娄怀高速公路的便捷通道。</w:t>
      </w:r>
    </w:p>
    <w:p>
      <w:pPr>
        <w:pStyle w:val="79"/>
        <w:keepNext/>
        <w:adjustRightInd w:val="0"/>
        <w:spacing w:line="420" w:lineRule="atLeast"/>
        <w:outlineLvl w:val="3"/>
        <w:rPr>
          <w:rFonts w:eastAsia="黑体" w:cs="Times New Roman"/>
          <w:b/>
          <w:bCs/>
          <w:iCs/>
          <w:kern w:val="0"/>
          <w:sz w:val="24"/>
          <w:szCs w:val="24"/>
        </w:rPr>
      </w:pPr>
      <w:r>
        <w:rPr>
          <w:rFonts w:eastAsia="黑体" w:cs="Times New Roman"/>
          <w:b/>
          <w:bCs/>
          <w:iCs/>
          <w:kern w:val="0"/>
          <w:sz w:val="24"/>
          <w:szCs w:val="24"/>
        </w:rPr>
        <w:t>1.3  项目建设</w:t>
      </w:r>
    </w:p>
    <w:p>
      <w:pPr>
        <w:pStyle w:val="80"/>
        <w:ind w:firstLine="480"/>
        <w:rPr>
          <w:rFonts w:hint="eastAsia" w:ascii="宋体" w:hAnsi="宋体" w:eastAsia="宋体" w:cs="Times New Roman"/>
        </w:rPr>
      </w:pPr>
      <w:r>
        <w:rPr>
          <w:rFonts w:hint="eastAsia" w:ascii="宋体" w:hAnsi="宋体" w:eastAsia="宋体" w:cs="Times New Roman"/>
        </w:rPr>
        <w:t>路线走向：本项目起于沅陵县盘古乡舒溪口，与已建的常吉高速公路相接，经盘古乡、筲箕湾、船溪，辰阳镇、锦滨镇，止于辰溪县火马冲镇，接已建的溆怀高速公路。</w:t>
      </w:r>
    </w:p>
    <w:p>
      <w:pPr>
        <w:pStyle w:val="81"/>
        <w:ind w:firstLine="480"/>
        <w:rPr>
          <w:rFonts w:hint="eastAsia" w:ascii="宋体" w:hAnsi="宋体" w:eastAsia="宋体" w:cs="Times New Roman"/>
        </w:rPr>
      </w:pPr>
      <w:r>
        <w:rPr>
          <w:rFonts w:hint="eastAsia" w:ascii="宋体" w:hAnsi="宋体" w:eastAsia="宋体" w:cs="Times New Roman"/>
        </w:rPr>
        <w:t>主要控制点为：盘古乡、筲箕湾镇、船溪乡、辰阳镇、锦滨镇、火马冲镇等。</w:t>
      </w:r>
    </w:p>
    <w:p>
      <w:pPr>
        <w:pStyle w:val="82"/>
        <w:ind w:firstLine="480"/>
        <w:rPr>
          <w:rFonts w:hint="eastAsia" w:ascii="宋体" w:hAnsi="宋体" w:eastAsia="宋体" w:cs="Times New Roman"/>
        </w:rPr>
      </w:pPr>
      <w:r>
        <w:rPr>
          <w:rFonts w:hint="eastAsia" w:ascii="宋体" w:hAnsi="宋体" w:eastAsia="宋体" w:cs="Times New Roman"/>
        </w:rPr>
        <w:t>沿线主要城镇：路线途经沅陵县和辰溪县，沿线从北向南经过的主要乡镇有筲其湾镇、船溪乡、田湾镇、辰阳镇、锦滨镇、火马冲镇。其中路线在沅陵县境内长度约7km，在辰溪县境内长度约43.5km。</w:t>
      </w:r>
    </w:p>
    <w:p>
      <w:pPr>
        <w:pStyle w:val="83"/>
        <w:ind w:firstLine="480"/>
        <w:rPr>
          <w:rFonts w:hint="eastAsia" w:ascii="宋体" w:hAnsi="宋体" w:eastAsia="宋体" w:cs="Times New Roman"/>
        </w:rPr>
      </w:pPr>
      <w:r>
        <w:rPr>
          <w:rFonts w:hint="eastAsia" w:ascii="宋体" w:hAnsi="宋体" w:eastAsia="宋体" w:cs="Times New Roman"/>
        </w:rPr>
        <w:t>沿线主要河流：沅水及其支流。</w:t>
      </w:r>
    </w:p>
    <w:p>
      <w:pPr>
        <w:pStyle w:val="84"/>
        <w:ind w:firstLine="480"/>
        <w:rPr>
          <w:rFonts w:hint="eastAsia" w:ascii="宋体" w:hAnsi="宋体" w:eastAsia="宋体" w:cs="Times New Roman"/>
        </w:rPr>
      </w:pPr>
      <w:r>
        <w:rPr>
          <w:rFonts w:hint="eastAsia" w:ascii="宋体" w:hAnsi="宋体" w:eastAsia="宋体" w:cs="Times New Roman"/>
        </w:rPr>
        <w:t>沿线公路分布：常吉高速、溆怀高速、G319、S250</w:t>
      </w:r>
    </w:p>
    <w:p>
      <w:pPr>
        <w:pStyle w:val="85"/>
        <w:keepNext/>
        <w:adjustRightInd w:val="0"/>
        <w:spacing w:line="420" w:lineRule="atLeast"/>
        <w:outlineLvl w:val="3"/>
        <w:rPr>
          <w:rFonts w:eastAsia="黑体" w:cs="Times New Roman"/>
          <w:b/>
          <w:bCs/>
          <w:iCs/>
          <w:kern w:val="0"/>
          <w:sz w:val="24"/>
          <w:szCs w:val="24"/>
        </w:rPr>
      </w:pPr>
      <w:r>
        <w:rPr>
          <w:rFonts w:eastAsia="黑体" w:cs="Times New Roman"/>
          <w:b/>
          <w:bCs/>
          <w:iCs/>
          <w:kern w:val="0"/>
          <w:sz w:val="24"/>
          <w:szCs w:val="24"/>
        </w:rPr>
        <w:t>2  技术标准</w:t>
      </w:r>
    </w:p>
    <w:p>
      <w:pPr>
        <w:pStyle w:val="86"/>
        <w:spacing w:line="400" w:lineRule="exact"/>
        <w:ind w:firstLine="482" w:firstLineChars="200"/>
        <w:rPr>
          <w:rFonts w:eastAsia="宋体" w:cs="Times New Roman"/>
          <w:bCs/>
          <w:spacing w:val="8"/>
          <w:kern w:val="0"/>
          <w:sz w:val="24"/>
        </w:rPr>
      </w:pPr>
      <w:r>
        <w:rPr>
          <w:rFonts w:eastAsia="宋体" w:cs="Times New Roman"/>
          <w:b/>
          <w:sz w:val="24"/>
        </w:rPr>
        <w:t>主线：</w:t>
      </w:r>
      <w:r>
        <w:rPr>
          <w:rFonts w:eastAsia="宋体" w:cs="Times New Roman"/>
          <w:bCs/>
          <w:spacing w:val="8"/>
          <w:kern w:val="0"/>
          <w:sz w:val="24"/>
        </w:rPr>
        <w:t>本项目路线</w:t>
      </w:r>
      <w:r>
        <w:rPr>
          <w:rFonts w:hint="eastAsia" w:eastAsia="宋体" w:cs="Times New Roman"/>
          <w:bCs/>
          <w:spacing w:val="8"/>
          <w:kern w:val="0"/>
          <w:sz w:val="24"/>
        </w:rPr>
        <w:t>全长50.483km，全线</w:t>
      </w:r>
      <w:r>
        <w:rPr>
          <w:rFonts w:eastAsia="宋体" w:cs="Times New Roman"/>
          <w:bCs/>
          <w:spacing w:val="8"/>
          <w:kern w:val="0"/>
          <w:sz w:val="24"/>
        </w:rPr>
        <w:t>按双向4车道高速公路标准建设，设计速度100km/h，路基宽度</w:t>
      </w:r>
      <w:r>
        <w:rPr>
          <w:rFonts w:hint="eastAsia" w:eastAsia="宋体" w:cs="Times New Roman"/>
          <w:bCs/>
          <w:spacing w:val="8"/>
          <w:kern w:val="0"/>
          <w:sz w:val="24"/>
        </w:rPr>
        <w:t>26</w:t>
      </w:r>
      <w:r>
        <w:rPr>
          <w:rFonts w:eastAsia="宋体" w:cs="Times New Roman"/>
          <w:bCs/>
          <w:spacing w:val="8"/>
          <w:kern w:val="0"/>
          <w:sz w:val="24"/>
        </w:rPr>
        <w:t>m</w:t>
      </w:r>
      <w:r>
        <w:rPr>
          <w:rFonts w:hint="eastAsia" w:eastAsia="宋体" w:cs="Times New Roman"/>
          <w:bCs/>
          <w:spacing w:val="8"/>
          <w:kern w:val="0"/>
          <w:sz w:val="24"/>
        </w:rPr>
        <w:t>，桥涵设计汽车荷载等级采用公路</w:t>
      </w:r>
      <w:r>
        <w:rPr>
          <w:rFonts w:eastAsia="宋体" w:cs="Times New Roman"/>
          <w:bCs/>
          <w:spacing w:val="8"/>
          <w:kern w:val="0"/>
          <w:sz w:val="24"/>
        </w:rPr>
        <w:t>I</w:t>
      </w:r>
      <w:r>
        <w:rPr>
          <w:rFonts w:hint="eastAsia" w:eastAsia="宋体" w:cs="Times New Roman"/>
          <w:bCs/>
          <w:spacing w:val="8"/>
          <w:kern w:val="0"/>
          <w:sz w:val="24"/>
        </w:rPr>
        <w:t>级</w:t>
      </w:r>
      <w:r>
        <w:rPr>
          <w:rFonts w:eastAsia="宋体" w:cs="Times New Roman"/>
          <w:bCs/>
          <w:spacing w:val="8"/>
          <w:kern w:val="0"/>
          <w:sz w:val="24"/>
        </w:rPr>
        <w:t>。</w:t>
      </w:r>
    </w:p>
    <w:p>
      <w:pPr>
        <w:pStyle w:val="86"/>
        <w:spacing w:line="400" w:lineRule="exact"/>
        <w:ind w:firstLine="512" w:firstLineChars="200"/>
        <w:rPr>
          <w:rFonts w:hint="eastAsia" w:eastAsia="宋体" w:cs="Times New Roman"/>
          <w:bCs/>
          <w:spacing w:val="8"/>
          <w:kern w:val="0"/>
          <w:sz w:val="24"/>
        </w:rPr>
      </w:pPr>
      <w:r>
        <w:rPr>
          <w:rFonts w:hint="eastAsia" w:eastAsia="宋体" w:cs="Times New Roman"/>
          <w:bCs/>
          <w:spacing w:val="8"/>
          <w:kern w:val="0"/>
          <w:sz w:val="24"/>
        </w:rPr>
        <w:t>有关技术指标执行《公路工程技术标准》JTG B01-2014及相关技术标准、规范、规程的规定。</w:t>
      </w:r>
    </w:p>
    <w:p>
      <w:pPr>
        <w:spacing w:line="700" w:lineRule="exact"/>
        <w:jc w:val="center"/>
        <w:rPr>
          <w:rFonts w:ascii="Times New Roman" w:hAnsi="Times New Roman" w:eastAsia="黑体"/>
          <w:bCs/>
          <w:sz w:val="24"/>
        </w:rPr>
      </w:pPr>
      <w:r>
        <w:rPr>
          <w:rFonts w:eastAsia="黑体"/>
          <w:bCs/>
          <w:sz w:val="24"/>
        </w:rPr>
        <w:t>主线主要技术标准表</w:t>
      </w:r>
    </w:p>
    <w:tbl>
      <w:tblPr>
        <w:tblStyle w:val="11"/>
        <w:tblW w:w="865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9"/>
        <w:gridCol w:w="426"/>
        <w:gridCol w:w="1881"/>
        <w:gridCol w:w="1701"/>
        <w:gridCol w:w="34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3556" w:type="dxa"/>
            <w:gridSpan w:val="3"/>
            <w:tcBorders>
              <w:top w:val="single" w:color="auto" w:sz="12" w:space="0"/>
              <w:bottom w:val="single" w:color="auto" w:sz="12" w:space="0"/>
              <w:right w:val="nil"/>
            </w:tcBorders>
            <w:noWrap w:val="0"/>
            <w:vAlign w:val="center"/>
          </w:tcPr>
          <w:p>
            <w:pPr>
              <w:widowControl/>
              <w:jc w:val="center"/>
              <w:rPr>
                <w:rFonts w:ascii="Times New Roman" w:hAnsi="Times New Roman"/>
                <w:b/>
                <w:kern w:val="0"/>
                <w:szCs w:val="21"/>
              </w:rPr>
            </w:pPr>
            <w:r>
              <w:rPr>
                <w:b/>
                <w:kern w:val="0"/>
                <w:szCs w:val="21"/>
              </w:rPr>
              <w:t>指    标   名   称</w:t>
            </w:r>
          </w:p>
        </w:tc>
        <w:tc>
          <w:tcPr>
            <w:tcW w:w="1701" w:type="dxa"/>
            <w:tcBorders>
              <w:top w:val="single" w:color="auto" w:sz="12" w:space="0"/>
              <w:left w:val="nil"/>
              <w:bottom w:val="single" w:color="auto" w:sz="12" w:space="0"/>
              <w:right w:val="nil"/>
            </w:tcBorders>
            <w:noWrap w:val="0"/>
            <w:vAlign w:val="center"/>
          </w:tcPr>
          <w:p>
            <w:pPr>
              <w:widowControl/>
              <w:jc w:val="center"/>
              <w:rPr>
                <w:rFonts w:ascii="Times New Roman" w:hAnsi="Times New Roman"/>
                <w:b/>
                <w:kern w:val="0"/>
                <w:szCs w:val="21"/>
              </w:rPr>
            </w:pPr>
            <w:r>
              <w:rPr>
                <w:b/>
                <w:kern w:val="0"/>
                <w:szCs w:val="21"/>
              </w:rPr>
              <w:t>单位</w:t>
            </w:r>
          </w:p>
        </w:tc>
        <w:tc>
          <w:tcPr>
            <w:tcW w:w="3402" w:type="dxa"/>
            <w:tcBorders>
              <w:top w:val="single" w:color="auto" w:sz="12" w:space="0"/>
              <w:left w:val="nil"/>
              <w:bottom w:val="single" w:color="auto" w:sz="12" w:space="0"/>
            </w:tcBorders>
            <w:noWrap w:val="0"/>
            <w:vAlign w:val="center"/>
          </w:tcPr>
          <w:p>
            <w:pPr>
              <w:widowControl/>
              <w:jc w:val="center"/>
              <w:rPr>
                <w:rFonts w:ascii="Times New Roman" w:hAnsi="Times New Roman"/>
                <w:b/>
                <w:kern w:val="0"/>
                <w:szCs w:val="21"/>
              </w:rPr>
            </w:pPr>
            <w:r>
              <w:rPr>
                <w:b/>
                <w:kern w:val="0"/>
                <w:szCs w:val="21"/>
              </w:rPr>
              <w:t>技术指标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3556" w:type="dxa"/>
            <w:gridSpan w:val="3"/>
            <w:tcBorders>
              <w:top w:val="single" w:color="auto" w:sz="12" w:space="0"/>
            </w:tcBorders>
            <w:noWrap w:val="0"/>
            <w:vAlign w:val="center"/>
          </w:tcPr>
          <w:p>
            <w:pPr>
              <w:widowControl/>
              <w:jc w:val="center"/>
              <w:rPr>
                <w:rFonts w:ascii="Times New Roman" w:hAnsi="Times New Roman"/>
                <w:kern w:val="0"/>
                <w:szCs w:val="21"/>
              </w:rPr>
            </w:pPr>
            <w:r>
              <w:rPr>
                <w:kern w:val="0"/>
                <w:szCs w:val="21"/>
              </w:rPr>
              <w:t>公    路   等   级</w:t>
            </w:r>
          </w:p>
        </w:tc>
        <w:tc>
          <w:tcPr>
            <w:tcW w:w="1701" w:type="dxa"/>
            <w:tcBorders>
              <w:top w:val="single" w:color="auto" w:sz="12" w:space="0"/>
            </w:tcBorders>
            <w:noWrap w:val="0"/>
            <w:vAlign w:val="center"/>
          </w:tcPr>
          <w:p>
            <w:pPr>
              <w:widowControl/>
              <w:jc w:val="center"/>
              <w:rPr>
                <w:rFonts w:ascii="Times New Roman" w:hAnsi="Times New Roman"/>
                <w:kern w:val="0"/>
                <w:szCs w:val="21"/>
              </w:rPr>
            </w:pPr>
            <w:r>
              <w:rPr>
                <w:kern w:val="0"/>
                <w:szCs w:val="21"/>
              </w:rPr>
              <w:t>　</w:t>
            </w:r>
          </w:p>
        </w:tc>
        <w:tc>
          <w:tcPr>
            <w:tcW w:w="3402" w:type="dxa"/>
            <w:tcBorders>
              <w:top w:val="single" w:color="auto" w:sz="12" w:space="0"/>
            </w:tcBorders>
            <w:noWrap w:val="0"/>
            <w:vAlign w:val="center"/>
          </w:tcPr>
          <w:p>
            <w:pPr>
              <w:widowControl/>
              <w:jc w:val="center"/>
              <w:rPr>
                <w:rFonts w:ascii="Times New Roman" w:hAnsi="Times New Roman"/>
                <w:kern w:val="0"/>
                <w:szCs w:val="21"/>
              </w:rPr>
            </w:pPr>
            <w:r>
              <w:rPr>
                <w:kern w:val="0"/>
                <w:szCs w:val="21"/>
                <w:u w:val="single"/>
              </w:rPr>
              <w:t>高速</w:t>
            </w:r>
            <w:r>
              <w:rPr>
                <w:kern w:val="0"/>
                <w:szCs w:val="21"/>
              </w:rPr>
              <w:t>公路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3556" w:type="dxa"/>
            <w:gridSpan w:val="3"/>
            <w:noWrap w:val="0"/>
            <w:vAlign w:val="center"/>
          </w:tcPr>
          <w:p>
            <w:pPr>
              <w:widowControl/>
              <w:jc w:val="center"/>
              <w:rPr>
                <w:rFonts w:ascii="Times New Roman" w:hAnsi="Times New Roman"/>
                <w:kern w:val="0"/>
                <w:szCs w:val="21"/>
              </w:rPr>
            </w:pPr>
            <w:r>
              <w:rPr>
                <w:kern w:val="0"/>
                <w:szCs w:val="21"/>
              </w:rPr>
              <w:t>设   计    速    度</w:t>
            </w:r>
          </w:p>
        </w:tc>
        <w:tc>
          <w:tcPr>
            <w:tcW w:w="1701" w:type="dxa"/>
            <w:noWrap w:val="0"/>
            <w:vAlign w:val="center"/>
          </w:tcPr>
          <w:p>
            <w:pPr>
              <w:widowControl/>
              <w:jc w:val="center"/>
              <w:rPr>
                <w:rFonts w:ascii="Times New Roman" w:hAnsi="Times New Roman"/>
                <w:kern w:val="0"/>
                <w:szCs w:val="21"/>
              </w:rPr>
            </w:pPr>
            <w:r>
              <w:rPr>
                <w:kern w:val="0"/>
                <w:szCs w:val="21"/>
              </w:rPr>
              <w:t>km/h</w:t>
            </w:r>
          </w:p>
        </w:tc>
        <w:tc>
          <w:tcPr>
            <w:tcW w:w="3402" w:type="dxa"/>
            <w:noWrap w:val="0"/>
            <w:vAlign w:val="center"/>
          </w:tcPr>
          <w:p>
            <w:pPr>
              <w:widowControl/>
              <w:jc w:val="center"/>
              <w:rPr>
                <w:rFonts w:ascii="Times New Roman" w:hAnsi="Times New Roman"/>
                <w:kern w:val="0"/>
                <w:szCs w:val="21"/>
              </w:rPr>
            </w:pPr>
            <w:r>
              <w:rPr>
                <w:kern w:val="0"/>
                <w:szCs w:val="21"/>
              </w:rPr>
              <w:t xml:space="preserve"> 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3556" w:type="dxa"/>
            <w:gridSpan w:val="3"/>
            <w:noWrap w:val="0"/>
            <w:vAlign w:val="center"/>
          </w:tcPr>
          <w:p>
            <w:pPr>
              <w:widowControl/>
              <w:jc w:val="center"/>
              <w:rPr>
                <w:rFonts w:ascii="Times New Roman" w:hAnsi="Times New Roman"/>
                <w:kern w:val="0"/>
                <w:szCs w:val="21"/>
              </w:rPr>
            </w:pPr>
            <w:r>
              <w:rPr>
                <w:kern w:val="0"/>
                <w:szCs w:val="21"/>
              </w:rPr>
              <w:t>路    基   宽   度</w:t>
            </w:r>
          </w:p>
        </w:tc>
        <w:tc>
          <w:tcPr>
            <w:tcW w:w="1701" w:type="dxa"/>
            <w:noWrap w:val="0"/>
            <w:vAlign w:val="center"/>
          </w:tcPr>
          <w:p>
            <w:pPr>
              <w:widowControl/>
              <w:jc w:val="center"/>
              <w:rPr>
                <w:rFonts w:ascii="Times New Roman" w:hAnsi="Times New Roman"/>
                <w:kern w:val="0"/>
                <w:szCs w:val="21"/>
              </w:rPr>
            </w:pPr>
            <w:r>
              <w:rPr>
                <w:kern w:val="0"/>
                <w:szCs w:val="21"/>
              </w:rPr>
              <w:t>m</w:t>
            </w:r>
          </w:p>
        </w:tc>
        <w:tc>
          <w:tcPr>
            <w:tcW w:w="3402" w:type="dxa"/>
            <w:noWrap w:val="0"/>
            <w:vAlign w:val="center"/>
          </w:tcPr>
          <w:p>
            <w:pPr>
              <w:widowControl/>
              <w:jc w:val="center"/>
              <w:rPr>
                <w:rFonts w:ascii="Times New Roman" w:hAnsi="Times New Roman"/>
                <w:kern w:val="0"/>
                <w:szCs w:val="21"/>
              </w:rPr>
            </w:pPr>
            <w:r>
              <w:rPr>
                <w:rFonts w:hint="eastAsia"/>
                <w:kern w:val="0"/>
                <w:szCs w:val="21"/>
              </w:rPr>
              <w:t>26.0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3556" w:type="dxa"/>
            <w:gridSpan w:val="3"/>
            <w:noWrap w:val="0"/>
            <w:vAlign w:val="center"/>
          </w:tcPr>
          <w:p>
            <w:pPr>
              <w:widowControl/>
              <w:jc w:val="center"/>
              <w:rPr>
                <w:rFonts w:ascii="Times New Roman" w:hAnsi="Times New Roman"/>
                <w:kern w:val="0"/>
                <w:szCs w:val="21"/>
              </w:rPr>
            </w:pPr>
            <w:r>
              <w:rPr>
                <w:kern w:val="0"/>
                <w:szCs w:val="21"/>
              </w:rPr>
              <w:t>设  计  荷  载</w:t>
            </w:r>
          </w:p>
        </w:tc>
        <w:tc>
          <w:tcPr>
            <w:tcW w:w="1701" w:type="dxa"/>
            <w:noWrap w:val="0"/>
            <w:vAlign w:val="center"/>
          </w:tcPr>
          <w:p>
            <w:pPr>
              <w:widowControl/>
              <w:jc w:val="center"/>
              <w:rPr>
                <w:rFonts w:ascii="Times New Roman" w:hAnsi="Times New Roman"/>
                <w:kern w:val="0"/>
                <w:szCs w:val="21"/>
              </w:rPr>
            </w:pPr>
            <w:r>
              <w:rPr>
                <w:kern w:val="0"/>
                <w:szCs w:val="21"/>
              </w:rPr>
              <w:t>　</w:t>
            </w:r>
          </w:p>
        </w:tc>
        <w:tc>
          <w:tcPr>
            <w:tcW w:w="3402" w:type="dxa"/>
            <w:noWrap w:val="0"/>
            <w:vAlign w:val="center"/>
          </w:tcPr>
          <w:p>
            <w:pPr>
              <w:widowControl/>
              <w:jc w:val="center"/>
              <w:rPr>
                <w:rFonts w:ascii="Times New Roman" w:hAnsi="Times New Roman"/>
                <w:kern w:val="0"/>
                <w:szCs w:val="21"/>
              </w:rPr>
            </w:pPr>
            <w:r>
              <w:rPr>
                <w:kern w:val="0"/>
                <w:szCs w:val="21"/>
              </w:rPr>
              <w:t>公路—</w:t>
            </w:r>
            <w:r>
              <w:rPr>
                <w:rFonts w:hint="eastAsia" w:ascii="宋体" w:hAnsi="宋体" w:cs="宋体"/>
                <w:kern w:val="0"/>
                <w:szCs w:val="21"/>
                <w:u w:val="single"/>
              </w:rPr>
              <w:t>Ⅰ</w:t>
            </w:r>
            <w:r>
              <w:rPr>
                <w:kern w:val="0"/>
                <w:szCs w:val="21"/>
              </w:rPr>
              <w:t>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3556" w:type="dxa"/>
            <w:gridSpan w:val="3"/>
            <w:noWrap w:val="0"/>
            <w:vAlign w:val="center"/>
          </w:tcPr>
          <w:p>
            <w:pPr>
              <w:widowControl/>
              <w:jc w:val="center"/>
              <w:rPr>
                <w:rFonts w:ascii="Times New Roman" w:hAnsi="Times New Roman"/>
                <w:kern w:val="0"/>
                <w:szCs w:val="21"/>
              </w:rPr>
            </w:pPr>
            <w:r>
              <w:rPr>
                <w:kern w:val="0"/>
                <w:szCs w:val="21"/>
              </w:rPr>
              <w:t>设 计 洪 水 频 率</w:t>
            </w:r>
          </w:p>
        </w:tc>
        <w:tc>
          <w:tcPr>
            <w:tcW w:w="1701" w:type="dxa"/>
            <w:noWrap w:val="0"/>
            <w:vAlign w:val="center"/>
          </w:tcPr>
          <w:p>
            <w:pPr>
              <w:widowControl/>
              <w:jc w:val="center"/>
              <w:rPr>
                <w:rFonts w:ascii="Times New Roman" w:hAnsi="Times New Roman"/>
                <w:kern w:val="0"/>
                <w:szCs w:val="21"/>
              </w:rPr>
            </w:pPr>
            <w:r>
              <w:rPr>
                <w:kern w:val="0"/>
                <w:szCs w:val="21"/>
              </w:rPr>
              <w:t>　</w:t>
            </w:r>
          </w:p>
        </w:tc>
        <w:tc>
          <w:tcPr>
            <w:tcW w:w="3402" w:type="dxa"/>
            <w:noWrap w:val="0"/>
            <w:vAlign w:val="center"/>
          </w:tcPr>
          <w:p>
            <w:pPr>
              <w:widowControl/>
              <w:jc w:val="center"/>
              <w:rPr>
                <w:rFonts w:ascii="Times New Roman" w:hAnsi="Times New Roman"/>
                <w:kern w:val="0"/>
                <w:szCs w:val="21"/>
              </w:rPr>
            </w:pPr>
            <w:r>
              <w:rPr>
                <w:kern w:val="0"/>
                <w:szCs w:val="21"/>
              </w:rPr>
              <w:t>1/100(特大桥1/300)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5" w:hRule="atLeast"/>
          <w:jc w:val="center"/>
        </w:trPr>
        <w:tc>
          <w:tcPr>
            <w:tcW w:w="1249" w:type="dxa"/>
            <w:vMerge w:val="restart"/>
            <w:noWrap w:val="0"/>
            <w:vAlign w:val="center"/>
          </w:tcPr>
          <w:p>
            <w:pPr>
              <w:widowControl/>
              <w:jc w:val="center"/>
              <w:rPr>
                <w:rFonts w:ascii="Times New Roman" w:hAnsi="Times New Roman"/>
                <w:kern w:val="0"/>
                <w:szCs w:val="21"/>
              </w:rPr>
            </w:pPr>
            <w:r>
              <w:rPr>
                <w:kern w:val="0"/>
                <w:szCs w:val="21"/>
              </w:rPr>
              <w:t>平曲线半径</w:t>
            </w:r>
          </w:p>
        </w:tc>
        <w:tc>
          <w:tcPr>
            <w:tcW w:w="2307" w:type="dxa"/>
            <w:gridSpan w:val="2"/>
            <w:noWrap w:val="0"/>
            <w:vAlign w:val="center"/>
          </w:tcPr>
          <w:p>
            <w:pPr>
              <w:widowControl/>
              <w:jc w:val="center"/>
              <w:rPr>
                <w:rFonts w:ascii="Times New Roman" w:hAnsi="Times New Roman"/>
                <w:kern w:val="0"/>
                <w:szCs w:val="21"/>
              </w:rPr>
            </w:pPr>
            <w:r>
              <w:rPr>
                <w:kern w:val="0"/>
                <w:szCs w:val="21"/>
              </w:rPr>
              <w:t>极  限 最  小</w:t>
            </w:r>
          </w:p>
        </w:tc>
        <w:tc>
          <w:tcPr>
            <w:tcW w:w="1701" w:type="dxa"/>
            <w:noWrap w:val="0"/>
            <w:vAlign w:val="center"/>
          </w:tcPr>
          <w:p>
            <w:pPr>
              <w:widowControl/>
              <w:jc w:val="center"/>
              <w:rPr>
                <w:rFonts w:ascii="Times New Roman" w:hAnsi="Times New Roman"/>
                <w:kern w:val="0"/>
                <w:szCs w:val="21"/>
              </w:rPr>
            </w:pPr>
            <w:r>
              <w:rPr>
                <w:kern w:val="0"/>
                <w:szCs w:val="21"/>
              </w:rPr>
              <w:t>m</w:t>
            </w:r>
          </w:p>
        </w:tc>
        <w:tc>
          <w:tcPr>
            <w:tcW w:w="3402" w:type="dxa"/>
            <w:noWrap w:val="0"/>
            <w:vAlign w:val="center"/>
          </w:tcPr>
          <w:p>
            <w:pPr>
              <w:widowControl/>
              <w:jc w:val="center"/>
              <w:rPr>
                <w:rFonts w:ascii="Times New Roman" w:hAnsi="Times New Roman"/>
                <w:kern w:val="0"/>
                <w:szCs w:val="21"/>
              </w:rPr>
            </w:pPr>
            <w:r>
              <w:rPr>
                <w:kern w:val="0"/>
                <w:szCs w:val="21"/>
              </w:rPr>
              <w:t>700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5" w:hRule="atLeast"/>
          <w:jc w:val="center"/>
        </w:trPr>
        <w:tc>
          <w:tcPr>
            <w:tcW w:w="1249" w:type="dxa"/>
            <w:vMerge w:val="continue"/>
            <w:noWrap w:val="0"/>
            <w:vAlign w:val="center"/>
          </w:tcPr>
          <w:p>
            <w:pPr>
              <w:jc w:val="left"/>
              <w:rPr>
                <w:rFonts w:ascii="Times New Roman" w:hAnsi="Times New Roman"/>
                <w:kern w:val="0"/>
                <w:szCs w:val="21"/>
              </w:rPr>
            </w:pPr>
          </w:p>
        </w:tc>
        <w:tc>
          <w:tcPr>
            <w:tcW w:w="2307" w:type="dxa"/>
            <w:gridSpan w:val="2"/>
            <w:noWrap w:val="0"/>
            <w:vAlign w:val="center"/>
          </w:tcPr>
          <w:p>
            <w:pPr>
              <w:widowControl/>
              <w:jc w:val="center"/>
              <w:rPr>
                <w:rFonts w:ascii="Times New Roman" w:hAnsi="Times New Roman"/>
                <w:kern w:val="0"/>
                <w:szCs w:val="21"/>
              </w:rPr>
            </w:pPr>
            <w:r>
              <w:rPr>
                <w:kern w:val="0"/>
                <w:szCs w:val="21"/>
              </w:rPr>
              <w:t>一  般 最  小</w:t>
            </w:r>
          </w:p>
        </w:tc>
        <w:tc>
          <w:tcPr>
            <w:tcW w:w="1701" w:type="dxa"/>
            <w:noWrap w:val="0"/>
            <w:vAlign w:val="center"/>
          </w:tcPr>
          <w:p>
            <w:pPr>
              <w:widowControl/>
              <w:jc w:val="center"/>
              <w:rPr>
                <w:rFonts w:ascii="Times New Roman" w:hAnsi="Times New Roman"/>
                <w:kern w:val="0"/>
                <w:szCs w:val="21"/>
              </w:rPr>
            </w:pPr>
            <w:r>
              <w:rPr>
                <w:kern w:val="0"/>
                <w:szCs w:val="21"/>
              </w:rPr>
              <w:t>m</w:t>
            </w:r>
          </w:p>
        </w:tc>
        <w:tc>
          <w:tcPr>
            <w:tcW w:w="3402" w:type="dxa"/>
            <w:noWrap w:val="0"/>
            <w:vAlign w:val="center"/>
          </w:tcPr>
          <w:p>
            <w:pPr>
              <w:widowControl/>
              <w:jc w:val="center"/>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5" w:hRule="atLeast"/>
          <w:jc w:val="center"/>
        </w:trPr>
        <w:tc>
          <w:tcPr>
            <w:tcW w:w="1249" w:type="dxa"/>
            <w:vMerge w:val="continue"/>
            <w:noWrap w:val="0"/>
            <w:vAlign w:val="center"/>
          </w:tcPr>
          <w:p>
            <w:pPr>
              <w:widowControl/>
              <w:jc w:val="left"/>
              <w:rPr>
                <w:rFonts w:ascii="Times New Roman" w:hAnsi="Times New Roman"/>
                <w:kern w:val="0"/>
                <w:szCs w:val="21"/>
              </w:rPr>
            </w:pPr>
          </w:p>
        </w:tc>
        <w:tc>
          <w:tcPr>
            <w:tcW w:w="2307" w:type="dxa"/>
            <w:gridSpan w:val="2"/>
            <w:noWrap w:val="0"/>
            <w:vAlign w:val="center"/>
          </w:tcPr>
          <w:p>
            <w:pPr>
              <w:widowControl/>
              <w:jc w:val="center"/>
              <w:rPr>
                <w:rFonts w:ascii="Times New Roman" w:hAnsi="Times New Roman"/>
                <w:kern w:val="0"/>
                <w:szCs w:val="21"/>
              </w:rPr>
            </w:pPr>
            <w:r>
              <w:rPr>
                <w:kern w:val="0"/>
                <w:szCs w:val="21"/>
              </w:rPr>
              <w:t>不设超高最小</w:t>
            </w:r>
          </w:p>
        </w:tc>
        <w:tc>
          <w:tcPr>
            <w:tcW w:w="1701" w:type="dxa"/>
            <w:noWrap w:val="0"/>
            <w:vAlign w:val="center"/>
          </w:tcPr>
          <w:p>
            <w:pPr>
              <w:widowControl/>
              <w:jc w:val="center"/>
              <w:rPr>
                <w:rFonts w:ascii="Times New Roman" w:hAnsi="Times New Roman"/>
                <w:kern w:val="0"/>
                <w:szCs w:val="21"/>
              </w:rPr>
            </w:pPr>
            <w:r>
              <w:rPr>
                <w:kern w:val="0"/>
                <w:szCs w:val="21"/>
              </w:rPr>
              <w:t>m</w:t>
            </w:r>
          </w:p>
        </w:tc>
        <w:tc>
          <w:tcPr>
            <w:tcW w:w="3402" w:type="dxa"/>
            <w:noWrap w:val="0"/>
            <w:vAlign w:val="center"/>
          </w:tcPr>
          <w:p>
            <w:pPr>
              <w:widowControl/>
              <w:jc w:val="center"/>
              <w:rPr>
                <w:rFonts w:ascii="Times New Roman" w:hAnsi="Times New Roman"/>
                <w:kern w:val="0"/>
                <w:szCs w:val="21"/>
              </w:rPr>
            </w:pPr>
            <w:r>
              <w:rPr>
                <w:rFonts w:hint="eastAsia"/>
                <w:kern w:val="0"/>
                <w:szCs w:val="21"/>
              </w:rPr>
              <w:t>4800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5" w:hRule="atLeast"/>
          <w:jc w:val="center"/>
        </w:trPr>
        <w:tc>
          <w:tcPr>
            <w:tcW w:w="3556" w:type="dxa"/>
            <w:gridSpan w:val="3"/>
            <w:noWrap w:val="0"/>
            <w:vAlign w:val="center"/>
          </w:tcPr>
          <w:p>
            <w:pPr>
              <w:widowControl/>
              <w:jc w:val="center"/>
              <w:rPr>
                <w:rFonts w:ascii="Times New Roman" w:hAnsi="Times New Roman"/>
                <w:kern w:val="0"/>
                <w:szCs w:val="21"/>
              </w:rPr>
            </w:pPr>
            <w:r>
              <w:rPr>
                <w:kern w:val="0"/>
                <w:szCs w:val="21"/>
              </w:rPr>
              <w:t>最   大   纵   坡</w:t>
            </w:r>
          </w:p>
        </w:tc>
        <w:tc>
          <w:tcPr>
            <w:tcW w:w="1701" w:type="dxa"/>
            <w:noWrap w:val="0"/>
            <w:vAlign w:val="center"/>
          </w:tcPr>
          <w:p>
            <w:pPr>
              <w:widowControl/>
              <w:jc w:val="center"/>
              <w:rPr>
                <w:rFonts w:ascii="Times New Roman" w:hAnsi="Times New Roman"/>
                <w:kern w:val="0"/>
                <w:szCs w:val="21"/>
              </w:rPr>
            </w:pPr>
            <w:r>
              <w:rPr>
                <w:kern w:val="0"/>
                <w:szCs w:val="21"/>
              </w:rPr>
              <w:t>%</w:t>
            </w:r>
          </w:p>
        </w:tc>
        <w:tc>
          <w:tcPr>
            <w:tcW w:w="3402" w:type="dxa"/>
            <w:noWrap w:val="0"/>
            <w:vAlign w:val="center"/>
          </w:tcPr>
          <w:p>
            <w:pPr>
              <w:widowControl/>
              <w:jc w:val="center"/>
              <w:rPr>
                <w:rFonts w:ascii="Times New Roman" w:hAnsi="Times New Roman"/>
                <w:kern w:val="0"/>
                <w:szCs w:val="21"/>
              </w:rPr>
            </w:pPr>
            <w:r>
              <w:rPr>
                <w:kern w:val="0"/>
                <w:szCs w:val="21"/>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5" w:hRule="atLeast"/>
          <w:jc w:val="center"/>
        </w:trPr>
        <w:tc>
          <w:tcPr>
            <w:tcW w:w="3556" w:type="dxa"/>
            <w:gridSpan w:val="3"/>
            <w:noWrap w:val="0"/>
            <w:vAlign w:val="center"/>
          </w:tcPr>
          <w:p>
            <w:pPr>
              <w:widowControl/>
              <w:jc w:val="center"/>
              <w:rPr>
                <w:rFonts w:ascii="Times New Roman" w:hAnsi="Times New Roman"/>
                <w:kern w:val="0"/>
                <w:szCs w:val="21"/>
              </w:rPr>
            </w:pPr>
            <w:r>
              <w:rPr>
                <w:kern w:val="0"/>
                <w:szCs w:val="21"/>
              </w:rPr>
              <w:t>最   短   坡   长</w:t>
            </w:r>
          </w:p>
        </w:tc>
        <w:tc>
          <w:tcPr>
            <w:tcW w:w="1701" w:type="dxa"/>
            <w:noWrap w:val="0"/>
            <w:vAlign w:val="center"/>
          </w:tcPr>
          <w:p>
            <w:pPr>
              <w:widowControl/>
              <w:jc w:val="center"/>
              <w:rPr>
                <w:rFonts w:ascii="Times New Roman" w:hAnsi="Times New Roman"/>
                <w:kern w:val="0"/>
                <w:szCs w:val="21"/>
              </w:rPr>
            </w:pPr>
            <w:r>
              <w:rPr>
                <w:kern w:val="0"/>
                <w:szCs w:val="21"/>
              </w:rPr>
              <w:t>m</w:t>
            </w:r>
          </w:p>
        </w:tc>
        <w:tc>
          <w:tcPr>
            <w:tcW w:w="3402" w:type="dxa"/>
            <w:noWrap w:val="0"/>
            <w:vAlign w:val="center"/>
          </w:tcPr>
          <w:p>
            <w:pPr>
              <w:widowControl/>
              <w:jc w:val="center"/>
              <w:rPr>
                <w:rFonts w:ascii="Times New Roman" w:hAnsi="Times New Roman"/>
                <w:kern w:val="0"/>
                <w:szCs w:val="21"/>
              </w:rPr>
            </w:pPr>
            <w:r>
              <w:rPr>
                <w:rFonts w:hint="eastAsia"/>
                <w:kern w:val="0"/>
                <w:szCs w:val="21"/>
              </w:rPr>
              <w:t>250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3556" w:type="dxa"/>
            <w:gridSpan w:val="3"/>
            <w:noWrap w:val="0"/>
            <w:vAlign w:val="center"/>
          </w:tcPr>
          <w:p>
            <w:pPr>
              <w:widowControl/>
              <w:jc w:val="center"/>
              <w:rPr>
                <w:rFonts w:ascii="Times New Roman" w:hAnsi="Times New Roman"/>
                <w:kern w:val="0"/>
                <w:szCs w:val="21"/>
              </w:rPr>
            </w:pPr>
            <w:r>
              <w:rPr>
                <w:kern w:val="0"/>
                <w:szCs w:val="21"/>
              </w:rPr>
              <w:t>车   道   数   量</w:t>
            </w:r>
          </w:p>
        </w:tc>
        <w:tc>
          <w:tcPr>
            <w:tcW w:w="1701" w:type="dxa"/>
            <w:noWrap w:val="0"/>
            <w:vAlign w:val="center"/>
          </w:tcPr>
          <w:p>
            <w:pPr>
              <w:widowControl/>
              <w:jc w:val="center"/>
              <w:rPr>
                <w:rFonts w:ascii="Times New Roman" w:hAnsi="Times New Roman"/>
                <w:kern w:val="0"/>
                <w:szCs w:val="21"/>
              </w:rPr>
            </w:pPr>
            <w:r>
              <w:rPr>
                <w:kern w:val="0"/>
                <w:szCs w:val="21"/>
              </w:rPr>
              <w:t>道</w:t>
            </w:r>
          </w:p>
        </w:tc>
        <w:tc>
          <w:tcPr>
            <w:tcW w:w="3402" w:type="dxa"/>
            <w:noWrap w:val="0"/>
            <w:vAlign w:val="center"/>
          </w:tcPr>
          <w:p>
            <w:pPr>
              <w:widowControl/>
              <w:jc w:val="center"/>
              <w:rPr>
                <w:rFonts w:ascii="Times New Roman" w:hAnsi="Times New Roman"/>
                <w:kern w:val="0"/>
                <w:szCs w:val="21"/>
              </w:rPr>
            </w:pPr>
            <w:r>
              <w:rPr>
                <w:kern w:val="0"/>
                <w:szCs w:val="21"/>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1249" w:type="dxa"/>
            <w:vMerge w:val="restart"/>
            <w:noWrap w:val="0"/>
            <w:vAlign w:val="center"/>
          </w:tcPr>
          <w:p>
            <w:pPr>
              <w:widowControl/>
              <w:jc w:val="center"/>
              <w:rPr>
                <w:rFonts w:ascii="Times New Roman" w:hAnsi="Times New Roman"/>
                <w:kern w:val="0"/>
                <w:szCs w:val="21"/>
              </w:rPr>
            </w:pPr>
            <w:r>
              <w:rPr>
                <w:kern w:val="0"/>
                <w:szCs w:val="21"/>
              </w:rPr>
              <w:t>竖曲线半径</w:t>
            </w:r>
          </w:p>
        </w:tc>
        <w:tc>
          <w:tcPr>
            <w:tcW w:w="426" w:type="dxa"/>
            <w:vMerge w:val="restart"/>
            <w:noWrap w:val="0"/>
            <w:vAlign w:val="center"/>
          </w:tcPr>
          <w:p>
            <w:pPr>
              <w:widowControl/>
              <w:jc w:val="center"/>
              <w:rPr>
                <w:rFonts w:ascii="Times New Roman" w:hAnsi="Times New Roman"/>
                <w:kern w:val="0"/>
                <w:szCs w:val="21"/>
              </w:rPr>
            </w:pPr>
            <w:r>
              <w:rPr>
                <w:kern w:val="0"/>
                <w:szCs w:val="21"/>
              </w:rPr>
              <w:t>凸</w:t>
            </w:r>
          </w:p>
          <w:p>
            <w:pPr>
              <w:jc w:val="center"/>
              <w:rPr>
                <w:rFonts w:ascii="Times New Roman" w:hAnsi="Times New Roman"/>
                <w:kern w:val="0"/>
                <w:szCs w:val="21"/>
              </w:rPr>
            </w:pPr>
            <w:r>
              <w:rPr>
                <w:kern w:val="0"/>
                <w:szCs w:val="21"/>
              </w:rPr>
              <w:t>型</w:t>
            </w:r>
          </w:p>
        </w:tc>
        <w:tc>
          <w:tcPr>
            <w:tcW w:w="1881" w:type="dxa"/>
            <w:noWrap w:val="0"/>
            <w:vAlign w:val="center"/>
          </w:tcPr>
          <w:p>
            <w:pPr>
              <w:widowControl/>
              <w:jc w:val="center"/>
              <w:rPr>
                <w:rFonts w:ascii="Times New Roman" w:hAnsi="Times New Roman"/>
                <w:kern w:val="0"/>
                <w:szCs w:val="21"/>
              </w:rPr>
            </w:pPr>
            <w:r>
              <w:rPr>
                <w:kern w:val="0"/>
                <w:szCs w:val="21"/>
              </w:rPr>
              <w:t>极限最小</w:t>
            </w:r>
          </w:p>
        </w:tc>
        <w:tc>
          <w:tcPr>
            <w:tcW w:w="1701" w:type="dxa"/>
            <w:noWrap w:val="0"/>
            <w:vAlign w:val="center"/>
          </w:tcPr>
          <w:p>
            <w:pPr>
              <w:widowControl/>
              <w:jc w:val="center"/>
              <w:rPr>
                <w:rFonts w:ascii="Times New Roman" w:hAnsi="Times New Roman"/>
                <w:kern w:val="0"/>
                <w:szCs w:val="21"/>
              </w:rPr>
            </w:pPr>
            <w:r>
              <w:rPr>
                <w:kern w:val="0"/>
                <w:szCs w:val="21"/>
              </w:rPr>
              <w:t>m</w:t>
            </w:r>
          </w:p>
        </w:tc>
        <w:tc>
          <w:tcPr>
            <w:tcW w:w="3402" w:type="dxa"/>
            <w:noWrap w:val="0"/>
            <w:vAlign w:val="center"/>
          </w:tcPr>
          <w:p>
            <w:pPr>
              <w:widowControl/>
              <w:jc w:val="center"/>
              <w:rPr>
                <w:rFonts w:ascii="Times New Roman" w:hAnsi="Times New Roman"/>
                <w:kern w:val="0"/>
                <w:szCs w:val="21"/>
              </w:rPr>
            </w:pPr>
            <w:r>
              <w:rPr>
                <w:rFonts w:hint="eastAsia"/>
                <w:kern w:val="0"/>
                <w:szCs w:val="21"/>
              </w:rPr>
              <w:t>6517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1249" w:type="dxa"/>
            <w:vMerge w:val="continue"/>
            <w:noWrap w:val="0"/>
            <w:vAlign w:val="center"/>
          </w:tcPr>
          <w:p>
            <w:pPr>
              <w:widowControl/>
              <w:jc w:val="left"/>
              <w:rPr>
                <w:rFonts w:ascii="Times New Roman" w:hAnsi="Times New Roman"/>
                <w:kern w:val="0"/>
                <w:szCs w:val="21"/>
              </w:rPr>
            </w:pPr>
          </w:p>
        </w:tc>
        <w:tc>
          <w:tcPr>
            <w:tcW w:w="426" w:type="dxa"/>
            <w:vMerge w:val="continue"/>
            <w:noWrap w:val="0"/>
            <w:vAlign w:val="center"/>
          </w:tcPr>
          <w:p>
            <w:pPr>
              <w:widowControl/>
              <w:jc w:val="center"/>
              <w:rPr>
                <w:rFonts w:ascii="Times New Roman" w:hAnsi="Times New Roman"/>
                <w:kern w:val="0"/>
                <w:szCs w:val="21"/>
              </w:rPr>
            </w:pPr>
          </w:p>
        </w:tc>
        <w:tc>
          <w:tcPr>
            <w:tcW w:w="1881" w:type="dxa"/>
            <w:noWrap w:val="0"/>
            <w:vAlign w:val="center"/>
          </w:tcPr>
          <w:p>
            <w:pPr>
              <w:widowControl/>
              <w:jc w:val="center"/>
              <w:rPr>
                <w:rFonts w:ascii="Times New Roman" w:hAnsi="Times New Roman"/>
                <w:kern w:val="0"/>
                <w:szCs w:val="21"/>
              </w:rPr>
            </w:pPr>
            <w:r>
              <w:rPr>
                <w:kern w:val="0"/>
                <w:szCs w:val="21"/>
              </w:rPr>
              <w:t>一般最小</w:t>
            </w:r>
          </w:p>
        </w:tc>
        <w:tc>
          <w:tcPr>
            <w:tcW w:w="1701" w:type="dxa"/>
            <w:noWrap w:val="0"/>
            <w:vAlign w:val="center"/>
          </w:tcPr>
          <w:p>
            <w:pPr>
              <w:widowControl/>
              <w:jc w:val="center"/>
              <w:rPr>
                <w:rFonts w:ascii="Times New Roman" w:hAnsi="Times New Roman"/>
                <w:kern w:val="0"/>
                <w:szCs w:val="21"/>
              </w:rPr>
            </w:pPr>
            <w:r>
              <w:rPr>
                <w:kern w:val="0"/>
                <w:szCs w:val="21"/>
              </w:rPr>
              <w:t>m</w:t>
            </w:r>
          </w:p>
        </w:tc>
        <w:tc>
          <w:tcPr>
            <w:tcW w:w="3402" w:type="dxa"/>
            <w:noWrap w:val="0"/>
            <w:vAlign w:val="center"/>
          </w:tcPr>
          <w:p>
            <w:pPr>
              <w:widowControl/>
              <w:jc w:val="center"/>
              <w:rPr>
                <w:rFonts w:ascii="Times New Roman" w:hAnsi="Times New Roman"/>
                <w:kern w:val="0"/>
                <w:szCs w:val="21"/>
              </w:rPr>
            </w:pPr>
            <w:r>
              <w:rPr>
                <w:kern w:val="0"/>
                <w:szCs w:val="21"/>
              </w:rPr>
              <w:t>10000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1249" w:type="dxa"/>
            <w:vMerge w:val="continue"/>
            <w:noWrap w:val="0"/>
            <w:vAlign w:val="center"/>
          </w:tcPr>
          <w:p>
            <w:pPr>
              <w:widowControl/>
              <w:jc w:val="left"/>
              <w:rPr>
                <w:rFonts w:ascii="Times New Roman" w:hAnsi="Times New Roman"/>
                <w:kern w:val="0"/>
                <w:szCs w:val="21"/>
              </w:rPr>
            </w:pPr>
          </w:p>
        </w:tc>
        <w:tc>
          <w:tcPr>
            <w:tcW w:w="426" w:type="dxa"/>
            <w:vMerge w:val="restart"/>
            <w:noWrap w:val="0"/>
            <w:vAlign w:val="center"/>
          </w:tcPr>
          <w:p>
            <w:pPr>
              <w:widowControl/>
              <w:jc w:val="center"/>
              <w:rPr>
                <w:rFonts w:ascii="Times New Roman" w:hAnsi="Times New Roman"/>
                <w:kern w:val="0"/>
                <w:szCs w:val="21"/>
              </w:rPr>
            </w:pPr>
            <w:r>
              <w:rPr>
                <w:kern w:val="0"/>
                <w:szCs w:val="21"/>
              </w:rPr>
              <w:t>凹</w:t>
            </w:r>
          </w:p>
          <w:p>
            <w:pPr>
              <w:jc w:val="center"/>
              <w:rPr>
                <w:rFonts w:ascii="Times New Roman" w:hAnsi="Times New Roman"/>
                <w:kern w:val="0"/>
                <w:szCs w:val="21"/>
              </w:rPr>
            </w:pPr>
            <w:r>
              <w:rPr>
                <w:kern w:val="0"/>
                <w:szCs w:val="21"/>
              </w:rPr>
              <w:t>型</w:t>
            </w:r>
          </w:p>
        </w:tc>
        <w:tc>
          <w:tcPr>
            <w:tcW w:w="1881" w:type="dxa"/>
            <w:noWrap w:val="0"/>
            <w:vAlign w:val="center"/>
          </w:tcPr>
          <w:p>
            <w:pPr>
              <w:widowControl/>
              <w:jc w:val="center"/>
              <w:rPr>
                <w:rFonts w:ascii="Times New Roman" w:hAnsi="Times New Roman"/>
                <w:kern w:val="0"/>
                <w:szCs w:val="21"/>
              </w:rPr>
            </w:pPr>
            <w:r>
              <w:rPr>
                <w:kern w:val="0"/>
                <w:szCs w:val="21"/>
              </w:rPr>
              <w:t>极限最小</w:t>
            </w:r>
          </w:p>
        </w:tc>
        <w:tc>
          <w:tcPr>
            <w:tcW w:w="1701" w:type="dxa"/>
            <w:noWrap w:val="0"/>
            <w:vAlign w:val="center"/>
          </w:tcPr>
          <w:p>
            <w:pPr>
              <w:widowControl/>
              <w:jc w:val="center"/>
              <w:rPr>
                <w:rFonts w:ascii="Times New Roman" w:hAnsi="Times New Roman"/>
                <w:kern w:val="0"/>
                <w:szCs w:val="21"/>
              </w:rPr>
            </w:pPr>
            <w:r>
              <w:rPr>
                <w:kern w:val="0"/>
                <w:szCs w:val="21"/>
              </w:rPr>
              <w:t>m</w:t>
            </w:r>
          </w:p>
        </w:tc>
        <w:tc>
          <w:tcPr>
            <w:tcW w:w="3402" w:type="dxa"/>
            <w:noWrap w:val="0"/>
            <w:vAlign w:val="center"/>
          </w:tcPr>
          <w:p>
            <w:pPr>
              <w:widowControl/>
              <w:jc w:val="center"/>
              <w:rPr>
                <w:rFonts w:ascii="Times New Roman" w:hAnsi="Times New Roman"/>
                <w:kern w:val="0"/>
                <w:szCs w:val="21"/>
              </w:rPr>
            </w:pPr>
            <w:r>
              <w:rPr>
                <w:rFonts w:hint="eastAsia"/>
                <w:kern w:val="0"/>
                <w:szCs w:val="21"/>
              </w:rPr>
              <w:t>4800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1249" w:type="dxa"/>
            <w:vMerge w:val="continue"/>
            <w:noWrap w:val="0"/>
            <w:vAlign w:val="center"/>
          </w:tcPr>
          <w:p>
            <w:pPr>
              <w:widowControl/>
              <w:jc w:val="left"/>
              <w:rPr>
                <w:rFonts w:ascii="Times New Roman" w:hAnsi="Times New Roman"/>
                <w:kern w:val="0"/>
                <w:szCs w:val="21"/>
              </w:rPr>
            </w:pPr>
          </w:p>
        </w:tc>
        <w:tc>
          <w:tcPr>
            <w:tcW w:w="426" w:type="dxa"/>
            <w:vMerge w:val="continue"/>
            <w:noWrap w:val="0"/>
            <w:vAlign w:val="center"/>
          </w:tcPr>
          <w:p>
            <w:pPr>
              <w:widowControl/>
              <w:jc w:val="center"/>
              <w:rPr>
                <w:rFonts w:ascii="Times New Roman" w:hAnsi="Times New Roman"/>
                <w:kern w:val="0"/>
                <w:szCs w:val="21"/>
              </w:rPr>
            </w:pPr>
          </w:p>
        </w:tc>
        <w:tc>
          <w:tcPr>
            <w:tcW w:w="1881" w:type="dxa"/>
            <w:noWrap w:val="0"/>
            <w:vAlign w:val="center"/>
          </w:tcPr>
          <w:p>
            <w:pPr>
              <w:widowControl/>
              <w:jc w:val="center"/>
              <w:rPr>
                <w:rFonts w:ascii="Times New Roman" w:hAnsi="Times New Roman"/>
                <w:kern w:val="0"/>
                <w:szCs w:val="21"/>
              </w:rPr>
            </w:pPr>
            <w:r>
              <w:rPr>
                <w:kern w:val="0"/>
                <w:szCs w:val="21"/>
              </w:rPr>
              <w:t>一般最小</w:t>
            </w:r>
          </w:p>
        </w:tc>
        <w:tc>
          <w:tcPr>
            <w:tcW w:w="1701" w:type="dxa"/>
            <w:noWrap w:val="0"/>
            <w:vAlign w:val="center"/>
          </w:tcPr>
          <w:p>
            <w:pPr>
              <w:widowControl/>
              <w:jc w:val="center"/>
              <w:rPr>
                <w:rFonts w:ascii="Times New Roman" w:hAnsi="Times New Roman"/>
                <w:kern w:val="0"/>
                <w:szCs w:val="21"/>
              </w:rPr>
            </w:pPr>
            <w:r>
              <w:rPr>
                <w:kern w:val="0"/>
                <w:szCs w:val="21"/>
              </w:rPr>
              <w:t>m</w:t>
            </w:r>
          </w:p>
        </w:tc>
        <w:tc>
          <w:tcPr>
            <w:tcW w:w="3402" w:type="dxa"/>
            <w:noWrap w:val="0"/>
            <w:vAlign w:val="center"/>
          </w:tcPr>
          <w:p>
            <w:pPr>
              <w:widowControl/>
              <w:jc w:val="center"/>
              <w:rPr>
                <w:rFonts w:ascii="Times New Roman" w:hAnsi="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5" w:hRule="atLeast"/>
          <w:jc w:val="center"/>
        </w:trPr>
        <w:tc>
          <w:tcPr>
            <w:tcW w:w="3556" w:type="dxa"/>
            <w:gridSpan w:val="3"/>
            <w:noWrap w:val="0"/>
            <w:vAlign w:val="center"/>
          </w:tcPr>
          <w:p>
            <w:pPr>
              <w:widowControl/>
              <w:jc w:val="center"/>
              <w:rPr>
                <w:rFonts w:ascii="Times New Roman" w:hAnsi="Times New Roman"/>
                <w:kern w:val="0"/>
                <w:szCs w:val="21"/>
              </w:rPr>
            </w:pPr>
            <w:r>
              <w:rPr>
                <w:kern w:val="0"/>
                <w:szCs w:val="21"/>
              </w:rPr>
              <w:t>最小竖曲线长度</w:t>
            </w:r>
          </w:p>
        </w:tc>
        <w:tc>
          <w:tcPr>
            <w:tcW w:w="1701" w:type="dxa"/>
            <w:noWrap w:val="0"/>
            <w:vAlign w:val="center"/>
          </w:tcPr>
          <w:p>
            <w:pPr>
              <w:widowControl/>
              <w:jc w:val="center"/>
              <w:rPr>
                <w:rFonts w:ascii="Times New Roman" w:hAnsi="Times New Roman"/>
                <w:kern w:val="0"/>
                <w:szCs w:val="21"/>
              </w:rPr>
            </w:pPr>
            <w:r>
              <w:rPr>
                <w:kern w:val="0"/>
                <w:szCs w:val="21"/>
              </w:rPr>
              <w:t>m</w:t>
            </w:r>
          </w:p>
        </w:tc>
        <w:tc>
          <w:tcPr>
            <w:tcW w:w="3402" w:type="dxa"/>
            <w:noWrap w:val="0"/>
            <w:vAlign w:val="center"/>
          </w:tcPr>
          <w:p>
            <w:pPr>
              <w:widowControl/>
              <w:jc w:val="center"/>
              <w:rPr>
                <w:rFonts w:ascii="Times New Roman" w:hAnsi="Times New Roman"/>
                <w:kern w:val="0"/>
                <w:szCs w:val="21"/>
              </w:rPr>
            </w:pPr>
            <w:r>
              <w:rPr>
                <w:kern w:val="0"/>
                <w:szCs w:val="21"/>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3556" w:type="dxa"/>
            <w:gridSpan w:val="3"/>
            <w:noWrap w:val="0"/>
            <w:vAlign w:val="center"/>
          </w:tcPr>
          <w:p>
            <w:pPr>
              <w:widowControl/>
              <w:jc w:val="center"/>
              <w:rPr>
                <w:rFonts w:ascii="Times New Roman" w:hAnsi="Times New Roman"/>
                <w:kern w:val="0"/>
                <w:szCs w:val="21"/>
              </w:rPr>
            </w:pPr>
            <w:r>
              <w:rPr>
                <w:kern w:val="0"/>
                <w:szCs w:val="21"/>
              </w:rPr>
              <w:t>路面等级</w:t>
            </w:r>
          </w:p>
        </w:tc>
        <w:tc>
          <w:tcPr>
            <w:tcW w:w="1701" w:type="dxa"/>
            <w:noWrap w:val="0"/>
            <w:vAlign w:val="center"/>
          </w:tcPr>
          <w:p>
            <w:pPr>
              <w:widowControl/>
              <w:jc w:val="left"/>
              <w:rPr>
                <w:rFonts w:ascii="Times New Roman" w:hAnsi="Times New Roman"/>
                <w:kern w:val="0"/>
                <w:szCs w:val="21"/>
              </w:rPr>
            </w:pPr>
          </w:p>
        </w:tc>
        <w:tc>
          <w:tcPr>
            <w:tcW w:w="3402" w:type="dxa"/>
            <w:noWrap w:val="0"/>
            <w:vAlign w:val="center"/>
          </w:tcPr>
          <w:p>
            <w:pPr>
              <w:widowControl/>
              <w:jc w:val="center"/>
              <w:rPr>
                <w:rFonts w:ascii="Times New Roman" w:hAnsi="Times New Roman"/>
                <w:kern w:val="0"/>
                <w:szCs w:val="21"/>
              </w:rPr>
            </w:pPr>
            <w:r>
              <w:rPr>
                <w:szCs w:val="21"/>
              </w:rPr>
              <w:t>BZZ-100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3556" w:type="dxa"/>
            <w:gridSpan w:val="3"/>
            <w:tcBorders>
              <w:bottom w:val="single" w:color="auto" w:sz="12" w:space="0"/>
            </w:tcBorders>
            <w:noWrap w:val="0"/>
            <w:vAlign w:val="center"/>
          </w:tcPr>
          <w:p>
            <w:pPr>
              <w:widowControl/>
              <w:jc w:val="center"/>
              <w:rPr>
                <w:rFonts w:ascii="Times New Roman" w:hAnsi="Times New Roman"/>
                <w:kern w:val="0"/>
                <w:szCs w:val="21"/>
              </w:rPr>
            </w:pPr>
            <w:r>
              <w:rPr>
                <w:kern w:val="0"/>
                <w:szCs w:val="21"/>
              </w:rPr>
              <w:t>桥面宽度</w:t>
            </w:r>
          </w:p>
        </w:tc>
        <w:tc>
          <w:tcPr>
            <w:tcW w:w="1701" w:type="dxa"/>
            <w:tcBorders>
              <w:bottom w:val="single" w:color="auto" w:sz="12" w:space="0"/>
            </w:tcBorders>
            <w:noWrap w:val="0"/>
            <w:vAlign w:val="center"/>
          </w:tcPr>
          <w:p>
            <w:pPr>
              <w:widowControl/>
              <w:jc w:val="center"/>
              <w:rPr>
                <w:rFonts w:ascii="Times New Roman" w:hAnsi="Times New Roman"/>
                <w:kern w:val="0"/>
                <w:szCs w:val="21"/>
              </w:rPr>
            </w:pPr>
            <w:r>
              <w:rPr>
                <w:kern w:val="0"/>
                <w:szCs w:val="21"/>
              </w:rPr>
              <w:t>m</w:t>
            </w:r>
          </w:p>
        </w:tc>
        <w:tc>
          <w:tcPr>
            <w:tcW w:w="3402" w:type="dxa"/>
            <w:tcBorders>
              <w:bottom w:val="single" w:color="auto" w:sz="12" w:space="0"/>
            </w:tcBorders>
            <w:noWrap w:val="0"/>
            <w:vAlign w:val="center"/>
          </w:tcPr>
          <w:p>
            <w:pPr>
              <w:widowControl/>
              <w:jc w:val="center"/>
              <w:rPr>
                <w:rFonts w:ascii="Times New Roman" w:hAnsi="Times New Roman"/>
                <w:kern w:val="0"/>
                <w:szCs w:val="21"/>
              </w:rPr>
            </w:pPr>
            <w:r>
              <w:rPr>
                <w:kern w:val="0"/>
                <w:szCs w:val="21"/>
              </w:rPr>
              <w:t>2</w:t>
            </w:r>
            <w:r>
              <w:rPr>
                <w:szCs w:val="21"/>
              </w:rPr>
              <w:t>×净11</w:t>
            </w:r>
            <w:r>
              <w:rPr>
                <w:rFonts w:hint="eastAsia"/>
                <w:szCs w:val="21"/>
              </w:rPr>
              <w:t>.5</w:t>
            </w:r>
          </w:p>
        </w:tc>
      </w:tr>
    </w:tbl>
    <w:p>
      <w:pPr>
        <w:pStyle w:val="87"/>
        <w:keepNext/>
        <w:adjustRightInd w:val="0"/>
        <w:spacing w:line="420" w:lineRule="atLeast"/>
        <w:outlineLvl w:val="3"/>
        <w:rPr>
          <w:rFonts w:eastAsia="黑体" w:cs="Times New Roman"/>
          <w:b/>
          <w:bCs/>
          <w:iCs/>
          <w:kern w:val="0"/>
          <w:sz w:val="24"/>
          <w:szCs w:val="24"/>
        </w:rPr>
      </w:pPr>
      <w:r>
        <w:rPr>
          <w:rFonts w:eastAsia="黑体" w:cs="Times New Roman"/>
          <w:b/>
          <w:bCs/>
          <w:iCs/>
          <w:kern w:val="0"/>
          <w:sz w:val="24"/>
          <w:szCs w:val="24"/>
        </w:rPr>
        <w:t>3  气象与水文简况</w:t>
      </w:r>
    </w:p>
    <w:p>
      <w:pPr>
        <w:pStyle w:val="5"/>
        <w:rPr>
          <w:rFonts w:hint="eastAsia"/>
          <w:bCs/>
          <w:spacing w:val="8"/>
          <w:kern w:val="0"/>
          <w:sz w:val="24"/>
          <w:szCs w:val="22"/>
        </w:rPr>
      </w:pPr>
      <w:r>
        <w:rPr>
          <w:rFonts w:hint="eastAsia"/>
          <w:bCs/>
          <w:spacing w:val="8"/>
          <w:kern w:val="0"/>
          <w:sz w:val="24"/>
          <w:szCs w:val="22"/>
        </w:rPr>
        <w:t>本项目区为亚热带季风湿润性气候。雨水充沛、四季分明。年降水量1328mm，四月至六月为雨季，十二月至翌年一月降水最少，冬末春初霜雪普降。沿线水系发育，雨季多集中于4～6月，此期间为汛期，河水受降水影响明显，一般10月至翌年3月为枯水期，为桥梁基础工程的良好施工期。</w:t>
      </w:r>
    </w:p>
    <w:p>
      <w:pPr>
        <w:pStyle w:val="5"/>
        <w:rPr>
          <w:rFonts w:hint="eastAsia"/>
          <w:bCs/>
          <w:spacing w:val="8"/>
          <w:kern w:val="0"/>
          <w:sz w:val="24"/>
          <w:szCs w:val="22"/>
        </w:rPr>
      </w:pPr>
      <w:r>
        <w:rPr>
          <w:rFonts w:hint="eastAsia"/>
          <w:bCs/>
          <w:spacing w:val="8"/>
          <w:kern w:val="0"/>
          <w:sz w:val="24"/>
          <w:szCs w:val="22"/>
        </w:rPr>
        <w:t>路线走廊带主要河流为沅江，沿线水库、池塘较多，路线走廊带水系较发达。</w:t>
      </w:r>
    </w:p>
    <w:p>
      <w:pPr>
        <w:pStyle w:val="88"/>
        <w:keepNext/>
        <w:adjustRightInd w:val="0"/>
        <w:spacing w:line="420" w:lineRule="atLeast"/>
        <w:outlineLvl w:val="3"/>
        <w:rPr>
          <w:rFonts w:eastAsia="黑体" w:cs="Times New Roman"/>
          <w:b/>
          <w:bCs/>
          <w:iCs/>
          <w:kern w:val="0"/>
          <w:sz w:val="24"/>
          <w:szCs w:val="24"/>
        </w:rPr>
      </w:pPr>
      <w:r>
        <w:rPr>
          <w:rFonts w:eastAsia="黑体" w:cs="Times New Roman"/>
          <w:b/>
          <w:bCs/>
          <w:iCs/>
          <w:kern w:val="0"/>
          <w:sz w:val="24"/>
          <w:szCs w:val="24"/>
        </w:rPr>
        <w:t>4  地形与地质简况</w:t>
      </w:r>
    </w:p>
    <w:p>
      <w:pPr>
        <w:pStyle w:val="89"/>
        <w:ind w:firstLine="0"/>
        <w:jc w:val="both"/>
        <w:rPr>
          <w:rFonts w:eastAsia="黑体" w:cs="Times New Roman"/>
          <w:b/>
          <w:bCs/>
          <w:i w:val="0"/>
          <w:iCs/>
          <w:sz w:val="24"/>
          <w:szCs w:val="24"/>
        </w:rPr>
      </w:pPr>
      <w:r>
        <w:rPr>
          <w:rFonts w:ascii="Calibri" w:hAnsi="Calibri" w:eastAsia="黑体" w:cs="Times New Roman"/>
          <w:b/>
          <w:bCs/>
          <w:i w:val="0"/>
          <w:iCs/>
          <w:sz w:val="24"/>
          <w:szCs w:val="24"/>
        </w:rPr>
        <w:t>4.1地形</w:t>
      </w:r>
    </w:p>
    <w:p>
      <w:pPr>
        <w:spacing w:line="400" w:lineRule="exact"/>
        <w:ind w:firstLine="512" w:firstLineChars="200"/>
        <w:rPr>
          <w:rFonts w:ascii="Times New Roman" w:hAnsi="Times New Roman"/>
          <w:bCs/>
          <w:spacing w:val="8"/>
          <w:kern w:val="0"/>
          <w:sz w:val="24"/>
        </w:rPr>
      </w:pPr>
      <w:r>
        <w:rPr>
          <w:bCs/>
          <w:spacing w:val="8"/>
          <w:kern w:val="0"/>
          <w:sz w:val="24"/>
        </w:rPr>
        <w:t>本项目位于湖南省西</w:t>
      </w:r>
      <w:r>
        <w:rPr>
          <w:rFonts w:hint="eastAsia"/>
          <w:bCs/>
          <w:spacing w:val="8"/>
          <w:kern w:val="0"/>
          <w:sz w:val="24"/>
        </w:rPr>
        <w:t>部</w:t>
      </w:r>
      <w:r>
        <w:rPr>
          <w:bCs/>
          <w:spacing w:val="8"/>
          <w:kern w:val="0"/>
          <w:sz w:val="24"/>
        </w:rPr>
        <w:t>地区，</w:t>
      </w:r>
      <w:r>
        <w:rPr>
          <w:rFonts w:hint="eastAsia"/>
          <w:bCs/>
          <w:spacing w:val="8"/>
          <w:kern w:val="0"/>
          <w:sz w:val="24"/>
        </w:rPr>
        <w:t>路线所经地带主要为剥蚀丘陵地貌，地形起伏较大，地面高程一般130-280m，最高450m，相对高差60～150m。山丘多呈自然坡度一般20～40°，局部50-60°。植被发育，主要为灌木。丘间冲沟发育，沟底较窄，冲沟多呈“V”字型。</w:t>
      </w:r>
    </w:p>
    <w:p>
      <w:pPr>
        <w:pStyle w:val="91"/>
        <w:ind w:firstLine="0"/>
        <w:jc w:val="both"/>
        <w:rPr>
          <w:rFonts w:eastAsia="黑体" w:cs="Times New Roman"/>
          <w:b/>
          <w:bCs/>
          <w:i w:val="0"/>
          <w:iCs/>
          <w:sz w:val="24"/>
          <w:szCs w:val="24"/>
        </w:rPr>
      </w:pPr>
      <w:r>
        <w:rPr>
          <w:rFonts w:ascii="Calibri" w:hAnsi="Calibri" w:eastAsia="黑体" w:cs="Times New Roman"/>
          <w:b/>
          <w:bCs/>
          <w:i w:val="0"/>
          <w:iCs/>
          <w:sz w:val="24"/>
          <w:szCs w:val="24"/>
        </w:rPr>
        <w:t>4.2工程地质</w:t>
      </w:r>
    </w:p>
    <w:p>
      <w:pPr>
        <w:pStyle w:val="93"/>
        <w:ind w:firstLine="0"/>
        <w:jc w:val="both"/>
        <w:rPr>
          <w:rFonts w:eastAsia="黑体" w:cs="Times New Roman"/>
          <w:b/>
          <w:bCs/>
          <w:i w:val="0"/>
          <w:iCs/>
          <w:sz w:val="24"/>
          <w:szCs w:val="24"/>
        </w:rPr>
      </w:pPr>
      <w:r>
        <w:rPr>
          <w:rFonts w:ascii="Calibri" w:hAnsi="Calibri" w:eastAsia="黑体" w:cs="Times New Roman"/>
          <w:b/>
          <w:bCs/>
          <w:i w:val="0"/>
          <w:iCs/>
          <w:sz w:val="24"/>
          <w:szCs w:val="24"/>
        </w:rPr>
        <w:t>4.2.1地层岩性及地质构造</w:t>
      </w:r>
    </w:p>
    <w:p>
      <w:pPr>
        <w:pStyle w:val="95"/>
        <w:ind w:firstLine="0"/>
        <w:jc w:val="both"/>
        <w:rPr>
          <w:rFonts w:eastAsia="黑体" w:cs="Times New Roman"/>
          <w:b/>
          <w:bCs/>
          <w:i w:val="0"/>
          <w:iCs/>
          <w:sz w:val="24"/>
          <w:szCs w:val="24"/>
        </w:rPr>
      </w:pPr>
      <w:r>
        <w:rPr>
          <w:rFonts w:ascii="Calibri" w:hAnsi="Calibri" w:eastAsia="黑体" w:cs="Times New Roman"/>
          <w:b/>
          <w:bCs/>
          <w:i w:val="0"/>
          <w:iCs/>
          <w:sz w:val="24"/>
          <w:szCs w:val="24"/>
        </w:rPr>
        <w:t>地层岩性</w:t>
      </w:r>
    </w:p>
    <w:p>
      <w:pPr>
        <w:pStyle w:val="97"/>
        <w:spacing w:line="400" w:lineRule="exact"/>
        <w:ind w:firstLine="512" w:firstLineChars="200"/>
        <w:rPr>
          <w:rFonts w:hint="eastAsia" w:eastAsia="宋体" w:cs="Times New Roman"/>
          <w:bCs/>
          <w:spacing w:val="8"/>
          <w:kern w:val="0"/>
          <w:sz w:val="24"/>
        </w:rPr>
      </w:pPr>
      <w:r>
        <w:rPr>
          <w:rFonts w:hint="eastAsia" w:ascii="Calibri" w:hAnsi="Calibri" w:eastAsia="宋体" w:cs="Times New Roman"/>
          <w:bCs/>
          <w:spacing w:val="8"/>
          <w:kern w:val="0"/>
          <w:sz w:val="24"/>
        </w:rPr>
        <w:t>项目所沿线走廊带内分布的地层主要有第四系覆盖层、白垩系、侏罗系、三叠系、二叠系、石炭系、寒武系。</w:t>
      </w:r>
    </w:p>
    <w:p>
      <w:pPr>
        <w:pStyle w:val="98"/>
        <w:spacing w:line="400" w:lineRule="exact"/>
        <w:ind w:firstLine="512" w:firstLineChars="200"/>
        <w:rPr>
          <w:rFonts w:hint="eastAsia" w:eastAsia="宋体" w:cs="Times New Roman"/>
          <w:bCs/>
          <w:spacing w:val="8"/>
          <w:kern w:val="0"/>
          <w:sz w:val="24"/>
        </w:rPr>
      </w:pPr>
      <w:r>
        <w:rPr>
          <w:rFonts w:hint="eastAsia" w:ascii="Calibri" w:hAnsi="Calibri" w:eastAsia="宋体" w:cs="Times New Roman"/>
          <w:bCs/>
          <w:spacing w:val="8"/>
          <w:kern w:val="0"/>
          <w:sz w:val="24"/>
        </w:rPr>
        <w:t>现按由新至老的地层顺序描述如下：</w:t>
      </w:r>
    </w:p>
    <w:p>
      <w:pPr>
        <w:pStyle w:val="99"/>
        <w:spacing w:line="400" w:lineRule="exact"/>
        <w:rPr>
          <w:rFonts w:hint="eastAsia" w:eastAsia="宋体" w:cs="Times New Roman"/>
          <w:bCs/>
          <w:spacing w:val="8"/>
          <w:kern w:val="0"/>
          <w:sz w:val="24"/>
        </w:rPr>
      </w:pPr>
      <w:r>
        <w:rPr>
          <w:rFonts w:hint="eastAsia" w:ascii="Calibri" w:hAnsi="Calibri" w:eastAsia="宋体" w:cs="Times New Roman"/>
          <w:bCs/>
          <w:spacing w:val="8"/>
          <w:kern w:val="0"/>
          <w:sz w:val="24"/>
        </w:rPr>
        <w:t>（1）第四系全新统的填筑土、种植土、粉质黏土。</w:t>
      </w:r>
    </w:p>
    <w:p>
      <w:pPr>
        <w:pStyle w:val="100"/>
        <w:spacing w:line="400" w:lineRule="exact"/>
        <w:rPr>
          <w:rFonts w:hint="eastAsia" w:eastAsia="宋体" w:cs="Times New Roman"/>
          <w:bCs/>
          <w:spacing w:val="8"/>
          <w:kern w:val="0"/>
          <w:sz w:val="24"/>
        </w:rPr>
      </w:pPr>
      <w:r>
        <w:rPr>
          <w:rFonts w:hint="eastAsia" w:ascii="Calibri" w:hAnsi="Calibri" w:eastAsia="宋体" w:cs="Times New Roman"/>
          <w:bCs/>
          <w:spacing w:val="8"/>
          <w:kern w:val="0"/>
          <w:sz w:val="24"/>
        </w:rPr>
        <w:t>（2）第四系更新统的粉土、粘土、卵石、碎石土。</w:t>
      </w:r>
    </w:p>
    <w:p>
      <w:pPr>
        <w:pStyle w:val="101"/>
        <w:spacing w:line="400" w:lineRule="exact"/>
        <w:rPr>
          <w:rFonts w:hint="eastAsia" w:eastAsia="宋体" w:cs="Times New Roman"/>
          <w:bCs/>
          <w:spacing w:val="8"/>
          <w:kern w:val="0"/>
          <w:sz w:val="24"/>
        </w:rPr>
      </w:pPr>
      <w:r>
        <w:rPr>
          <w:rFonts w:hint="eastAsia" w:ascii="Calibri" w:hAnsi="Calibri" w:eastAsia="宋体" w:cs="Times New Roman"/>
          <w:bCs/>
          <w:spacing w:val="8"/>
          <w:kern w:val="0"/>
          <w:sz w:val="24"/>
        </w:rPr>
        <w:t>（3）白垩系（K）主要岩性钙、泥质粉砂岩，主要分布于主要分布在K0+000～K4+300)段。</w:t>
      </w:r>
    </w:p>
    <w:p>
      <w:pPr>
        <w:pStyle w:val="102"/>
        <w:spacing w:line="400" w:lineRule="exact"/>
        <w:rPr>
          <w:rFonts w:hint="eastAsia" w:eastAsia="宋体" w:cs="Times New Roman"/>
          <w:bCs/>
          <w:spacing w:val="8"/>
          <w:kern w:val="0"/>
          <w:sz w:val="24"/>
        </w:rPr>
      </w:pPr>
      <w:r>
        <w:rPr>
          <w:rFonts w:hint="eastAsia" w:ascii="Calibri" w:hAnsi="Calibri" w:eastAsia="宋体" w:cs="Times New Roman"/>
          <w:bCs/>
          <w:spacing w:val="8"/>
          <w:kern w:val="0"/>
          <w:sz w:val="24"/>
        </w:rPr>
        <w:t>（4）侏罗系（J）主要岩性有泥质粉砂岩、砂岩、砾岩、砂质页岩透镜体的煤，主要分布于K24+900～26+600零星分布、K29+200～K30+000、K37+300～K48+050段。</w:t>
      </w:r>
    </w:p>
    <w:p>
      <w:pPr>
        <w:pStyle w:val="103"/>
        <w:spacing w:line="400" w:lineRule="exact"/>
        <w:rPr>
          <w:rFonts w:hint="eastAsia" w:eastAsia="宋体" w:cs="Times New Roman"/>
          <w:bCs/>
          <w:spacing w:val="8"/>
          <w:kern w:val="0"/>
          <w:sz w:val="24"/>
        </w:rPr>
      </w:pPr>
      <w:r>
        <w:rPr>
          <w:rFonts w:hint="eastAsia" w:ascii="Calibri" w:hAnsi="Calibri" w:eastAsia="宋体" w:cs="Times New Roman"/>
          <w:bCs/>
          <w:spacing w:val="8"/>
          <w:kern w:val="0"/>
          <w:sz w:val="24"/>
        </w:rPr>
        <w:t>（5）三迭系（T）：主要揭露岩性为灰岩、泥质灰岩。主要分布于K48+050～K48+500段。</w:t>
      </w:r>
    </w:p>
    <w:p>
      <w:pPr>
        <w:pStyle w:val="104"/>
        <w:spacing w:line="400" w:lineRule="exact"/>
        <w:rPr>
          <w:rFonts w:hint="eastAsia" w:eastAsia="宋体" w:cs="Times New Roman"/>
          <w:bCs/>
          <w:spacing w:val="8"/>
          <w:kern w:val="0"/>
          <w:sz w:val="24"/>
        </w:rPr>
      </w:pPr>
      <w:r>
        <w:rPr>
          <w:rFonts w:hint="eastAsia" w:ascii="Calibri" w:hAnsi="Calibri" w:eastAsia="宋体" w:cs="Times New Roman"/>
          <w:bCs/>
          <w:spacing w:val="8"/>
          <w:kern w:val="0"/>
          <w:sz w:val="24"/>
        </w:rPr>
        <w:t>（6）二迭系（P）:主要揭露岩性为泥质灰岩、泥灰岩、灰岩、石英砂岩、砂质页岩、炭质页岩、煤、泥岩，主要分布在K4+300～K6+100、K11+700～K15+900、K28+000～K29+200、K31+900～K37+300、K48+500～终点段。</w:t>
      </w:r>
    </w:p>
    <w:p>
      <w:pPr>
        <w:pStyle w:val="105"/>
        <w:spacing w:line="400" w:lineRule="exact"/>
        <w:rPr>
          <w:rFonts w:hint="eastAsia" w:eastAsia="宋体" w:cs="Times New Roman"/>
          <w:bCs/>
          <w:spacing w:val="8"/>
          <w:kern w:val="0"/>
          <w:sz w:val="24"/>
        </w:rPr>
      </w:pPr>
      <w:r>
        <w:rPr>
          <w:rFonts w:hint="eastAsia" w:ascii="Calibri" w:hAnsi="Calibri" w:eastAsia="宋体" w:cs="Times New Roman"/>
          <w:bCs/>
          <w:spacing w:val="8"/>
          <w:kern w:val="0"/>
          <w:sz w:val="24"/>
        </w:rPr>
        <w:t xml:space="preserve">（7）石炭系（C）：主要岩性灰岩、白云质灰岩，主要在K30+000～31+900段分布。 </w:t>
      </w:r>
    </w:p>
    <w:p>
      <w:pPr>
        <w:pStyle w:val="106"/>
        <w:spacing w:line="400" w:lineRule="exact"/>
        <w:rPr>
          <w:rFonts w:hint="eastAsia" w:eastAsia="宋体" w:cs="Times New Roman"/>
          <w:bCs/>
          <w:spacing w:val="8"/>
          <w:kern w:val="0"/>
          <w:sz w:val="24"/>
        </w:rPr>
      </w:pPr>
      <w:r>
        <w:rPr>
          <w:rFonts w:hint="eastAsia" w:ascii="Calibri" w:hAnsi="Calibri" w:eastAsia="宋体" w:cs="Times New Roman"/>
          <w:bCs/>
          <w:spacing w:val="8"/>
          <w:kern w:val="0"/>
          <w:sz w:val="24"/>
        </w:rPr>
        <w:t>（8）寒武系（∈）：主要岩性泥质灰岩、灰岩、白云质灰岩，主要在K6+100～K11+700、K15+900～K28+000段分布。</w:t>
      </w:r>
    </w:p>
    <w:p>
      <w:pPr>
        <w:pStyle w:val="107"/>
        <w:ind w:firstLine="0"/>
        <w:jc w:val="both"/>
        <w:rPr>
          <w:rFonts w:eastAsia="黑体" w:cs="Times New Roman"/>
          <w:b/>
          <w:bCs/>
          <w:i w:val="0"/>
          <w:iCs/>
          <w:sz w:val="24"/>
          <w:szCs w:val="24"/>
        </w:rPr>
      </w:pPr>
      <w:r>
        <w:rPr>
          <w:rFonts w:ascii="Calibri" w:hAnsi="Calibri" w:eastAsia="黑体" w:cs="Times New Roman"/>
          <w:b/>
          <w:bCs/>
          <w:i w:val="0"/>
          <w:iCs/>
          <w:sz w:val="24"/>
          <w:szCs w:val="24"/>
        </w:rPr>
        <w:t>地质构造</w:t>
      </w:r>
    </w:p>
    <w:p>
      <w:pPr>
        <w:spacing w:line="400" w:lineRule="exact"/>
        <w:ind w:firstLine="512" w:firstLineChars="200"/>
        <w:rPr>
          <w:rFonts w:hint="eastAsia" w:ascii="Times New Roman" w:hAnsi="Times New Roman"/>
          <w:bCs/>
          <w:spacing w:val="8"/>
          <w:kern w:val="0"/>
          <w:sz w:val="24"/>
        </w:rPr>
      </w:pPr>
      <w:r>
        <w:rPr>
          <w:rFonts w:hint="eastAsia"/>
          <w:bCs/>
          <w:spacing w:val="8"/>
          <w:kern w:val="0"/>
          <w:sz w:val="24"/>
        </w:rPr>
        <w:t>断裂</w:t>
      </w:r>
    </w:p>
    <w:p>
      <w:pPr>
        <w:pStyle w:val="109"/>
        <w:spacing w:line="400" w:lineRule="exact"/>
        <w:ind w:firstLine="512" w:firstLineChars="200"/>
        <w:rPr>
          <w:rFonts w:hint="eastAsia" w:eastAsia="宋体" w:cs="Times New Roman"/>
          <w:bCs/>
          <w:spacing w:val="8"/>
          <w:kern w:val="0"/>
          <w:sz w:val="24"/>
        </w:rPr>
      </w:pPr>
      <w:r>
        <w:rPr>
          <w:rFonts w:hint="eastAsia" w:ascii="Calibri" w:hAnsi="Calibri" w:eastAsia="宋体" w:cs="Times New Roman"/>
          <w:bCs/>
          <w:spacing w:val="8"/>
          <w:kern w:val="0"/>
          <w:sz w:val="24"/>
        </w:rPr>
        <w:t>F1断层：该断层走向约30-40°，断层走向与线路走向呈大角度相交于K9+050～K9+200处，断层影响范围约20-40m，断层两侧均为寒武系泥质灰岩。该段路线主要以浅填形式通过，断层对线路影响较小。</w:t>
      </w:r>
    </w:p>
    <w:p>
      <w:pPr>
        <w:pStyle w:val="110"/>
        <w:spacing w:line="400" w:lineRule="exact"/>
        <w:ind w:firstLine="512" w:firstLineChars="200"/>
        <w:rPr>
          <w:rFonts w:hint="eastAsia" w:eastAsia="宋体" w:cs="Times New Roman"/>
          <w:bCs/>
          <w:spacing w:val="8"/>
          <w:kern w:val="0"/>
          <w:sz w:val="24"/>
        </w:rPr>
      </w:pPr>
      <w:r>
        <w:rPr>
          <w:rFonts w:hint="eastAsia" w:ascii="Calibri" w:hAnsi="Calibri" w:eastAsia="宋体" w:cs="Times New Roman"/>
          <w:bCs/>
          <w:spacing w:val="8"/>
          <w:kern w:val="0"/>
          <w:sz w:val="24"/>
        </w:rPr>
        <w:t>F2断层：该断层走向为30-45°左右，断层走向与线路走向呈大角度相交于K11+150处，断层影响范围约10-15m，断层两侧均为寒武系泥质灰岩，断层对线路影响较小。</w:t>
      </w:r>
    </w:p>
    <w:p>
      <w:pPr>
        <w:pStyle w:val="111"/>
        <w:spacing w:line="400" w:lineRule="exact"/>
        <w:ind w:firstLine="512" w:firstLineChars="200"/>
        <w:rPr>
          <w:rFonts w:hint="eastAsia" w:eastAsia="宋体" w:cs="Times New Roman"/>
          <w:bCs/>
          <w:spacing w:val="8"/>
          <w:kern w:val="0"/>
          <w:sz w:val="24"/>
        </w:rPr>
      </w:pPr>
      <w:r>
        <w:rPr>
          <w:rFonts w:hint="eastAsia" w:ascii="Calibri" w:hAnsi="Calibri" w:eastAsia="宋体" w:cs="Times New Roman"/>
          <w:bCs/>
          <w:spacing w:val="8"/>
          <w:kern w:val="0"/>
          <w:sz w:val="24"/>
        </w:rPr>
        <w:t>F3断层：该断层走向约30-40°，断层的走向与线路走向呈大角度相交于K11+650处，断层影响范围约25-50m，断层北侧为寒武系灰岩，南侧为二叠系的砂质页岩夹炭质页岩，受构造影响断层范围内岩体较破碎，风化层较厚，对K11+720僻家坪大桥部分墩台的桩基长度有一定影响。</w:t>
      </w:r>
    </w:p>
    <w:p>
      <w:pPr>
        <w:pStyle w:val="112"/>
        <w:spacing w:line="400" w:lineRule="exact"/>
        <w:ind w:firstLine="512" w:firstLineChars="200"/>
        <w:rPr>
          <w:rFonts w:hint="eastAsia" w:eastAsia="宋体" w:cs="Times New Roman"/>
          <w:bCs/>
          <w:spacing w:val="8"/>
          <w:kern w:val="0"/>
          <w:sz w:val="24"/>
        </w:rPr>
      </w:pPr>
      <w:r>
        <w:rPr>
          <w:rFonts w:hint="eastAsia" w:ascii="Calibri" w:hAnsi="Calibri" w:eastAsia="宋体" w:cs="Times New Roman"/>
          <w:bCs/>
          <w:spacing w:val="8"/>
          <w:kern w:val="0"/>
          <w:sz w:val="24"/>
        </w:rPr>
        <w:t>F4断层：该断层走向约40-50°，断层的走向与线路走向呈大角度相交于K16+650处，断层影响范围约10-20m，该段路线主要以浅填形式通过，断层对线路影响较小。</w:t>
      </w:r>
    </w:p>
    <w:p>
      <w:pPr>
        <w:pStyle w:val="113"/>
        <w:spacing w:line="400" w:lineRule="exact"/>
        <w:ind w:firstLine="512" w:firstLineChars="200"/>
        <w:rPr>
          <w:rFonts w:hint="eastAsia" w:eastAsia="宋体" w:cs="Times New Roman"/>
          <w:bCs/>
          <w:spacing w:val="8"/>
          <w:kern w:val="0"/>
          <w:sz w:val="24"/>
        </w:rPr>
      </w:pPr>
      <w:r>
        <w:rPr>
          <w:rFonts w:hint="eastAsia" w:ascii="Calibri" w:hAnsi="Calibri" w:eastAsia="宋体" w:cs="Times New Roman"/>
          <w:bCs/>
          <w:spacing w:val="8"/>
          <w:kern w:val="0"/>
          <w:sz w:val="24"/>
        </w:rPr>
        <w:t>F5断层：该断层走向为0-28°左右，断层的走向与线路走向呈大角度相交于K29+180处，断层影响范围约20-40m，断层北侧为二叠系的砂质页岩，南侧为侏罗系的泥质粉砂岩，受构造影响断层范围内岩体较破碎，风化层较厚，对K19+580万谷平大桥部分墩台的桩基长度有一定影响。</w:t>
      </w:r>
    </w:p>
    <w:p>
      <w:pPr>
        <w:pStyle w:val="114"/>
        <w:spacing w:line="400" w:lineRule="exact"/>
        <w:ind w:firstLine="512" w:firstLineChars="200"/>
        <w:rPr>
          <w:rFonts w:hint="eastAsia" w:eastAsia="宋体" w:cs="Times New Roman"/>
          <w:bCs/>
          <w:spacing w:val="8"/>
          <w:kern w:val="0"/>
          <w:sz w:val="24"/>
        </w:rPr>
      </w:pPr>
      <w:r>
        <w:rPr>
          <w:rFonts w:hint="eastAsia" w:ascii="Calibri" w:hAnsi="Calibri" w:eastAsia="宋体" w:cs="Times New Roman"/>
          <w:bCs/>
          <w:spacing w:val="8"/>
          <w:kern w:val="0"/>
          <w:sz w:val="24"/>
        </w:rPr>
        <w:t>F6断层：该断层走向为40-50°左右，断层走向于线路走向呈大角度相交于K29+940处，断层影响范围约20-30m，断层北侧为侏罗系的泥质粉砂岩，南侧为二叠系的砂质页岩、灰岩，受构造影响断层范围内岩体较破碎，风化层较厚，对K19+580万谷平大桥部分墩台的桩基长度有一定影响。</w:t>
      </w:r>
    </w:p>
    <w:p>
      <w:pPr>
        <w:pStyle w:val="115"/>
        <w:spacing w:line="400" w:lineRule="exact"/>
        <w:ind w:firstLine="512" w:firstLineChars="200"/>
        <w:rPr>
          <w:rFonts w:hint="eastAsia" w:eastAsia="宋体" w:cs="Times New Roman"/>
          <w:bCs/>
          <w:spacing w:val="8"/>
          <w:kern w:val="0"/>
          <w:sz w:val="24"/>
        </w:rPr>
      </w:pPr>
      <w:r>
        <w:rPr>
          <w:rFonts w:hint="eastAsia" w:ascii="Calibri" w:hAnsi="Calibri" w:eastAsia="宋体" w:cs="Times New Roman"/>
          <w:bCs/>
          <w:spacing w:val="8"/>
          <w:kern w:val="0"/>
          <w:sz w:val="24"/>
        </w:rPr>
        <w:t>F7断层：该断层走向为340-17°左右，断层以东为寒武系灰岩地层，断层以西为侏罗系泥质粉砂岩地层，断层与线路交于K36+200处相交，断层对K线影响较小。</w:t>
      </w:r>
    </w:p>
    <w:p>
      <w:pPr>
        <w:pStyle w:val="116"/>
        <w:spacing w:line="400" w:lineRule="exact"/>
        <w:ind w:firstLine="512" w:firstLineChars="200"/>
        <w:rPr>
          <w:rFonts w:hint="eastAsia" w:eastAsia="宋体" w:cs="Times New Roman"/>
          <w:bCs/>
          <w:spacing w:val="8"/>
          <w:kern w:val="0"/>
          <w:sz w:val="24"/>
        </w:rPr>
      </w:pPr>
      <w:r>
        <w:rPr>
          <w:rFonts w:hint="eastAsia" w:ascii="Calibri" w:hAnsi="Calibri" w:eastAsia="宋体" w:cs="Times New Roman"/>
          <w:bCs/>
          <w:spacing w:val="8"/>
          <w:kern w:val="0"/>
          <w:sz w:val="24"/>
        </w:rPr>
        <w:t>新构造运动：根据路线穿越地区的地质、地貌和水系等调查，认为该路线走廊带新构造运动主要表现为差异抬升为主，对路线工程影响较小。</w:t>
      </w:r>
    </w:p>
    <w:p>
      <w:pPr>
        <w:pStyle w:val="117"/>
        <w:ind w:firstLine="0"/>
        <w:jc w:val="both"/>
        <w:rPr>
          <w:rFonts w:hint="eastAsia" w:eastAsia="黑体" w:cs="Times New Roman"/>
          <w:b/>
          <w:bCs/>
          <w:i w:val="0"/>
          <w:iCs/>
          <w:sz w:val="24"/>
          <w:szCs w:val="24"/>
        </w:rPr>
      </w:pPr>
      <w:r>
        <w:rPr>
          <w:rFonts w:ascii="Calibri" w:hAnsi="Calibri" w:eastAsia="黑体" w:cs="Times New Roman"/>
          <w:b/>
          <w:bCs/>
          <w:i w:val="0"/>
          <w:iCs/>
          <w:sz w:val="24"/>
          <w:szCs w:val="24"/>
        </w:rPr>
        <w:t>4.2.2 主要工程地质问题</w:t>
      </w:r>
    </w:p>
    <w:p>
      <w:pPr>
        <w:pStyle w:val="119"/>
        <w:spacing w:line="400" w:lineRule="exact"/>
        <w:ind w:firstLine="512" w:firstLineChars="200"/>
        <w:rPr>
          <w:rFonts w:hint="eastAsia" w:eastAsia="宋体" w:cs="Times New Roman"/>
          <w:bCs/>
          <w:spacing w:val="8"/>
          <w:kern w:val="0"/>
          <w:sz w:val="24"/>
        </w:rPr>
      </w:pPr>
      <w:r>
        <w:rPr>
          <w:rFonts w:hint="eastAsia" w:ascii="Calibri" w:hAnsi="Calibri" w:eastAsia="宋体" w:cs="Times New Roman"/>
          <w:bCs/>
          <w:spacing w:val="8"/>
          <w:kern w:val="0"/>
          <w:sz w:val="24"/>
        </w:rPr>
        <w:t>不良地质及特殊性岩土：本路线段由于受地形、地层岩性、构造及地下水等因素的影响，沿线不良地质及特殊性岩土主要有：岩溶、顺向坡、软土、潜在不稳定边坡、采空区、高液限土。现分述如下：</w:t>
      </w:r>
    </w:p>
    <w:p>
      <w:pPr>
        <w:pStyle w:val="120"/>
        <w:spacing w:line="400" w:lineRule="exact"/>
        <w:ind w:firstLine="512" w:firstLineChars="200"/>
        <w:rPr>
          <w:rFonts w:hint="eastAsia" w:eastAsia="宋体" w:cs="Times New Roman"/>
          <w:bCs/>
          <w:spacing w:val="8"/>
          <w:kern w:val="0"/>
          <w:sz w:val="24"/>
        </w:rPr>
      </w:pPr>
      <w:r>
        <w:rPr>
          <w:rFonts w:hint="eastAsia" w:ascii="Calibri" w:hAnsi="Calibri" w:eastAsia="宋体" w:cs="Times New Roman"/>
          <w:bCs/>
          <w:spacing w:val="8"/>
          <w:kern w:val="0"/>
          <w:sz w:val="24"/>
        </w:rPr>
        <w:t>1、岩溶：线路范围内部分路段出露灰岩、白云质灰岩，岩溶发育地段为K4+300～K6+100段、K11+700～K15+900、K28+000～31+900段，岩溶形态主要为溶洞、溶沟溶槽为主。</w:t>
      </w:r>
    </w:p>
    <w:p>
      <w:pPr>
        <w:pStyle w:val="121"/>
        <w:spacing w:line="400" w:lineRule="exact"/>
        <w:ind w:firstLine="512" w:firstLineChars="200"/>
        <w:rPr>
          <w:rFonts w:hint="eastAsia" w:eastAsia="宋体" w:cs="Times New Roman"/>
          <w:bCs/>
          <w:spacing w:val="8"/>
          <w:kern w:val="0"/>
          <w:sz w:val="24"/>
        </w:rPr>
      </w:pPr>
      <w:r>
        <w:rPr>
          <w:rFonts w:hint="eastAsia" w:ascii="Calibri" w:hAnsi="Calibri" w:eastAsia="宋体" w:cs="Times New Roman"/>
          <w:bCs/>
          <w:spacing w:val="8"/>
          <w:kern w:val="0"/>
          <w:sz w:val="24"/>
        </w:rPr>
        <w:t xml:space="preserve">2、软弱土层：沿线软弱土层均呈零星分布，主要为丘间冲沟、水塘中淤积的淤泥、软～可塑状黏性土，揭露厚度一般1-3m。 </w:t>
      </w:r>
    </w:p>
    <w:p>
      <w:pPr>
        <w:pStyle w:val="122"/>
        <w:spacing w:line="400" w:lineRule="exact"/>
        <w:ind w:firstLine="512" w:firstLineChars="200"/>
        <w:rPr>
          <w:rFonts w:hint="eastAsia" w:eastAsia="宋体" w:cs="Times New Roman"/>
          <w:bCs/>
          <w:spacing w:val="8"/>
          <w:kern w:val="0"/>
          <w:sz w:val="24"/>
        </w:rPr>
      </w:pPr>
      <w:r>
        <w:rPr>
          <w:rFonts w:hint="eastAsia" w:ascii="Calibri" w:hAnsi="Calibri" w:eastAsia="宋体" w:cs="Times New Roman"/>
          <w:bCs/>
          <w:spacing w:val="8"/>
          <w:kern w:val="0"/>
          <w:sz w:val="24"/>
        </w:rPr>
        <w:t>3、顺向坡：路线穿行于丘岗之间，局部场地岩性为泥质粉砂岩、砂质页岩、石英砂岩，岩体稳定性较差，局部存在顺向坡或近顺向坡，边坡稳定性较差，路堑边坡开挖易造成工程滑坡，其潜在的边坡稳定性问题易诱发牵引式滑坡产生</w:t>
      </w:r>
    </w:p>
    <w:p>
      <w:pPr>
        <w:pStyle w:val="123"/>
        <w:spacing w:line="400" w:lineRule="exact"/>
        <w:ind w:firstLine="512" w:firstLineChars="200"/>
        <w:rPr>
          <w:rFonts w:hint="eastAsia" w:eastAsia="宋体" w:cs="Times New Roman"/>
          <w:bCs/>
          <w:spacing w:val="8"/>
          <w:kern w:val="0"/>
          <w:sz w:val="24"/>
        </w:rPr>
      </w:pPr>
      <w:r>
        <w:rPr>
          <w:rFonts w:hint="eastAsia" w:ascii="Calibri" w:hAnsi="Calibri" w:eastAsia="宋体" w:cs="Times New Roman"/>
          <w:bCs/>
          <w:spacing w:val="8"/>
          <w:kern w:val="0"/>
          <w:sz w:val="24"/>
        </w:rPr>
        <w:t>4、潜在不稳定边坡：</w:t>
      </w:r>
    </w:p>
    <w:p>
      <w:pPr>
        <w:pStyle w:val="124"/>
        <w:spacing w:line="400" w:lineRule="exact"/>
        <w:ind w:firstLine="512" w:firstLineChars="200"/>
        <w:rPr>
          <w:rFonts w:hint="eastAsia" w:eastAsia="宋体" w:cs="Times New Roman"/>
          <w:bCs/>
          <w:spacing w:val="8"/>
          <w:kern w:val="0"/>
          <w:sz w:val="24"/>
        </w:rPr>
      </w:pPr>
      <w:r>
        <w:rPr>
          <w:rFonts w:hint="eastAsia" w:ascii="Calibri" w:hAnsi="Calibri" w:eastAsia="宋体" w:cs="Times New Roman"/>
          <w:bCs/>
          <w:spacing w:val="8"/>
          <w:kern w:val="0"/>
          <w:sz w:val="24"/>
        </w:rPr>
        <w:t>①K34+000～K36+050段：该段路线左侧为连续挖方，该段路堑基岩主要以石英砂岩夹页岩、砂质页岩夹炭质页岩为主，岩体破碎，多呈碎裂结构、镶嵌结构，岩体自稳能力差，且该段边坡岩层产状约290-310°∠15-25°，线路左侧为顺向坡，对边坡稳定性不利，线路范围为内多处自然边坡已出现不同程度的垮塌，该段路堑边坡为潜在不稳定边坡。</w:t>
      </w:r>
    </w:p>
    <w:p>
      <w:pPr>
        <w:pStyle w:val="125"/>
        <w:spacing w:line="400" w:lineRule="exact"/>
        <w:ind w:firstLine="512" w:firstLineChars="200"/>
        <w:rPr>
          <w:rFonts w:hint="eastAsia" w:eastAsia="宋体" w:cs="Times New Roman"/>
          <w:bCs/>
          <w:spacing w:val="8"/>
          <w:kern w:val="0"/>
          <w:sz w:val="24"/>
        </w:rPr>
      </w:pPr>
      <w:r>
        <w:rPr>
          <w:rFonts w:hint="eastAsia" w:ascii="Calibri" w:hAnsi="Calibri" w:eastAsia="宋体" w:cs="Times New Roman"/>
          <w:bCs/>
          <w:spacing w:val="8"/>
          <w:kern w:val="0"/>
          <w:sz w:val="24"/>
        </w:rPr>
        <w:t>②K48+900～K49+150段深路堑坡体上部为石英砂岩，下部为泥岩、砂岩并夹多条层间错动带，具“上硬下软”的地质结构，地质条件差，为不稳定边坡。</w:t>
      </w:r>
    </w:p>
    <w:p>
      <w:pPr>
        <w:pStyle w:val="126"/>
        <w:spacing w:line="400" w:lineRule="exact"/>
        <w:ind w:firstLine="512" w:firstLineChars="200"/>
        <w:rPr>
          <w:rFonts w:hint="eastAsia" w:eastAsia="宋体" w:cs="Times New Roman"/>
          <w:bCs/>
          <w:spacing w:val="8"/>
          <w:kern w:val="0"/>
          <w:sz w:val="24"/>
        </w:rPr>
      </w:pPr>
      <w:r>
        <w:rPr>
          <w:rFonts w:hint="eastAsia" w:ascii="Calibri" w:hAnsi="Calibri" w:eastAsia="宋体" w:cs="Times New Roman"/>
          <w:bCs/>
          <w:spacing w:val="8"/>
          <w:kern w:val="0"/>
          <w:sz w:val="24"/>
        </w:rPr>
        <w:t>5、采空区（压矿区）：</w:t>
      </w:r>
    </w:p>
    <w:p>
      <w:pPr>
        <w:pStyle w:val="127"/>
        <w:spacing w:line="400" w:lineRule="exact"/>
        <w:ind w:firstLine="512" w:firstLineChars="200"/>
        <w:rPr>
          <w:rFonts w:hint="eastAsia" w:eastAsia="宋体" w:cs="Times New Roman"/>
          <w:bCs/>
          <w:spacing w:val="8"/>
          <w:kern w:val="0"/>
          <w:sz w:val="24"/>
        </w:rPr>
      </w:pPr>
      <w:r>
        <w:rPr>
          <w:rFonts w:hint="eastAsia" w:ascii="Calibri" w:hAnsi="Calibri" w:eastAsia="宋体" w:cs="Times New Roman"/>
          <w:bCs/>
          <w:spacing w:val="8"/>
          <w:kern w:val="0"/>
          <w:sz w:val="24"/>
        </w:rPr>
        <w:t>①K12+700～K13+900根据收集的矿区资料及调查及勘察情况表明该段已避开煤矿主要开采区，但局部任然位于煤系地层中，线路附近零散见私人开采痕迹，洞口已封闭，开采规律性不强，现已停止开采。</w:t>
      </w:r>
    </w:p>
    <w:p>
      <w:pPr>
        <w:pStyle w:val="128"/>
        <w:spacing w:line="400" w:lineRule="exact"/>
        <w:ind w:firstLine="512" w:firstLineChars="200"/>
        <w:rPr>
          <w:rFonts w:hint="eastAsia" w:eastAsia="宋体" w:cs="Times New Roman"/>
          <w:bCs/>
          <w:spacing w:val="8"/>
          <w:kern w:val="0"/>
          <w:sz w:val="24"/>
        </w:rPr>
      </w:pPr>
      <w:r>
        <w:rPr>
          <w:rFonts w:hint="eastAsia" w:ascii="Calibri" w:hAnsi="Calibri" w:eastAsia="宋体" w:cs="Times New Roman"/>
          <w:bCs/>
          <w:spacing w:val="8"/>
          <w:kern w:val="0"/>
          <w:sz w:val="24"/>
        </w:rPr>
        <w:t>②线路K28+000～K28+350段压覆P1q栖霞组煤系地层，线路走向与煤系地层走向呈大角度相交，线路位于庙坨湾煤矿范围，该矿区于2016年关闭并注销，通过地质调绘、矿区资料收集、物探成果综合判断，线路范围内并未进行大规模开采，未发现开采痕迹。但根据现场走访调查得知，该段部分存在老百姓私人开采为，规模较小，因历史久远，未发现明显的矿洞及巷道。</w:t>
      </w:r>
    </w:p>
    <w:p>
      <w:pPr>
        <w:pStyle w:val="129"/>
        <w:spacing w:line="400" w:lineRule="exact"/>
        <w:ind w:firstLine="512" w:firstLineChars="200"/>
        <w:rPr>
          <w:rFonts w:hint="eastAsia" w:eastAsia="宋体" w:cs="Times New Roman"/>
          <w:bCs/>
          <w:spacing w:val="8"/>
          <w:kern w:val="0"/>
          <w:sz w:val="24"/>
        </w:rPr>
      </w:pPr>
      <w:r>
        <w:rPr>
          <w:rFonts w:hint="eastAsia" w:ascii="Calibri" w:hAnsi="Calibri" w:eastAsia="宋体" w:cs="Times New Roman"/>
          <w:bCs/>
          <w:spacing w:val="8"/>
          <w:kern w:val="0"/>
          <w:sz w:val="24"/>
        </w:rPr>
        <w:t xml:space="preserve">③线路K32+050～K33+500段在湖南省怀化市辰溪县一带压覆了辰溪县杨溪湾耐火粘土矿部分矿产资源。该矿山属于私营企业。于20世纪90年代开始开采，主要为私营企业及老百姓自发开采，于2009年6月24日经怀化市国土资源局批准，依法取得了采矿许可证，于2011年1月2日经怀化市国土资源局《划定（辰溪县杨溪湾耐火矿）矿区范围批复》确定了资源整合后的辰溪杨溪湾耐火矿合法性。于2015年以后逐步停止开采。其中K32+050～K32+900m开采方式主要以露天开采为主，巷道开采为辅；K32+900～K33+500开采方式主要以巷道为主。 </w:t>
      </w:r>
    </w:p>
    <w:p>
      <w:pPr>
        <w:pStyle w:val="130"/>
        <w:spacing w:line="400" w:lineRule="exact"/>
        <w:ind w:firstLine="512" w:firstLineChars="200"/>
        <w:rPr>
          <w:rFonts w:hint="eastAsia" w:eastAsia="宋体" w:cs="Times New Roman"/>
          <w:bCs/>
          <w:spacing w:val="8"/>
          <w:kern w:val="0"/>
          <w:sz w:val="24"/>
        </w:rPr>
      </w:pPr>
      <w:r>
        <w:rPr>
          <w:rFonts w:hint="eastAsia" w:ascii="Calibri" w:hAnsi="Calibri" w:eastAsia="宋体" w:cs="Times New Roman"/>
          <w:bCs/>
          <w:spacing w:val="8"/>
          <w:kern w:val="0"/>
          <w:sz w:val="24"/>
        </w:rPr>
        <w:t>④线路K47+850～K48+500段在湖南省怀化市辰溪县一带处于湖南省辰溪寺前铺煤矿矿区范围内，根据资料收集、调查及初步设计勘察成果综合分析，线路K47+850～K48+050位于煤系地层范围内，多为透镜体的鸡窝煤，储量小，煤层品质较差，线路范围内并未处于煤矿开采范围内，未进行规模化开采，但根据调查走访得知线路范围周围见老百姓自发开采，以露天浅部开采为主，局部见老百姓私挖小型巷道，开采规模小，开采规律性不强，现均已停止开采。</w:t>
      </w:r>
    </w:p>
    <w:p>
      <w:pPr>
        <w:pStyle w:val="131"/>
        <w:spacing w:line="400" w:lineRule="exact"/>
        <w:ind w:firstLine="512" w:firstLineChars="200"/>
        <w:rPr>
          <w:rFonts w:hint="eastAsia" w:eastAsia="宋体" w:cs="Times New Roman"/>
          <w:bCs/>
          <w:spacing w:val="8"/>
          <w:kern w:val="0"/>
          <w:sz w:val="24"/>
        </w:rPr>
      </w:pPr>
      <w:r>
        <w:rPr>
          <w:rFonts w:hint="eastAsia" w:ascii="Calibri" w:hAnsi="Calibri" w:eastAsia="宋体" w:cs="Times New Roman"/>
          <w:bCs/>
          <w:spacing w:val="8"/>
          <w:kern w:val="0"/>
          <w:sz w:val="24"/>
        </w:rPr>
        <w:t>6、高液限土：</w:t>
      </w:r>
    </w:p>
    <w:p>
      <w:pPr>
        <w:pStyle w:val="132"/>
        <w:spacing w:line="400" w:lineRule="exact"/>
        <w:ind w:firstLine="512" w:firstLineChars="200"/>
        <w:rPr>
          <w:rFonts w:hint="eastAsia" w:eastAsia="宋体" w:cs="Times New Roman"/>
          <w:bCs/>
          <w:spacing w:val="8"/>
          <w:kern w:val="0"/>
          <w:sz w:val="24"/>
        </w:rPr>
      </w:pPr>
      <w:r>
        <w:rPr>
          <w:rFonts w:hint="eastAsia" w:ascii="Calibri" w:hAnsi="Calibri" w:eastAsia="宋体" w:cs="Times New Roman"/>
          <w:bCs/>
          <w:spacing w:val="8"/>
          <w:kern w:val="0"/>
          <w:sz w:val="24"/>
        </w:rPr>
        <w:t>高液限黏土主要在K14、K17、K27公里段，分布于沿线山坡顶部，揭露厚度为1.00-6.0m，根据根据实验资料液限为45.0%～69.0%左右，其遇水则极易软化，土体抗剪强度降低，易导致边坡产生浅层滑动。</w:t>
      </w:r>
    </w:p>
    <w:p>
      <w:pPr>
        <w:pStyle w:val="133"/>
        <w:keepNext/>
        <w:adjustRightInd w:val="0"/>
        <w:spacing w:line="420" w:lineRule="atLeast"/>
        <w:outlineLvl w:val="3"/>
        <w:rPr>
          <w:rFonts w:eastAsia="黑体" w:cs="Times New Roman"/>
          <w:b/>
          <w:bCs/>
          <w:iCs/>
          <w:kern w:val="0"/>
          <w:sz w:val="24"/>
          <w:szCs w:val="24"/>
        </w:rPr>
      </w:pPr>
      <w:bookmarkStart w:id="115" w:name="_Toc36243485"/>
      <w:r>
        <w:rPr>
          <w:rFonts w:hint="eastAsia" w:eastAsia="黑体" w:cs="Times New Roman"/>
          <w:b/>
          <w:bCs/>
          <w:iCs/>
          <w:kern w:val="0"/>
          <w:sz w:val="24"/>
          <w:szCs w:val="24"/>
        </w:rPr>
        <w:t>4.3地震</w:t>
      </w:r>
      <w:bookmarkEnd w:id="115"/>
    </w:p>
    <w:p>
      <w:pPr>
        <w:spacing w:line="360" w:lineRule="auto"/>
        <w:ind w:firstLine="360" w:firstLineChars="150"/>
        <w:rPr>
          <w:rFonts w:ascii="宋体" w:hAnsi="宋体"/>
          <w:sz w:val="24"/>
        </w:rPr>
      </w:pPr>
      <w:r>
        <w:rPr>
          <w:rFonts w:hint="eastAsia" w:ascii="宋体" w:hAnsi="宋体"/>
          <w:sz w:val="24"/>
        </w:rPr>
        <w:t>根据《中国地震动参数区划图》(GB18306-2015)，沿线地震动峰值加速度为0.05g，地震动反应谱特征周期为0.35s，对应于原基本烈度Ⅵ度。</w:t>
      </w:r>
    </w:p>
    <w:p>
      <w:pPr>
        <w:pStyle w:val="134"/>
        <w:keepNext/>
        <w:adjustRightInd w:val="0"/>
        <w:spacing w:line="420" w:lineRule="atLeast"/>
        <w:outlineLvl w:val="3"/>
        <w:rPr>
          <w:rFonts w:eastAsia="黑体" w:cs="Times New Roman"/>
          <w:b/>
          <w:bCs/>
          <w:iCs/>
          <w:kern w:val="0"/>
          <w:sz w:val="24"/>
          <w:szCs w:val="24"/>
        </w:rPr>
      </w:pPr>
      <w:r>
        <w:rPr>
          <w:rFonts w:eastAsia="黑体" w:cs="Times New Roman"/>
          <w:b/>
          <w:bCs/>
          <w:iCs/>
          <w:kern w:val="0"/>
          <w:sz w:val="24"/>
          <w:szCs w:val="24"/>
        </w:rPr>
        <w:t>5  交通、电力、通讯及其他条件</w:t>
      </w:r>
    </w:p>
    <w:p>
      <w:pPr>
        <w:pStyle w:val="135"/>
        <w:keepNext/>
        <w:adjustRightInd w:val="0"/>
        <w:spacing w:line="420" w:lineRule="atLeast"/>
        <w:outlineLvl w:val="3"/>
        <w:rPr>
          <w:rFonts w:eastAsia="黑体" w:cs="Times New Roman"/>
          <w:b/>
          <w:bCs/>
          <w:iCs/>
          <w:color w:val="FF0000"/>
          <w:kern w:val="0"/>
          <w:sz w:val="24"/>
          <w:szCs w:val="24"/>
        </w:rPr>
      </w:pPr>
      <w:r>
        <w:rPr>
          <w:rFonts w:eastAsia="黑体" w:cs="Times New Roman"/>
          <w:b/>
          <w:bCs/>
          <w:iCs/>
          <w:kern w:val="0"/>
          <w:sz w:val="24"/>
          <w:szCs w:val="24"/>
        </w:rPr>
        <w:t>5.1  沿线筑路材料</w:t>
      </w:r>
    </w:p>
    <w:p>
      <w:pPr>
        <w:pStyle w:val="136"/>
        <w:spacing w:line="400" w:lineRule="exact"/>
        <w:ind w:firstLine="512" w:firstLineChars="200"/>
        <w:rPr>
          <w:rFonts w:eastAsia="宋体" w:cs="Times New Roman"/>
          <w:bCs/>
          <w:spacing w:val="8"/>
          <w:kern w:val="0"/>
          <w:sz w:val="24"/>
        </w:rPr>
      </w:pPr>
      <w:r>
        <w:rPr>
          <w:rFonts w:hint="eastAsia" w:ascii="Calibri" w:hAnsi="Calibri" w:eastAsia="宋体" w:cs="Times New Roman"/>
          <w:bCs/>
          <w:spacing w:val="8"/>
          <w:kern w:val="0"/>
          <w:sz w:val="24"/>
        </w:rPr>
        <w:t>本项目途经沅陵县、辰溪县，筑路工程材料采购运输条件较为便利，沿线各县市皆有石料场、砂场、水泥厂、石灰厂，可就近购买。其他外购材料则可从怀化市、辰溪县或者沅陵县购买。</w:t>
      </w:r>
    </w:p>
    <w:p>
      <w:pPr>
        <w:pStyle w:val="137"/>
        <w:spacing w:line="400" w:lineRule="exact"/>
        <w:ind w:firstLine="512" w:firstLineChars="200"/>
        <w:rPr>
          <w:rFonts w:eastAsia="宋体" w:cs="Times New Roman"/>
          <w:bCs/>
          <w:spacing w:val="8"/>
          <w:kern w:val="0"/>
          <w:sz w:val="24"/>
        </w:rPr>
      </w:pPr>
      <w:r>
        <w:rPr>
          <w:rFonts w:hint="eastAsia" w:ascii="Calibri" w:hAnsi="Calibri" w:eastAsia="宋体" w:cs="Times New Roman"/>
          <w:bCs/>
          <w:spacing w:val="8"/>
          <w:kern w:val="0"/>
          <w:sz w:val="24"/>
        </w:rPr>
        <w:t>1.砂料</w:t>
      </w:r>
    </w:p>
    <w:p>
      <w:pPr>
        <w:pStyle w:val="138"/>
        <w:spacing w:line="400" w:lineRule="exact"/>
        <w:ind w:firstLine="512" w:firstLineChars="200"/>
        <w:rPr>
          <w:rFonts w:eastAsia="宋体" w:cs="Times New Roman"/>
          <w:bCs/>
          <w:spacing w:val="8"/>
          <w:kern w:val="0"/>
          <w:sz w:val="24"/>
        </w:rPr>
      </w:pPr>
      <w:r>
        <w:rPr>
          <w:rFonts w:ascii="Calibri" w:hAnsi="Calibri" w:eastAsia="宋体" w:cs="Times New Roman"/>
          <w:bCs/>
          <w:spacing w:val="8"/>
          <w:kern w:val="0"/>
          <w:sz w:val="24"/>
        </w:rPr>
        <w:t>拟建项目</w:t>
      </w:r>
      <w:r>
        <w:rPr>
          <w:rFonts w:hint="eastAsia" w:ascii="Calibri" w:hAnsi="Calibri" w:eastAsia="宋体" w:cs="Times New Roman"/>
          <w:bCs/>
          <w:spacing w:val="8"/>
          <w:kern w:val="0"/>
          <w:sz w:val="24"/>
        </w:rPr>
        <w:t>区域内</w:t>
      </w:r>
      <w:r>
        <w:rPr>
          <w:rFonts w:ascii="Calibri" w:hAnsi="Calibri" w:eastAsia="宋体" w:cs="Times New Roman"/>
          <w:bCs/>
          <w:spacing w:val="8"/>
          <w:kern w:val="0"/>
          <w:sz w:val="24"/>
        </w:rPr>
        <w:t>沅水及其支流舞水均匀分布着</w:t>
      </w:r>
      <w:r>
        <w:rPr>
          <w:rFonts w:hint="eastAsia" w:ascii="Calibri" w:hAnsi="Calibri" w:eastAsia="宋体" w:cs="Times New Roman"/>
          <w:bCs/>
          <w:spacing w:val="8"/>
          <w:kern w:val="0"/>
          <w:sz w:val="24"/>
        </w:rPr>
        <w:t>（辰溪、溆浦）</w:t>
      </w:r>
      <w:r>
        <w:rPr>
          <w:rFonts w:ascii="Calibri" w:hAnsi="Calibri" w:eastAsia="宋体" w:cs="Times New Roman"/>
          <w:bCs/>
          <w:spacing w:val="8"/>
          <w:kern w:val="0"/>
          <w:sz w:val="24"/>
        </w:rPr>
        <w:t>比较多的砂</w:t>
      </w:r>
      <w:r>
        <w:rPr>
          <w:rFonts w:hint="eastAsia" w:ascii="Calibri" w:hAnsi="Calibri" w:eastAsia="宋体" w:cs="Times New Roman"/>
          <w:bCs/>
          <w:spacing w:val="8"/>
          <w:kern w:val="0"/>
          <w:sz w:val="24"/>
        </w:rPr>
        <w:t>、</w:t>
      </w:r>
      <w:r>
        <w:rPr>
          <w:rFonts w:ascii="Calibri" w:hAnsi="Calibri" w:eastAsia="宋体" w:cs="Times New Roman"/>
          <w:bCs/>
          <w:spacing w:val="8"/>
          <w:kern w:val="0"/>
          <w:sz w:val="24"/>
        </w:rPr>
        <w:t>砾</w:t>
      </w:r>
      <w:r>
        <w:rPr>
          <w:rFonts w:hint="eastAsia" w:ascii="Calibri" w:hAnsi="Calibri" w:eastAsia="宋体" w:cs="Times New Roman"/>
          <w:bCs/>
          <w:spacing w:val="8"/>
          <w:kern w:val="0"/>
          <w:sz w:val="24"/>
        </w:rPr>
        <w:t>、卵石。</w:t>
      </w:r>
    </w:p>
    <w:p>
      <w:pPr>
        <w:pStyle w:val="139"/>
        <w:spacing w:line="400" w:lineRule="exact"/>
        <w:ind w:firstLine="512" w:firstLineChars="200"/>
        <w:rPr>
          <w:rFonts w:eastAsia="宋体" w:cs="Times New Roman"/>
          <w:bCs/>
          <w:spacing w:val="8"/>
          <w:kern w:val="0"/>
          <w:sz w:val="24"/>
        </w:rPr>
      </w:pPr>
      <w:r>
        <w:rPr>
          <w:rFonts w:hint="eastAsia" w:ascii="Calibri" w:hAnsi="Calibri" w:eastAsia="宋体" w:cs="Times New Roman"/>
          <w:bCs/>
          <w:spacing w:val="8"/>
          <w:kern w:val="0"/>
          <w:sz w:val="24"/>
        </w:rPr>
        <w:t>砂</w:t>
      </w:r>
      <w:r>
        <w:rPr>
          <w:rFonts w:ascii="Calibri" w:hAnsi="Calibri" w:eastAsia="宋体" w:cs="Times New Roman"/>
          <w:bCs/>
          <w:spacing w:val="8"/>
          <w:kern w:val="0"/>
          <w:sz w:val="24"/>
        </w:rPr>
        <w:t>料场，</w:t>
      </w:r>
      <w:r>
        <w:rPr>
          <w:rFonts w:hint="eastAsia" w:ascii="Calibri" w:hAnsi="Calibri" w:eastAsia="宋体" w:cs="Times New Roman"/>
          <w:bCs/>
          <w:spacing w:val="8"/>
          <w:kern w:val="0"/>
          <w:sz w:val="24"/>
        </w:rPr>
        <w:t>路线走廊带中部穿越沅水，其砂、砾、卵石储量较丰富</w:t>
      </w:r>
      <w:r>
        <w:rPr>
          <w:rFonts w:ascii="Calibri" w:hAnsi="Calibri" w:eastAsia="宋体" w:cs="Times New Roman"/>
          <w:bCs/>
          <w:spacing w:val="8"/>
          <w:kern w:val="0"/>
          <w:sz w:val="24"/>
        </w:rPr>
        <w:t>、规格品种齐全、材质优良，砂质颗料均匀，含泥量少，部分大型砂厂</w:t>
      </w:r>
      <w:r>
        <w:rPr>
          <w:rFonts w:hint="eastAsia" w:ascii="Calibri" w:hAnsi="Calibri" w:eastAsia="宋体" w:cs="Times New Roman"/>
          <w:bCs/>
          <w:spacing w:val="8"/>
          <w:kern w:val="0"/>
          <w:sz w:val="24"/>
        </w:rPr>
        <w:t>备</w:t>
      </w:r>
      <w:r>
        <w:rPr>
          <w:rFonts w:ascii="Calibri" w:hAnsi="Calibri" w:eastAsia="宋体" w:cs="Times New Roman"/>
          <w:bCs/>
          <w:spacing w:val="8"/>
          <w:kern w:val="0"/>
          <w:sz w:val="24"/>
        </w:rPr>
        <w:t>有筛分设备，</w:t>
      </w:r>
      <w:r>
        <w:rPr>
          <w:rFonts w:hint="eastAsia" w:ascii="Calibri" w:hAnsi="Calibri" w:eastAsia="宋体" w:cs="Times New Roman"/>
          <w:bCs/>
          <w:spacing w:val="8"/>
          <w:kern w:val="0"/>
          <w:sz w:val="24"/>
        </w:rPr>
        <w:t>及其</w:t>
      </w:r>
      <w:r>
        <w:rPr>
          <w:rFonts w:ascii="Calibri" w:hAnsi="Calibri" w:eastAsia="宋体" w:cs="Times New Roman"/>
          <w:bCs/>
          <w:spacing w:val="8"/>
          <w:kern w:val="0"/>
          <w:sz w:val="24"/>
        </w:rPr>
        <w:t>装载机，可按不同的工程需要供料。</w:t>
      </w:r>
      <w:r>
        <w:rPr>
          <w:rFonts w:hint="eastAsia" w:ascii="Calibri" w:hAnsi="Calibri" w:eastAsia="宋体" w:cs="Times New Roman"/>
          <w:bCs/>
          <w:spacing w:val="8"/>
          <w:kern w:val="0"/>
          <w:sz w:val="24"/>
        </w:rPr>
        <w:t>初勘阶段共调查砂石场2处，均现有公路直接通往料场，交通运输方便。其主要试验项目有含泥量、有机物含量、天然密度、颗粒分析。主要有辰溪县锦星砂场、火马冲镇（沅水段）砂场等。</w:t>
      </w:r>
    </w:p>
    <w:p>
      <w:pPr>
        <w:pStyle w:val="140"/>
        <w:spacing w:line="400" w:lineRule="exact"/>
        <w:ind w:firstLine="512" w:firstLineChars="200"/>
        <w:rPr>
          <w:rFonts w:eastAsia="宋体" w:cs="Times New Roman"/>
          <w:bCs/>
          <w:spacing w:val="8"/>
          <w:kern w:val="0"/>
          <w:sz w:val="24"/>
        </w:rPr>
      </w:pPr>
      <w:r>
        <w:rPr>
          <w:rFonts w:hint="eastAsia" w:ascii="Calibri" w:hAnsi="Calibri" w:eastAsia="宋体" w:cs="Times New Roman"/>
          <w:bCs/>
          <w:spacing w:val="8"/>
          <w:kern w:val="0"/>
          <w:sz w:val="24"/>
        </w:rPr>
        <w:t>2.石料</w:t>
      </w:r>
    </w:p>
    <w:p>
      <w:pPr>
        <w:pStyle w:val="141"/>
        <w:spacing w:line="400" w:lineRule="exact"/>
        <w:ind w:firstLine="512" w:firstLineChars="200"/>
        <w:rPr>
          <w:rFonts w:hint="eastAsia" w:eastAsia="宋体" w:cs="Times New Roman"/>
          <w:bCs/>
          <w:spacing w:val="8"/>
          <w:kern w:val="0"/>
          <w:sz w:val="24"/>
        </w:rPr>
      </w:pPr>
      <w:r>
        <w:rPr>
          <w:rFonts w:hint="eastAsia" w:ascii="Calibri" w:hAnsi="Calibri" w:eastAsia="宋体" w:cs="Times New Roman"/>
          <w:bCs/>
          <w:spacing w:val="8"/>
          <w:kern w:val="0"/>
          <w:sz w:val="24"/>
        </w:rPr>
        <w:t>初勘阶段根据调查</w:t>
      </w:r>
      <w:r>
        <w:rPr>
          <w:rFonts w:ascii="Calibri" w:hAnsi="Calibri" w:eastAsia="宋体" w:cs="Times New Roman"/>
          <w:bCs/>
          <w:spacing w:val="8"/>
          <w:kern w:val="0"/>
          <w:sz w:val="24"/>
        </w:rPr>
        <w:t>本项目石料</w:t>
      </w:r>
      <w:r>
        <w:rPr>
          <w:rFonts w:hint="eastAsia" w:ascii="Calibri" w:hAnsi="Calibri" w:eastAsia="宋体" w:cs="Times New Roman"/>
          <w:bCs/>
          <w:spacing w:val="8"/>
          <w:kern w:val="0"/>
          <w:sz w:val="24"/>
        </w:rPr>
        <w:t>较为</w:t>
      </w:r>
      <w:r>
        <w:rPr>
          <w:rFonts w:ascii="Calibri" w:hAnsi="Calibri" w:eastAsia="宋体" w:cs="Times New Roman"/>
          <w:bCs/>
          <w:spacing w:val="8"/>
          <w:kern w:val="0"/>
          <w:sz w:val="24"/>
        </w:rPr>
        <w:t>丰富，</w:t>
      </w:r>
      <w:r>
        <w:rPr>
          <w:rFonts w:hint="eastAsia" w:ascii="Calibri" w:hAnsi="Calibri" w:eastAsia="宋体" w:cs="Times New Roman"/>
          <w:bCs/>
          <w:spacing w:val="8"/>
          <w:kern w:val="0"/>
          <w:sz w:val="24"/>
        </w:rPr>
        <w:t>主要有沅陵县筲箕湾砍木坪采石场、火马冲镇九子村采石场等，</w:t>
      </w:r>
      <w:r>
        <w:rPr>
          <w:rFonts w:ascii="Calibri" w:hAnsi="Calibri" w:eastAsia="宋体" w:cs="Times New Roman"/>
          <w:bCs/>
          <w:spacing w:val="8"/>
          <w:kern w:val="0"/>
          <w:sz w:val="24"/>
        </w:rPr>
        <w:t>其组成以石灰岩较普遍，整体性好、抗压温度高，材质良好，可加工成为各种规格的碎石、块石</w:t>
      </w:r>
      <w:r>
        <w:rPr>
          <w:rFonts w:hint="eastAsia" w:ascii="Calibri" w:hAnsi="Calibri" w:eastAsia="宋体" w:cs="Times New Roman"/>
          <w:bCs/>
          <w:spacing w:val="8"/>
          <w:kern w:val="0"/>
          <w:sz w:val="24"/>
        </w:rPr>
        <w:t>。路线K0~K3段主要为砂岩，砂岩抗风化能力和侵蚀能力较弱，K3~终点灰岩，岩石坚硬，岩层裸露，运输方便为良好块、片石料场。</w:t>
      </w:r>
      <w:r>
        <w:rPr>
          <w:rFonts w:ascii="Calibri" w:hAnsi="Calibri" w:eastAsia="宋体" w:cs="Times New Roman"/>
          <w:bCs/>
          <w:spacing w:val="8"/>
          <w:kern w:val="0"/>
          <w:sz w:val="24"/>
        </w:rPr>
        <w:t>可供开采场地较多，有各种开采、加工设备</w:t>
      </w:r>
      <w:r>
        <w:rPr>
          <w:rFonts w:hint="eastAsia" w:ascii="Calibri" w:hAnsi="Calibri" w:eastAsia="宋体" w:cs="Times New Roman"/>
          <w:bCs/>
          <w:spacing w:val="8"/>
          <w:kern w:val="0"/>
          <w:sz w:val="24"/>
        </w:rPr>
        <w:t>，</w:t>
      </w:r>
      <w:r>
        <w:rPr>
          <w:rFonts w:ascii="Calibri" w:hAnsi="Calibri" w:eastAsia="宋体" w:cs="Times New Roman"/>
          <w:bCs/>
          <w:spacing w:val="8"/>
          <w:kern w:val="0"/>
          <w:sz w:val="24"/>
        </w:rPr>
        <w:t>采购方便。</w:t>
      </w:r>
      <w:r>
        <w:rPr>
          <w:rFonts w:hint="eastAsia" w:ascii="Calibri" w:hAnsi="Calibri" w:eastAsia="宋体" w:cs="Times New Roman"/>
          <w:bCs/>
          <w:spacing w:val="8"/>
          <w:kern w:val="0"/>
          <w:sz w:val="24"/>
        </w:rPr>
        <w:t>初勘阶段共调查石场2处，并做相关试验，其主要试验项目为颗粒分析、单轴抗压强度、吸水率、坚固性、磨光值、冲击值、洛杉矶磨耗损失、压碎值、沥青粘附性、针片状颗粒含量、含泥量、有机物含量、松散密度、与沥青粘结力。</w:t>
      </w:r>
    </w:p>
    <w:p>
      <w:pPr>
        <w:pStyle w:val="142"/>
        <w:spacing w:line="400" w:lineRule="exact"/>
        <w:ind w:firstLine="512" w:firstLineChars="200"/>
        <w:rPr>
          <w:rFonts w:eastAsia="宋体" w:cs="Times New Roman"/>
          <w:bCs/>
          <w:spacing w:val="8"/>
          <w:kern w:val="0"/>
          <w:sz w:val="24"/>
        </w:rPr>
      </w:pPr>
      <w:r>
        <w:rPr>
          <w:rFonts w:hint="eastAsia" w:ascii="Calibri" w:hAnsi="Calibri" w:eastAsia="宋体" w:cs="Times New Roman"/>
          <w:bCs/>
          <w:spacing w:val="8"/>
          <w:kern w:val="0"/>
          <w:sz w:val="24"/>
        </w:rPr>
        <w:t>3.工程用水以及工程用电</w:t>
      </w:r>
    </w:p>
    <w:p>
      <w:pPr>
        <w:pStyle w:val="143"/>
        <w:spacing w:line="400" w:lineRule="exact"/>
        <w:ind w:firstLine="512" w:firstLineChars="200"/>
        <w:rPr>
          <w:rFonts w:eastAsia="宋体" w:cs="Times New Roman"/>
          <w:bCs/>
          <w:spacing w:val="8"/>
          <w:kern w:val="0"/>
          <w:sz w:val="24"/>
        </w:rPr>
      </w:pPr>
      <w:r>
        <w:rPr>
          <w:rFonts w:hint="eastAsia" w:ascii="Calibri" w:hAnsi="Calibri" w:eastAsia="宋体" w:cs="Times New Roman"/>
          <w:bCs/>
          <w:spacing w:val="8"/>
          <w:kern w:val="0"/>
          <w:sz w:val="24"/>
        </w:rPr>
        <w:t>沿线自然河流不多而且河宽较窄、但沟渠较多，分布较均匀，水质纯净，无污染，工程用水可就近解决；生活用水可与当地水管部门联系，接通自来水管道。工程用电可直接与当地供电部门协商解决。</w:t>
      </w:r>
    </w:p>
    <w:p>
      <w:pPr>
        <w:pStyle w:val="144"/>
        <w:keepNext/>
        <w:adjustRightInd w:val="0"/>
        <w:spacing w:line="420" w:lineRule="atLeast"/>
        <w:outlineLvl w:val="3"/>
        <w:rPr>
          <w:rFonts w:eastAsia="黑体" w:cs="Times New Roman"/>
          <w:b/>
          <w:bCs/>
          <w:iCs/>
          <w:kern w:val="0"/>
          <w:sz w:val="24"/>
          <w:szCs w:val="24"/>
        </w:rPr>
      </w:pPr>
      <w:r>
        <w:rPr>
          <w:rFonts w:eastAsia="黑体" w:cs="Times New Roman"/>
          <w:b/>
          <w:bCs/>
          <w:iCs/>
          <w:kern w:val="0"/>
          <w:sz w:val="24"/>
          <w:szCs w:val="24"/>
        </w:rPr>
        <w:t>5.</w:t>
      </w:r>
      <w:r>
        <w:rPr>
          <w:rFonts w:hint="eastAsia" w:eastAsia="黑体" w:cs="Times New Roman"/>
          <w:b/>
          <w:bCs/>
          <w:iCs/>
          <w:kern w:val="0"/>
          <w:sz w:val="24"/>
          <w:szCs w:val="24"/>
        </w:rPr>
        <w:t>2</w:t>
      </w:r>
      <w:r>
        <w:rPr>
          <w:rFonts w:eastAsia="黑体" w:cs="Times New Roman"/>
          <w:b/>
          <w:bCs/>
          <w:iCs/>
          <w:kern w:val="0"/>
          <w:sz w:val="24"/>
          <w:szCs w:val="24"/>
        </w:rPr>
        <w:t xml:space="preserve">  运输条件</w:t>
      </w:r>
    </w:p>
    <w:p>
      <w:pPr>
        <w:pStyle w:val="145"/>
        <w:rPr>
          <w:rFonts w:hint="eastAsia" w:hAnsi="宋体" w:eastAsia="宋体" w:cs="Times New Roman"/>
        </w:rPr>
      </w:pPr>
      <w:r>
        <w:rPr>
          <w:rFonts w:hint="eastAsia" w:ascii="Calibri" w:hAnsi="宋体" w:eastAsia="宋体" w:cs="Times New Roman"/>
        </w:rPr>
        <w:t>本项目区域公路、铁路运输条件较为便利，在常吉高速、娄怀高速、S250(原S223)、G354(原S308)和湘黔铁路的影响区内，工程材料采购运输条件较为便利，能够利用现有道路及较短的施工便道运至工地，运输方式采用汽车，部分采用铁路</w:t>
      </w:r>
    </w:p>
    <w:p>
      <w:pPr>
        <w:pStyle w:val="146"/>
        <w:ind w:firstLine="0" w:firstLineChars="0"/>
        <w:rPr>
          <w:rFonts w:hint="eastAsia" w:hAnsi="宋体" w:eastAsia="等线" w:cs="Times New Roman"/>
          <w:b/>
          <w:bCs/>
        </w:rPr>
      </w:pPr>
      <w:r>
        <w:rPr>
          <w:rFonts w:hint="eastAsia" w:ascii="Calibri" w:hAnsi="宋体" w:eastAsia="宋体" w:cs="Times New Roman"/>
        </w:rPr>
        <w:t>方式。</w:t>
      </w:r>
    </w:p>
    <w:p>
      <w:pPr>
        <w:pStyle w:val="134"/>
        <w:keepNext/>
        <w:adjustRightInd w:val="0"/>
        <w:spacing w:line="420" w:lineRule="atLeast"/>
        <w:outlineLvl w:val="3"/>
        <w:rPr>
          <w:rFonts w:eastAsia="黑体" w:cs="Times New Roman"/>
          <w:b/>
          <w:bCs/>
          <w:iCs/>
          <w:kern w:val="0"/>
          <w:sz w:val="24"/>
          <w:szCs w:val="24"/>
        </w:rPr>
      </w:pPr>
      <w:r>
        <w:rPr>
          <w:rFonts w:hint="eastAsia" w:eastAsia="黑体" w:cs="Times New Roman"/>
          <w:b/>
          <w:bCs/>
          <w:iCs/>
          <w:kern w:val="0"/>
          <w:sz w:val="24"/>
          <w:szCs w:val="24"/>
        </w:rPr>
        <w:t xml:space="preserve">6  </w:t>
      </w:r>
      <w:r>
        <w:rPr>
          <w:rFonts w:eastAsia="黑体" w:cs="Times New Roman"/>
          <w:b/>
          <w:bCs/>
          <w:iCs/>
          <w:kern w:val="0"/>
          <w:sz w:val="24"/>
          <w:szCs w:val="24"/>
        </w:rPr>
        <w:t>招标项目位置示意图</w:t>
      </w:r>
    </w:p>
    <w:p>
      <w:pPr>
        <w:pStyle w:val="147"/>
        <w:spacing w:line="240" w:lineRule="auto"/>
        <w:ind w:firstLine="2484" w:firstLineChars="1031"/>
        <w:rPr>
          <w:rFonts w:hint="eastAsia" w:ascii="宋体" w:hAnsi="宋体" w:eastAsia="宋体" w:cs="Times New Roman"/>
          <w:b/>
        </w:rPr>
      </w:pPr>
      <w:r>
        <w:rPr>
          <w:rFonts w:hint="eastAsia" w:ascii="宋体" w:hAnsi="宋体" w:eastAsia="宋体" w:cs="Times New Roman"/>
          <w:b/>
        </w:rPr>
        <w:t xml:space="preserve">    </w:t>
      </w:r>
    </w:p>
    <w:p>
      <w:pPr>
        <w:pStyle w:val="148"/>
        <w:spacing w:line="240" w:lineRule="auto"/>
        <w:ind w:firstLine="2484" w:firstLineChars="1031"/>
        <w:rPr>
          <w:rFonts w:hint="eastAsia" w:eastAsia="黑体" w:cs="Times New Roman"/>
          <w:color w:val="000000"/>
        </w:rPr>
      </w:pPr>
      <w:r>
        <w:rPr>
          <w:rFonts w:hint="eastAsia" w:ascii="宋体" w:hAnsi="宋体" w:eastAsia="宋体" w:cs="Times New Roman"/>
          <w:b/>
        </w:rPr>
        <w:t xml:space="preserve"> </w:t>
      </w:r>
      <w:r>
        <w:rPr>
          <w:rFonts w:hint="eastAsia" w:eastAsia="黑体" w:cs="Times New Roman"/>
          <w:sz w:val="34"/>
        </w:rPr>
        <w:t>项目地理位置图</w:t>
      </w:r>
    </w:p>
    <w:p>
      <w:pPr>
        <w:rPr>
          <w:rFonts w:hint="eastAsia"/>
          <w:color w:val="000080"/>
          <w:sz w:val="20"/>
          <w:highlight w:val="white"/>
        </w:rPr>
      </w:pPr>
      <w:r>
        <w:rPr>
          <w:rFonts w:hint="eastAsia"/>
          <w:color w:val="000080"/>
          <w:sz w:val="20"/>
          <w:highlight w:val="white"/>
        </w:rPr>
        <w:t xml:space="preserve"> </w:t>
      </w:r>
    </w:p>
    <w:p>
      <w:r>
        <w:rPr>
          <w:sz w:val="24"/>
          <w:szCs w:val="24"/>
          <w:highlight w:val="white"/>
        </w:rPr>
        <w:drawing>
          <wp:inline distT="0" distB="0" distL="114300" distR="114300">
            <wp:extent cx="5236845" cy="3725545"/>
            <wp:effectExtent l="0" t="0" r="1905" b="8255"/>
            <wp:docPr id="1" name="图片 1" descr="b0cfe2a1128264067e59134eb025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0cfe2a1128264067e59134eb025976"/>
                    <pic:cNvPicPr>
                      <a:picLocks noChangeAspect="1"/>
                    </pic:cNvPicPr>
                  </pic:nvPicPr>
                  <pic:blipFill>
                    <a:blip r:embed="rId5"/>
                    <a:stretch>
                      <a:fillRect/>
                    </a:stretch>
                  </pic:blipFill>
                  <pic:spPr>
                    <a:xfrm>
                      <a:off x="0" y="0"/>
                      <a:ext cx="5236845" cy="3725545"/>
                    </a:xfrm>
                    <a:prstGeom prst="rect">
                      <a:avLst/>
                    </a:prstGeom>
                    <a:noFill/>
                    <a:ln>
                      <a:noFill/>
                    </a:ln>
                  </pic:spPr>
                </pic:pic>
              </a:graphicData>
            </a:graphic>
          </wp:inline>
        </w:drawing>
      </w:r>
    </w:p>
    <w:p>
      <w:pPr>
        <w:rPr>
          <w:rFonts w:hint="eastAsia"/>
          <w:color w:val="000080"/>
          <w:sz w:val="20"/>
          <w:highlight w:val="white"/>
        </w:rPr>
      </w:pPr>
      <w:r>
        <w:rPr>
          <w:rFonts w:hint="eastAsia"/>
          <w:color w:val="000080"/>
          <w:sz w:val="20"/>
          <w:highlight w:val="white"/>
        </w:rPr>
        <w:t xml:space="preserve"> </w:t>
      </w:r>
    </w:p>
    <w:p>
      <w:pPr>
        <w:rPr>
          <w:rFonts w:hint="eastAsia"/>
          <w:color w:val="000080"/>
          <w:sz w:val="20"/>
          <w:highlight w:val="white"/>
        </w:rPr>
      </w:pPr>
      <w:r>
        <w:rPr>
          <w:rFonts w:hint="eastAsia"/>
          <w:color w:val="000080"/>
          <w:sz w:val="20"/>
          <w:highlight w:val="white"/>
        </w:rPr>
        <w:t xml:space="preserve"> </w:t>
      </w:r>
    </w:p>
    <w:p>
      <w:pPr>
        <w:spacing w:line="400" w:lineRule="atLeast"/>
        <w:ind w:firstLine="480" w:firstLineChars="200"/>
        <w:rPr>
          <w:rFonts w:hint="default" w:ascii="Times New Roman" w:hAnsi="Times New Roman"/>
          <w:color w:val="000000"/>
          <w:sz w:val="24"/>
          <w:szCs w:val="24"/>
          <w:highlight w:val="whit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9"/>
        <w:rPr>
          <w:rFonts w:ascii="黑体" w:hAnsi="黑体" w:eastAsia="黑体" w:cs="黑体"/>
        </w:rPr>
      </w:pPr>
      <w:r>
        <w:rPr>
          <w:rStyle w:val="70"/>
          <w:rFonts w:hint="eastAsia" w:ascii="华文新魏" w:hAnsi="黑体" w:eastAsia="华文新魏" w:cs="黑体"/>
        </w:rPr>
        <w:footnoteRef/>
      </w:r>
      <w:r>
        <w:rPr>
          <w:rFonts w:hint="eastAsia" w:ascii="华文新魏" w:hAnsi="黑体" w:eastAsia="华文新魏" w:cs="黑体"/>
        </w:rPr>
        <w:t xml:space="preserve"> </w:t>
      </w:r>
      <w:r>
        <w:rPr>
          <w:rFonts w:hint="eastAsia" w:ascii="黑体" w:hAnsi="黑体" w:eastAsia="黑体" w:cs="黑体"/>
        </w:rPr>
        <w:t>单位负责人，是指单位法定代表人或者法律、行政法规规定代表单位行使职权的主要负责人。（招标文件中所列“单位负责人”均作本条解释）。</w:t>
      </w:r>
    </w:p>
  </w:footnote>
  <w:footnote w:id="1">
    <w:p>
      <w:pPr>
        <w:pStyle w:val="69"/>
        <w:rPr>
          <w:rFonts w:ascii="黑体" w:hAnsi="黑体" w:eastAsia="黑体" w:cs="黑体"/>
        </w:rPr>
      </w:pPr>
      <w:r>
        <w:rPr>
          <w:rStyle w:val="70"/>
          <w:rFonts w:ascii="黑体" w:hAnsi="黑体" w:eastAsia="黑体" w:cs="黑体"/>
        </w:rPr>
        <w:footnoteRef/>
      </w:r>
      <w:r>
        <w:rPr>
          <w:rFonts w:ascii="黑体" w:hAnsi="黑体" w:eastAsia="黑体" w:cs="黑体"/>
        </w:rPr>
        <w:t xml:space="preserve"> 控股，是指出资额（持股）占股本总额50%以上或虽不足50%，但依出资额或所持股份所享有的表决权足以对股东会、股东大会的决议产生重大影响的，或者国有企事业单位通过投资关系、协议或者其他安排，能够实际支配公司行为的。（招标文件中所列“控股”均作本条解释）</w:t>
      </w:r>
      <w:r>
        <w:rPr>
          <w:rFonts w:hint="eastAsia" w:ascii="黑体" w:hAnsi="黑体" w:eastAsia="黑体" w:cs="黑体"/>
        </w:rPr>
        <w:t>。</w:t>
      </w:r>
    </w:p>
  </w:footnote>
  <w:footnote w:id="2">
    <w:p>
      <w:pPr>
        <w:pStyle w:val="69"/>
        <w:rPr>
          <w:rFonts w:ascii="华文新魏" w:hAnsi="黑体" w:eastAsia="华文新魏" w:cs="黑体"/>
        </w:rPr>
      </w:pPr>
      <w:r>
        <w:rPr>
          <w:rStyle w:val="70"/>
          <w:rFonts w:ascii="黑体" w:hAnsi="黑体" w:eastAsia="黑体" w:cs="黑体"/>
        </w:rPr>
        <w:footnoteRef/>
      </w:r>
      <w:r>
        <w:rPr>
          <w:rFonts w:ascii="黑体" w:hAnsi="黑体" w:eastAsia="黑体" w:cs="黑体"/>
        </w:rPr>
        <w:t xml:space="preserve"> 管理，是指不具有出资持股关系的其他单位之间存在的管理与被管理关系。（招标文件中所列“管理”均作本条解释）</w:t>
      </w:r>
      <w:r>
        <w:rPr>
          <w:rFonts w:hint="eastAsia" w:ascii="黑体" w:hAnsi="黑体" w:eastAsia="黑体" w:cs="黑体"/>
        </w:rPr>
        <w:t>。</w:t>
      </w:r>
    </w:p>
  </w:footnote>
  <w:footnote w:id="3">
    <w:p>
      <w:pPr>
        <w:pStyle w:val="71"/>
        <w:rPr>
          <w:rFonts w:ascii="华文新魏" w:hAnsi="Calibri" w:eastAsia="华文新魏" w:cs="Times New Roman"/>
        </w:rPr>
      </w:pPr>
      <w:r>
        <w:rPr>
          <w:rStyle w:val="72"/>
          <w:rFonts w:hint="eastAsia" w:ascii="华文新魏" w:hAnsi="Calibri" w:eastAsia="华文新魏" w:cs="Times New Roman"/>
        </w:rPr>
        <w:footnoteRef/>
      </w:r>
      <w:r>
        <w:rPr>
          <w:rFonts w:hint="eastAsia" w:ascii="华文新魏" w:hAnsi="Calibri" w:eastAsia="华文新魏" w:cs="Times New Roman"/>
        </w:rPr>
        <w:t xml:space="preserve"> </w:t>
      </w:r>
      <w:r>
        <w:rPr>
          <w:rFonts w:hint="eastAsia" w:ascii="黑体" w:hAnsi="黑体" w:eastAsia="黑体" w:cs="Times New Roman"/>
        </w:rPr>
        <w:t>省属项目按省交通运输厅评价执行，市州在农村公路招投标过程中，市州交通运输局组织开展并发布的农村公路的信用评价等级结果在该市州范围内适用。对无该市农村公路信用评价等级的设计企业，应适用省厅发布的信用等级。</w:t>
      </w:r>
    </w:p>
  </w:footnote>
  <w:footnote w:id="4">
    <w:p>
      <w:pPr>
        <w:pStyle w:val="73"/>
        <w:spacing w:line="300" w:lineRule="atLeast"/>
        <w:ind w:left="180" w:hanging="180" w:hangingChars="100"/>
        <w:jc w:val="both"/>
        <w:rPr>
          <w:rFonts w:ascii="Calibri" w:hAnsi="Calibri" w:eastAsia="宋体" w:cs="Times New Roman"/>
        </w:rPr>
      </w:pPr>
      <w:r>
        <w:rPr>
          <w:rStyle w:val="74"/>
          <w:rFonts w:ascii="Calibri" w:hAnsi="Calibri" w:eastAsia="宋体" w:cs="Times New Roman"/>
        </w:rPr>
        <w:footnoteRef/>
      </w:r>
      <w:r>
        <w:rPr>
          <w:rFonts w:hint="eastAsia" w:ascii="Calibri" w:hAnsi="Calibri" w:eastAsia="宋体" w:cs="Times New Roman"/>
        </w:rPr>
        <w:t xml:space="preserve"> 本条款一般适用于方案设计招标。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6692D"/>
    <w:rsid w:val="06DC584C"/>
    <w:rsid w:val="08CF7A26"/>
    <w:rsid w:val="0C4E6EF7"/>
    <w:rsid w:val="11064850"/>
    <w:rsid w:val="22C8627C"/>
    <w:rsid w:val="40EB0F2D"/>
    <w:rsid w:val="48D965A6"/>
    <w:rsid w:val="6F8A4A0A"/>
    <w:rsid w:val="6F8C5581"/>
    <w:rsid w:val="71ED0060"/>
    <w:rsid w:val="7B931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next w:val="4"/>
    <w:qFormat/>
    <w:uiPriority w:val="0"/>
    <w:pPr>
      <w:widowControl w:val="0"/>
      <w:spacing w:before="260" w:after="260"/>
      <w:jc w:val="both"/>
      <w:outlineLvl w:val="1"/>
    </w:pPr>
    <w:rPr>
      <w:rFonts w:ascii="宋体" w:hAnsi="宋体" w:eastAsia="黑体" w:cs="Times New Roman"/>
      <w:bCs/>
      <w:iCs/>
      <w:kern w:val="2"/>
      <w:sz w:val="28"/>
      <w:szCs w:val="20"/>
      <w:lang w:val="en-US" w:eastAsia="zh-CN" w:bidi="ar-SA"/>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4">
    <w:name w:val="Normal Indent"/>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5">
    <w:name w:val="Body Text First Indent"/>
    <w:qFormat/>
    <w:uiPriority w:val="0"/>
    <w:pPr>
      <w:widowControl w:val="0"/>
      <w:spacing w:line="312" w:lineRule="auto"/>
      <w:ind w:firstLine="420"/>
      <w:jc w:val="both"/>
    </w:pPr>
    <w:rPr>
      <w:rFonts w:ascii="Calibri" w:hAnsi="Calibri" w:eastAsia="宋体" w:cs="Times New Roman"/>
      <w:kern w:val="2"/>
      <w:sz w:val="21"/>
      <w:szCs w:val="24"/>
      <w:lang w:val="en-US" w:eastAsia="zh-CN" w:bidi="ar-SA"/>
    </w:rPr>
  </w:style>
  <w:style w:type="paragraph" w:styleId="6">
    <w:name w:val="footnote text"/>
    <w:qFormat/>
    <w:uiPriority w:val="0"/>
    <w:pPr>
      <w:widowControl w:val="0"/>
      <w:adjustRightInd w:val="0"/>
      <w:snapToGrid w:val="0"/>
      <w:spacing w:line="420" w:lineRule="atLeast"/>
      <w:ind w:firstLine="454"/>
      <w:jc w:val="left"/>
      <w:textAlignment w:val="baseline"/>
    </w:pPr>
    <w:rPr>
      <w:rFonts w:ascii="Times New Roman" w:hAnsi="Times New Roman" w:eastAsia="宋体" w:cs="Times New Roman"/>
      <w:kern w:val="0"/>
      <w:sz w:val="18"/>
      <w:szCs w:val="20"/>
      <w:lang w:val="en-US" w:eastAsia="zh-CN" w:bidi="ar-SA"/>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qFormat/>
    <w:uiPriority w:val="0"/>
    <w:pPr>
      <w:widowControl w:val="0"/>
      <w:adjustRightInd w:val="0"/>
      <w:spacing w:before="240" w:after="60" w:line="420" w:lineRule="atLeast"/>
      <w:jc w:val="center"/>
      <w:textAlignment w:val="baseline"/>
      <w:outlineLvl w:val="0"/>
    </w:pPr>
    <w:rPr>
      <w:rFonts w:ascii="Arial" w:hAnsi="Arial" w:eastAsia="宋体" w:cs="Times New Roman"/>
      <w:b/>
      <w:kern w:val="0"/>
      <w:sz w:val="32"/>
      <w:szCs w:val="20"/>
      <w:lang w:val="en-US" w:eastAsia="zh-CN" w:bidi="ar-SA"/>
    </w:rPr>
  </w:style>
  <w:style w:type="character" w:styleId="10">
    <w:name w:val="footnote reference"/>
    <w:qFormat/>
    <w:uiPriority w:val="0"/>
    <w:rPr>
      <w:vertAlign w:val="superscript"/>
    </w:rPr>
  </w:style>
  <w:style w:type="paragraph" w:customStyle="1" w:styleId="12">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
    <w:name w:val="正文_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
    <w:name w:val="正文_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
    <w:name w:val="正文_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
    <w:name w:val="正文_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正文_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正文_8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
    <w:name w:val="正文_8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
    <w:name w:val="正文_8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
    <w:name w:val="正文_1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正文_1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正文_1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
    <w:name w:val="正文_1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
    <w:name w:val="正文_1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
    <w:name w:val="正文_1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
    <w:name w:val="正文_2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
    <w:name w:val="正文_2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
    <w:name w:val="正文_2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
    <w:name w:val="正文_2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正文_2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5">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6">
    <w:name w:val="正文_0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
    <w:name w:val="正文_0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8">
    <w:name w:val="正文_0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正文_0_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正文_0_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正文_0_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正文_2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正文_3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正文_3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正文_3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正文_3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正文_3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正文_3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正文_3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正文_3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正文_3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
    <w:name w:val="正文_4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3">
    <w:name w:val="正文_3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4">
    <w:name w:val="正文_4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
    <w:name w:val="正文_4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
    <w:name w:val="正文_4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
    <w:name w:val="正文_4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正文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正文_0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正文_0_0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
    <w:name w:val="正文_5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正文_5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3">
    <w:name w:val="纯文本_0"/>
    <w:qFormat/>
    <w:uiPriority w:val="0"/>
    <w:pPr>
      <w:widowControl w:val="0"/>
      <w:jc w:val="both"/>
    </w:pPr>
    <w:rPr>
      <w:rFonts w:ascii="宋体" w:hAnsi="Courier New" w:eastAsia="宋体" w:cs="Times New Roman"/>
      <w:kern w:val="2"/>
      <w:sz w:val="21"/>
      <w:lang w:val="en-US" w:eastAsia="zh-CN" w:bidi="ar-SA"/>
    </w:rPr>
  </w:style>
  <w:style w:type="paragraph" w:customStyle="1" w:styleId="64">
    <w:name w:val="纯文本_1"/>
    <w:qFormat/>
    <w:uiPriority w:val="0"/>
    <w:pPr>
      <w:widowControl w:val="0"/>
      <w:jc w:val="both"/>
    </w:pPr>
    <w:rPr>
      <w:rFonts w:ascii="宋体" w:hAnsi="Courier New" w:eastAsia="宋体" w:cs="Times New Roman"/>
      <w:kern w:val="2"/>
      <w:sz w:val="21"/>
      <w:lang w:val="en-US" w:eastAsia="zh-CN" w:bidi="ar-SA"/>
    </w:rPr>
  </w:style>
  <w:style w:type="paragraph" w:customStyle="1" w:styleId="65">
    <w:name w:val="正文_5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6">
    <w:name w:val="正文_5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7">
    <w:name w:val="正文_5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8">
    <w:name w:val="正文_5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9">
    <w:name w:val="脚注文本_3"/>
    <w:unhideWhenUsed/>
    <w:qFormat/>
    <w:uiPriority w:val="99"/>
    <w:pPr>
      <w:widowControl w:val="0"/>
      <w:snapToGrid w:val="0"/>
    </w:pPr>
    <w:rPr>
      <w:rFonts w:ascii="Times New Roman" w:hAnsi="Times New Roman" w:eastAsia="宋体" w:cs="Times New Roman"/>
      <w:kern w:val="2"/>
      <w:sz w:val="18"/>
      <w:szCs w:val="18"/>
      <w:lang w:val="en-US" w:eastAsia="zh-CN" w:bidi="ar-SA"/>
    </w:rPr>
  </w:style>
  <w:style w:type="character" w:customStyle="1" w:styleId="70">
    <w:name w:val="脚注引用_3"/>
    <w:qFormat/>
    <w:uiPriority w:val="0"/>
    <w:rPr>
      <w:vertAlign w:val="superscript"/>
    </w:rPr>
  </w:style>
  <w:style w:type="paragraph" w:customStyle="1" w:styleId="71">
    <w:name w:val="脚注文本_4"/>
    <w:unhideWhenUsed/>
    <w:qFormat/>
    <w:uiPriority w:val="99"/>
    <w:pPr>
      <w:widowControl w:val="0"/>
      <w:snapToGrid w:val="0"/>
    </w:pPr>
    <w:rPr>
      <w:rFonts w:ascii="Times New Roman" w:hAnsi="Times New Roman" w:eastAsia="宋体" w:cs="Times New Roman"/>
      <w:kern w:val="2"/>
      <w:sz w:val="18"/>
      <w:szCs w:val="18"/>
      <w:lang w:val="en-US" w:eastAsia="zh-CN" w:bidi="ar-SA"/>
    </w:rPr>
  </w:style>
  <w:style w:type="character" w:customStyle="1" w:styleId="72">
    <w:name w:val="脚注引用_4"/>
    <w:qFormat/>
    <w:uiPriority w:val="0"/>
    <w:rPr>
      <w:vertAlign w:val="superscript"/>
    </w:rPr>
  </w:style>
  <w:style w:type="paragraph" w:customStyle="1" w:styleId="73">
    <w:name w:val="脚注文本_5"/>
    <w:unhideWhenUsed/>
    <w:qFormat/>
    <w:uiPriority w:val="99"/>
    <w:pPr>
      <w:widowControl w:val="0"/>
      <w:snapToGrid w:val="0"/>
    </w:pPr>
    <w:rPr>
      <w:rFonts w:ascii="Times New Roman" w:hAnsi="Times New Roman" w:eastAsia="宋体" w:cs="Times New Roman"/>
      <w:kern w:val="2"/>
      <w:sz w:val="18"/>
      <w:szCs w:val="18"/>
      <w:lang w:val="en-US" w:eastAsia="zh-CN" w:bidi="ar-SA"/>
    </w:rPr>
  </w:style>
  <w:style w:type="character" w:customStyle="1" w:styleId="74">
    <w:name w:val="脚注引用_5"/>
    <w:qFormat/>
    <w:uiPriority w:val="0"/>
    <w:rPr>
      <w:vertAlign w:val="superscript"/>
    </w:rPr>
  </w:style>
  <w:style w:type="paragraph" w:customStyle="1" w:styleId="75">
    <w:name w:val="正文_6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
    <w:name w:val="正文_0_0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
    <w:name w:val="正文_0_0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
    <w:name w:val="正文_0_0_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
    <w:name w:val="正文_0_0_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使用的正文_1"/>
    <w:qFormat/>
    <w:uiPriority w:val="0"/>
    <w:pPr>
      <w:spacing w:line="300" w:lineRule="auto"/>
      <w:ind w:firstLine="200" w:firstLineChars="200"/>
    </w:pPr>
    <w:rPr>
      <w:rFonts w:ascii="Times New Roman" w:hAnsi="Times New Roman" w:eastAsia="宋体" w:cs="Times New Roman"/>
      <w:sz w:val="24"/>
      <w:szCs w:val="24"/>
      <w:lang w:val="en-US" w:eastAsia="zh-CN" w:bidi="ar-SA"/>
    </w:rPr>
  </w:style>
  <w:style w:type="paragraph" w:customStyle="1" w:styleId="81">
    <w:name w:val="使用的正文_2"/>
    <w:qFormat/>
    <w:uiPriority w:val="0"/>
    <w:pPr>
      <w:spacing w:line="300" w:lineRule="auto"/>
      <w:ind w:firstLine="200" w:firstLineChars="200"/>
    </w:pPr>
    <w:rPr>
      <w:rFonts w:ascii="Times New Roman" w:hAnsi="Times New Roman" w:eastAsia="宋体" w:cs="Times New Roman"/>
      <w:sz w:val="24"/>
      <w:szCs w:val="24"/>
      <w:lang w:val="en-US" w:eastAsia="zh-CN" w:bidi="ar-SA"/>
    </w:rPr>
  </w:style>
  <w:style w:type="paragraph" w:customStyle="1" w:styleId="82">
    <w:name w:val="使用的正文_3"/>
    <w:qFormat/>
    <w:uiPriority w:val="0"/>
    <w:pPr>
      <w:spacing w:line="300" w:lineRule="auto"/>
      <w:ind w:firstLine="200" w:firstLineChars="200"/>
    </w:pPr>
    <w:rPr>
      <w:rFonts w:ascii="Times New Roman" w:hAnsi="Times New Roman" w:eastAsia="宋体" w:cs="Times New Roman"/>
      <w:sz w:val="24"/>
      <w:szCs w:val="24"/>
      <w:lang w:val="en-US" w:eastAsia="zh-CN" w:bidi="ar-SA"/>
    </w:rPr>
  </w:style>
  <w:style w:type="paragraph" w:customStyle="1" w:styleId="83">
    <w:name w:val="使用的正文_4"/>
    <w:qFormat/>
    <w:uiPriority w:val="0"/>
    <w:pPr>
      <w:spacing w:line="300" w:lineRule="auto"/>
      <w:ind w:firstLine="200" w:firstLineChars="200"/>
    </w:pPr>
    <w:rPr>
      <w:rFonts w:ascii="Times New Roman" w:hAnsi="Times New Roman" w:eastAsia="宋体" w:cs="Times New Roman"/>
      <w:sz w:val="24"/>
      <w:szCs w:val="24"/>
      <w:lang w:val="en-US" w:eastAsia="zh-CN" w:bidi="ar-SA"/>
    </w:rPr>
  </w:style>
  <w:style w:type="paragraph" w:customStyle="1" w:styleId="84">
    <w:name w:val="使用的正文_5"/>
    <w:qFormat/>
    <w:uiPriority w:val="0"/>
    <w:pPr>
      <w:spacing w:line="300" w:lineRule="auto"/>
      <w:ind w:firstLine="200" w:firstLineChars="200"/>
    </w:pPr>
    <w:rPr>
      <w:rFonts w:ascii="Times New Roman" w:hAnsi="Times New Roman" w:eastAsia="宋体" w:cs="Times New Roman"/>
      <w:sz w:val="24"/>
      <w:szCs w:val="24"/>
      <w:lang w:val="en-US" w:eastAsia="zh-CN" w:bidi="ar-SA"/>
    </w:rPr>
  </w:style>
  <w:style w:type="paragraph" w:customStyle="1" w:styleId="85">
    <w:name w:val="正文_0_0_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6">
    <w:name w:val="正文_0_0_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7">
    <w:name w:val="正文_0_0_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8">
    <w:name w:val="正文_0_0_1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9">
    <w:name w:val="标题 4_6"/>
    <w:next w:val="90"/>
    <w:unhideWhenUsed/>
    <w:qFormat/>
    <w:uiPriority w:val="0"/>
    <w:pPr>
      <w:keepNext/>
      <w:widowControl w:val="0"/>
      <w:adjustRightInd w:val="0"/>
      <w:spacing w:line="420" w:lineRule="atLeast"/>
      <w:ind w:firstLine="454"/>
      <w:jc w:val="center"/>
      <w:outlineLvl w:val="3"/>
    </w:pPr>
    <w:rPr>
      <w:rFonts w:ascii="Times New Roman" w:hAnsi="Times New Roman" w:eastAsia="宋体" w:cs="Times New Roman"/>
      <w:i/>
      <w:lang w:val="en-US" w:eastAsia="zh-CN" w:bidi="ar-SA"/>
    </w:rPr>
  </w:style>
  <w:style w:type="paragraph" w:customStyle="1" w:styleId="90">
    <w:name w:val="正文缩进_6"/>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91">
    <w:name w:val="标题 4_7"/>
    <w:next w:val="92"/>
    <w:unhideWhenUsed/>
    <w:qFormat/>
    <w:uiPriority w:val="0"/>
    <w:pPr>
      <w:keepNext/>
      <w:widowControl w:val="0"/>
      <w:adjustRightInd w:val="0"/>
      <w:spacing w:line="420" w:lineRule="atLeast"/>
      <w:ind w:firstLine="454"/>
      <w:jc w:val="center"/>
      <w:outlineLvl w:val="3"/>
    </w:pPr>
    <w:rPr>
      <w:rFonts w:ascii="Times New Roman" w:hAnsi="Times New Roman" w:eastAsia="宋体" w:cs="Times New Roman"/>
      <w:i/>
      <w:lang w:val="en-US" w:eastAsia="zh-CN" w:bidi="ar-SA"/>
    </w:rPr>
  </w:style>
  <w:style w:type="paragraph" w:customStyle="1" w:styleId="92">
    <w:name w:val="正文缩进_7"/>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93">
    <w:name w:val="标题 4_8"/>
    <w:next w:val="94"/>
    <w:unhideWhenUsed/>
    <w:qFormat/>
    <w:uiPriority w:val="0"/>
    <w:pPr>
      <w:keepNext/>
      <w:widowControl w:val="0"/>
      <w:adjustRightInd w:val="0"/>
      <w:spacing w:line="420" w:lineRule="atLeast"/>
      <w:ind w:firstLine="454"/>
      <w:jc w:val="center"/>
      <w:outlineLvl w:val="3"/>
    </w:pPr>
    <w:rPr>
      <w:rFonts w:ascii="Times New Roman" w:hAnsi="Times New Roman" w:eastAsia="宋体" w:cs="Times New Roman"/>
      <w:i/>
      <w:lang w:val="en-US" w:eastAsia="zh-CN" w:bidi="ar-SA"/>
    </w:rPr>
  </w:style>
  <w:style w:type="paragraph" w:customStyle="1" w:styleId="94">
    <w:name w:val="正文缩进_8"/>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95">
    <w:name w:val="标题 4_9"/>
    <w:next w:val="96"/>
    <w:unhideWhenUsed/>
    <w:qFormat/>
    <w:uiPriority w:val="0"/>
    <w:pPr>
      <w:keepNext/>
      <w:widowControl w:val="0"/>
      <w:adjustRightInd w:val="0"/>
      <w:spacing w:line="420" w:lineRule="atLeast"/>
      <w:ind w:firstLine="454"/>
      <w:jc w:val="center"/>
      <w:outlineLvl w:val="3"/>
    </w:pPr>
    <w:rPr>
      <w:rFonts w:ascii="Times New Roman" w:hAnsi="Times New Roman" w:eastAsia="宋体" w:cs="Times New Roman"/>
      <w:i/>
      <w:lang w:val="en-US" w:eastAsia="zh-CN" w:bidi="ar-SA"/>
    </w:rPr>
  </w:style>
  <w:style w:type="paragraph" w:customStyle="1" w:styleId="96">
    <w:name w:val="正文缩进_9"/>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97">
    <w:name w:val="正文_9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
    <w:name w:val="正文_96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9">
    <w:name w:val="正文_96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0">
    <w:name w:val="正文_96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1">
    <w:name w:val="正文_96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2">
    <w:name w:val="正文_96_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
    <w:name w:val="正文_96_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4">
    <w:name w:val="正文_96_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5">
    <w:name w:val="正文_96_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6">
    <w:name w:val="正文_96_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7">
    <w:name w:val="标题 4_9_0"/>
    <w:next w:val="108"/>
    <w:unhideWhenUsed/>
    <w:qFormat/>
    <w:uiPriority w:val="0"/>
    <w:pPr>
      <w:keepNext/>
      <w:widowControl w:val="0"/>
      <w:adjustRightInd w:val="0"/>
      <w:spacing w:line="420" w:lineRule="atLeast"/>
      <w:ind w:firstLine="454"/>
      <w:jc w:val="center"/>
      <w:outlineLvl w:val="3"/>
    </w:pPr>
    <w:rPr>
      <w:rFonts w:ascii="Times New Roman" w:hAnsi="Times New Roman" w:eastAsia="宋体" w:cs="Times New Roman"/>
      <w:i/>
      <w:lang w:val="en-US" w:eastAsia="zh-CN" w:bidi="ar-SA"/>
    </w:rPr>
  </w:style>
  <w:style w:type="paragraph" w:customStyle="1" w:styleId="108">
    <w:name w:val="正文缩进_9_0"/>
    <w:unhideWhenUsed/>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109">
    <w:name w:val="正文_12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0">
    <w:name w:val="正文_126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1">
    <w:name w:val="正文_126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2">
    <w:name w:val="正文_126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3">
    <w:name w:val="正文_126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4">
    <w:name w:val="正文_126_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5">
    <w:name w:val="正文_126_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
    <w:name w:val="正文_126_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
    <w:name w:val="标题 4_10"/>
    <w:next w:val="118"/>
    <w:unhideWhenUsed/>
    <w:qFormat/>
    <w:uiPriority w:val="0"/>
    <w:pPr>
      <w:keepNext/>
      <w:widowControl w:val="0"/>
      <w:adjustRightInd w:val="0"/>
      <w:spacing w:line="420" w:lineRule="atLeast"/>
      <w:ind w:firstLine="454"/>
      <w:jc w:val="center"/>
      <w:outlineLvl w:val="3"/>
    </w:pPr>
    <w:rPr>
      <w:rFonts w:ascii="Times New Roman" w:hAnsi="Times New Roman" w:eastAsia="宋体" w:cs="Times New Roman"/>
      <w:i/>
      <w:lang w:val="en-US" w:eastAsia="zh-CN" w:bidi="ar-SA"/>
    </w:rPr>
  </w:style>
  <w:style w:type="paragraph" w:customStyle="1" w:styleId="118">
    <w:name w:val="正文缩进_10"/>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119">
    <w:name w:val="正文_126_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126_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1">
    <w:name w:val="正文_126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2">
    <w:name w:val="正文_126_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3">
    <w:name w:val="正文_126_1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
    <w:name w:val="正文_126_1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5">
    <w:name w:val="正文_126_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6">
    <w:name w:val="正文_126_1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7">
    <w:name w:val="正文_126_1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8">
    <w:name w:val="正文_126_1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9">
    <w:name w:val="正文_126_1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0">
    <w:name w:val="正文_126_1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1">
    <w:name w:val="正文_126_2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2">
    <w:name w:val="正文_126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3">
    <w:name w:val="正文_0_0_1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4">
    <w:name w:val="正文_0_0_1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5">
    <w:name w:val="正文_0_0_1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6">
    <w:name w:val="正文_126_2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7">
    <w:name w:val="正文_126_2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8">
    <w:name w:val="正文_126_2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9">
    <w:name w:val="正文_126_2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0">
    <w:name w:val="正文_126_2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1">
    <w:name w:val="正文_126_2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2">
    <w:name w:val="正文_126_2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3">
    <w:name w:val="正文_126_2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4">
    <w:name w:val="正文_0_0_3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5">
    <w:name w:val="正文 + 首行缩进:  2 字符"/>
    <w:qFormat/>
    <w:uiPriority w:val="0"/>
    <w:pPr>
      <w:widowControl w:val="0"/>
      <w:adjustRightInd w:val="0"/>
      <w:spacing w:line="360" w:lineRule="auto"/>
      <w:ind w:firstLine="480" w:firstLineChars="200"/>
      <w:jc w:val="both"/>
    </w:pPr>
    <w:rPr>
      <w:rFonts w:ascii="宋体" w:hAnsi="Times New Roman" w:eastAsia="宋体" w:cs="Times New Roman"/>
      <w:kern w:val="2"/>
      <w:sz w:val="24"/>
      <w:szCs w:val="22"/>
      <w:lang w:val="en-US" w:eastAsia="zh-CN" w:bidi="ar-SA"/>
    </w:rPr>
  </w:style>
  <w:style w:type="paragraph" w:customStyle="1" w:styleId="146">
    <w:name w:val="正文 + 首行缩进:  2 字符_0"/>
    <w:qFormat/>
    <w:uiPriority w:val="0"/>
    <w:pPr>
      <w:widowControl w:val="0"/>
      <w:adjustRightInd w:val="0"/>
      <w:spacing w:line="360" w:lineRule="auto"/>
      <w:ind w:firstLine="480" w:firstLineChars="200"/>
      <w:jc w:val="both"/>
    </w:pPr>
    <w:rPr>
      <w:rFonts w:ascii="宋体" w:hAnsi="Times New Roman" w:eastAsia="宋体" w:cs="Times New Roman"/>
      <w:kern w:val="2"/>
      <w:sz w:val="24"/>
      <w:szCs w:val="22"/>
      <w:lang w:val="en-US" w:eastAsia="zh-CN" w:bidi="ar-SA"/>
    </w:rPr>
  </w:style>
  <w:style w:type="paragraph" w:customStyle="1" w:styleId="147">
    <w:name w:val="使用的正文_7_0"/>
    <w:qFormat/>
    <w:uiPriority w:val="0"/>
    <w:pPr>
      <w:spacing w:line="300" w:lineRule="auto"/>
      <w:ind w:firstLine="200" w:firstLineChars="200"/>
    </w:pPr>
    <w:rPr>
      <w:rFonts w:ascii="Times New Roman" w:hAnsi="Times New Roman" w:eastAsia="宋体" w:cs="Times New Roman"/>
      <w:sz w:val="24"/>
      <w:szCs w:val="24"/>
      <w:lang w:val="en-US" w:eastAsia="zh-CN" w:bidi="ar-SA"/>
    </w:rPr>
  </w:style>
  <w:style w:type="paragraph" w:customStyle="1" w:styleId="148">
    <w:name w:val="使用的正文_7_1"/>
    <w:qFormat/>
    <w:uiPriority w:val="0"/>
    <w:pPr>
      <w:spacing w:line="300" w:lineRule="auto"/>
      <w:ind w:firstLine="200" w:firstLineChars="200"/>
    </w:pPr>
    <w:rPr>
      <w:rFonts w:ascii="Times New Roman" w:hAnsi="Times New Roman" w:eastAsia="宋体" w:cs="Times New Roman"/>
      <w:sz w:val="24"/>
      <w:szCs w:val="24"/>
      <w:lang w:val="en-US" w:eastAsia="zh-CN" w:bidi="ar-SA"/>
    </w:rPr>
  </w:style>
  <w:style w:type="paragraph" w:customStyle="1" w:styleId="149">
    <w:name w:val="脚注文本_6"/>
    <w:unhideWhenUsed/>
    <w:qFormat/>
    <w:uiPriority w:val="99"/>
    <w:pPr>
      <w:widowControl w:val="0"/>
      <w:snapToGrid w:val="0"/>
    </w:pPr>
    <w:rPr>
      <w:rFonts w:ascii="Times New Roman" w:hAnsi="Times New Roman" w:eastAsia="宋体" w:cs="Times New Roman"/>
      <w:kern w:val="2"/>
      <w:sz w:val="18"/>
      <w:szCs w:val="18"/>
      <w:lang w:val="en-US" w:eastAsia="zh-CN" w:bidi="ar-SA"/>
    </w:rPr>
  </w:style>
  <w:style w:type="character" w:customStyle="1" w:styleId="150">
    <w:name w:val="脚注引用_6"/>
    <w:qFormat/>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17253</Words>
  <Characters>18890</Characters>
  <Lines>0</Lines>
  <Paragraphs>0</Paragraphs>
  <TotalTime>3</TotalTime>
  <ScaleCrop>false</ScaleCrop>
  <LinksUpToDate>false</LinksUpToDate>
  <CharactersWithSpaces>19568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2022-04-13T02:38:00Z</dcterms:created>
  <dc:creator>Administrator</dc:creator>
  <cp:lastModifiedBy>程盛</cp:lastModifiedBy>
  <dcterms:modified xsi:type="dcterms:W3CDTF">2022-04-14T07:05:19Z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51531A8D367141E5A934ACFB6A62676B</vt:lpwstr>
  </property>
</Properties>
</file>