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沅水金紫至洪江四级航道建设工程勘察设计</w:t>
      </w:r>
    </w:p>
    <w:p>
      <w:pPr>
        <w:spacing w:line="312" w:lineRule="auto"/>
        <w:ind w:firstLine="562" w:firstLineChars="200"/>
        <w:jc w:val="center"/>
        <w:rPr>
          <w:rFonts w:ascii="宋体" w:hAnsi="宋体" w:cs="宋体"/>
          <w:color w:val="auto"/>
          <w:sz w:val="28"/>
          <w:szCs w:val="28"/>
          <w:highlight w:val="none"/>
        </w:rPr>
      </w:pPr>
      <w:r>
        <w:rPr>
          <w:rFonts w:hint="eastAsia" w:ascii="宋体" w:hAnsi="宋体" w:cs="宋体"/>
          <w:b/>
          <w:color w:val="auto"/>
          <w:sz w:val="28"/>
          <w:szCs w:val="28"/>
          <w:highlight w:val="none"/>
        </w:rPr>
        <w:t>招标公告</w:t>
      </w:r>
    </w:p>
    <w:p>
      <w:pPr>
        <w:spacing w:before="156" w:beforeLines="50" w:after="156" w:afterLines="50" w:line="312" w:lineRule="auto"/>
        <w:jc w:val="left"/>
        <w:outlineLvl w:val="0"/>
        <w:rPr>
          <w:rFonts w:ascii="宋体" w:hAnsi="宋体" w:cs="宋体"/>
          <w:b/>
          <w:color w:val="auto"/>
          <w:sz w:val="24"/>
          <w:highlight w:val="none"/>
        </w:rPr>
      </w:pPr>
      <w:bookmarkStart w:id="0" w:name="_Toc531092916"/>
      <w:bookmarkStart w:id="1" w:name="_Toc88848766"/>
      <w:bookmarkStart w:id="2" w:name="_Toc531092752"/>
      <w:bookmarkStart w:id="3" w:name="_Toc531092589"/>
      <w:r>
        <w:rPr>
          <w:rFonts w:hint="eastAsia" w:ascii="宋体" w:hAnsi="宋体" w:cs="宋体"/>
          <w:b/>
          <w:color w:val="auto"/>
          <w:sz w:val="24"/>
          <w:highlight w:val="none"/>
        </w:rPr>
        <w:t>1．招标条件</w:t>
      </w:r>
      <w:bookmarkEnd w:id="0"/>
      <w:bookmarkEnd w:id="1"/>
      <w:bookmarkEnd w:id="2"/>
      <w:bookmarkEnd w:id="3"/>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本招标项目</w:t>
      </w:r>
      <w:r>
        <w:rPr>
          <w:rFonts w:hint="eastAsia" w:ascii="宋体" w:hAnsi="宋体" w:cs="宋体"/>
          <w:b/>
          <w:color w:val="auto"/>
          <w:szCs w:val="21"/>
          <w:highlight w:val="none"/>
        </w:rPr>
        <w:t>沅水金紫至洪江四级航道建设工程</w:t>
      </w:r>
      <w:r>
        <w:rPr>
          <w:rFonts w:hint="eastAsia" w:ascii="宋体" w:hAnsi="宋体" w:cs="宋体"/>
          <w:color w:val="auto"/>
          <w:szCs w:val="21"/>
          <w:highlight w:val="none"/>
        </w:rPr>
        <w:t>已由湖南省交通运输厅同意建设，已列入《湖南省“十四五”水运基础设施建设规划》。其工程可行性研究报告已完成湖南省交通运输厅审</w:t>
      </w:r>
      <w:r>
        <w:rPr>
          <w:rFonts w:ascii="宋体" w:hAnsi="宋体" w:cs="宋体"/>
          <w:color w:val="auto"/>
          <w:szCs w:val="21"/>
          <w:highlight w:val="none"/>
        </w:rPr>
        <w:t>查</w:t>
      </w:r>
      <w:r>
        <w:rPr>
          <w:rFonts w:hint="eastAsia" w:ascii="宋体" w:hAnsi="宋体" w:cs="宋体"/>
          <w:color w:val="auto"/>
          <w:szCs w:val="21"/>
          <w:highlight w:val="none"/>
        </w:rPr>
        <w:t>，并报省发改委审查，其建设资金来自国</w:t>
      </w:r>
      <w:r>
        <w:rPr>
          <w:rFonts w:ascii="宋体" w:hAnsi="宋体" w:cs="宋体"/>
          <w:color w:val="auto"/>
          <w:szCs w:val="21"/>
          <w:highlight w:val="none"/>
        </w:rPr>
        <w:t>省补助</w:t>
      </w:r>
      <w:r>
        <w:rPr>
          <w:rFonts w:hint="eastAsia" w:ascii="宋体" w:hAnsi="宋体" w:cs="宋体"/>
          <w:color w:val="auto"/>
          <w:szCs w:val="21"/>
          <w:highlight w:val="none"/>
        </w:rPr>
        <w:t>及</w:t>
      </w:r>
      <w:r>
        <w:rPr>
          <w:rFonts w:ascii="宋体" w:hAnsi="宋体" w:cs="宋体"/>
          <w:color w:val="auto"/>
          <w:szCs w:val="21"/>
          <w:highlight w:val="none"/>
        </w:rPr>
        <w:t>自筹</w:t>
      </w:r>
      <w:r>
        <w:rPr>
          <w:rFonts w:hint="eastAsia" w:ascii="宋体" w:hAnsi="宋体" w:cs="宋体"/>
          <w:color w:val="auto"/>
          <w:szCs w:val="21"/>
          <w:highlight w:val="none"/>
        </w:rPr>
        <w:t>。</w:t>
      </w:r>
      <w:r>
        <w:rPr>
          <w:rFonts w:hint="eastAsia" w:ascii="宋体" w:hAnsi="宋体"/>
          <w:color w:val="auto"/>
          <w:szCs w:val="21"/>
          <w:highlight w:val="none"/>
        </w:rPr>
        <w:t>根据《湖南省人民政府关于进一步加快水运发展的实施意见》（湘政发[2011]35号）精神</w:t>
      </w:r>
      <w:r>
        <w:rPr>
          <w:rFonts w:hint="eastAsia" w:ascii="宋体" w:hAnsi="宋体" w:cs="宋体"/>
          <w:color w:val="auto"/>
          <w:szCs w:val="21"/>
          <w:highlight w:val="none"/>
        </w:rPr>
        <w:t>，本项目勘察设计已具备招标条件。招标人湖南省交通运输厅规划与项目办公室现对该项目的勘察设计进行公开招标。</w:t>
      </w:r>
    </w:p>
    <w:p>
      <w:pPr>
        <w:spacing w:before="156" w:beforeLines="50" w:after="156" w:afterLines="50" w:line="312" w:lineRule="auto"/>
        <w:jc w:val="left"/>
        <w:outlineLvl w:val="0"/>
        <w:rPr>
          <w:rFonts w:ascii="宋体" w:hAnsi="宋体" w:cs="宋体"/>
          <w:b/>
          <w:color w:val="auto"/>
          <w:sz w:val="24"/>
          <w:highlight w:val="none"/>
        </w:rPr>
      </w:pPr>
      <w:bookmarkStart w:id="4" w:name="_Toc531092917"/>
      <w:bookmarkStart w:id="5" w:name="_Toc88848767"/>
      <w:bookmarkStart w:id="6" w:name="_Toc531092753"/>
      <w:bookmarkStart w:id="7" w:name="_Toc531092590"/>
      <w:r>
        <w:rPr>
          <w:rFonts w:hint="eastAsia" w:ascii="宋体" w:hAnsi="宋体" w:cs="宋体"/>
          <w:b/>
          <w:color w:val="auto"/>
          <w:sz w:val="24"/>
          <w:highlight w:val="none"/>
        </w:rPr>
        <w:t>2．项目概况和招标范围</w:t>
      </w:r>
      <w:bookmarkEnd w:id="4"/>
      <w:bookmarkEnd w:id="5"/>
      <w:bookmarkEnd w:id="6"/>
      <w:bookmarkEnd w:id="7"/>
    </w:p>
    <w:p>
      <w:pPr>
        <w:spacing w:line="312" w:lineRule="auto"/>
        <w:ind w:firstLine="422" w:firstLineChars="200"/>
        <w:rPr>
          <w:b/>
          <w:color w:val="auto"/>
          <w:highlight w:val="none"/>
        </w:rPr>
      </w:pPr>
      <w:r>
        <w:rPr>
          <w:rFonts w:hint="eastAsia"/>
          <w:b/>
          <w:color w:val="auto"/>
          <w:highlight w:val="none"/>
        </w:rPr>
        <w:t>2.1项目概况</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沅水是长江第三大支流，是黔东南、湘西地区通往长江的重要出海通道，也是洞庭湖水系湘、资、沅、澧四水中水量最大、水能资源蕴藏量最丰富的河流。腹地内煤炭、磷、锰、重晶石等矿产资源丰富，沿线流经贵州锦屏，湖南怀化、湘西自治州、常德、益阳等重要城市。沅水全长1218km（含德山至鲇鱼口185km沅水洪道），流域面积9万k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，其中湖南境内长745km，流域面积5.14万km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沅水金紫至洪江航道建设工程主要建设内容包括：</w:t>
      </w:r>
    </w:p>
    <w:p>
      <w:pPr>
        <w:widowControl/>
        <w:spacing w:line="312"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航道工程：</w:t>
      </w:r>
      <w:r>
        <w:rPr>
          <w:rFonts w:ascii="宋体" w:hAnsi="宋体" w:cs="宋体"/>
          <w:color w:val="auto"/>
          <w:szCs w:val="21"/>
          <w:highlight w:val="none"/>
        </w:rPr>
        <w:t>按Ⅳ（</w:t>
      </w:r>
      <w:r>
        <w:rPr>
          <w:rFonts w:hint="eastAsia" w:ascii="宋体" w:hAnsi="宋体" w:cs="宋体"/>
          <w:color w:val="auto"/>
          <w:szCs w:val="21"/>
          <w:highlight w:val="none"/>
        </w:rPr>
        <w:t>4</w:t>
      </w:r>
      <w:r>
        <w:rPr>
          <w:rFonts w:ascii="宋体" w:hAnsi="宋体" w:cs="宋体"/>
          <w:color w:val="auto"/>
          <w:szCs w:val="21"/>
          <w:highlight w:val="none"/>
        </w:rPr>
        <w:t>）航道标准整治</w:t>
      </w:r>
      <w:r>
        <w:rPr>
          <w:rFonts w:hint="eastAsia" w:ascii="宋体" w:hAnsi="宋体" w:cs="宋体"/>
          <w:color w:val="auto"/>
          <w:szCs w:val="21"/>
          <w:highlight w:val="none"/>
        </w:rPr>
        <w:t>金紫至洪江56</w:t>
      </w:r>
      <w:r>
        <w:rPr>
          <w:rFonts w:ascii="宋体" w:hAnsi="宋体" w:cs="宋体"/>
          <w:color w:val="auto"/>
          <w:szCs w:val="21"/>
          <w:highlight w:val="none"/>
        </w:rPr>
        <w:t>km航道，并配套建设其支持保障系统。</w:t>
      </w:r>
      <w:bookmarkStart w:id="8" w:name="OLE_LINK4"/>
      <w:r>
        <w:rPr>
          <w:rFonts w:ascii="宋体" w:hAnsi="宋体" w:cs="宋体"/>
          <w:color w:val="auto"/>
          <w:szCs w:val="21"/>
          <w:highlight w:val="none"/>
        </w:rPr>
        <w:t>航段需要整治的滩险有</w:t>
      </w:r>
      <w:r>
        <w:rPr>
          <w:rFonts w:hint="eastAsia" w:ascii="宋体" w:hAnsi="宋体" w:cs="宋体"/>
          <w:color w:val="auto"/>
          <w:szCs w:val="21"/>
          <w:highlight w:val="none"/>
        </w:rPr>
        <w:t>4</w:t>
      </w:r>
      <w:r>
        <w:rPr>
          <w:rFonts w:ascii="宋体" w:hAnsi="宋体" w:cs="宋体"/>
          <w:color w:val="auto"/>
          <w:szCs w:val="21"/>
          <w:highlight w:val="none"/>
        </w:rPr>
        <w:t>个</w:t>
      </w:r>
      <w:bookmarkEnd w:id="8"/>
      <w:r>
        <w:rPr>
          <w:rFonts w:hint="eastAsia" w:ascii="宋体" w:hAnsi="宋体" w:cs="宋体"/>
          <w:color w:val="auto"/>
          <w:szCs w:val="21"/>
          <w:highlight w:val="none"/>
        </w:rPr>
        <w:t>。</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（2）枢纽工程：扩建托口枢纽船闸工程。</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（3）桥梁工程：新建两座跨船闸桥梁。</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（4）配套工程：配套航道站房等工程。</w:t>
      </w:r>
      <w:bookmarkStart w:id="9" w:name="_Toc531092591"/>
      <w:bookmarkStart w:id="10" w:name="_Toc531092754"/>
      <w:bookmarkStart w:id="11" w:name="_Toc531102328"/>
      <w:bookmarkStart w:id="12" w:name="_Toc532204939"/>
      <w:bookmarkStart w:id="13" w:name="_Toc531092918"/>
      <w:bookmarkStart w:id="14" w:name="_Toc531101176"/>
    </w:p>
    <w:p>
      <w:pPr>
        <w:spacing w:line="312" w:lineRule="auto"/>
        <w:ind w:firstLine="422" w:firstLineChars="200"/>
        <w:rPr>
          <w:b/>
          <w:color w:val="auto"/>
          <w:highlight w:val="none"/>
        </w:rPr>
      </w:pPr>
      <w:r>
        <w:rPr>
          <w:rFonts w:hint="eastAsia"/>
          <w:b/>
          <w:color w:val="auto"/>
          <w:highlight w:val="none"/>
        </w:rPr>
        <w:t>2.2招标范围</w:t>
      </w:r>
      <w:bookmarkEnd w:id="9"/>
      <w:bookmarkEnd w:id="10"/>
      <w:bookmarkEnd w:id="11"/>
      <w:bookmarkEnd w:id="12"/>
      <w:bookmarkEnd w:id="13"/>
      <w:bookmarkEnd w:id="14"/>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本次招标包括初步设计、施工图设计两阶段，工作内容含勘察、设计、模型试验、概预算、工程量清单及预算等</w:t>
      </w:r>
      <w:r>
        <w:rPr>
          <w:rFonts w:ascii="宋体" w:hAnsi="宋体" w:cs="宋体"/>
          <w:color w:val="auto"/>
          <w:szCs w:val="21"/>
          <w:highlight w:val="none"/>
        </w:rPr>
        <w:t>。</w:t>
      </w:r>
      <w:r>
        <w:rPr>
          <w:rFonts w:hint="eastAsia" w:ascii="宋体" w:hAnsi="宋体" w:cs="宋体"/>
          <w:color w:val="auto"/>
          <w:szCs w:val="21"/>
          <w:highlight w:val="none"/>
        </w:rPr>
        <w:t>根据本项目的特点，本次招标</w:t>
      </w:r>
      <w:r>
        <w:rPr>
          <w:rFonts w:ascii="宋体" w:hAnsi="宋体" w:cs="宋体"/>
          <w:color w:val="auto"/>
          <w:szCs w:val="21"/>
          <w:highlight w:val="none"/>
        </w:rPr>
        <w:t>共设</w:t>
      </w:r>
      <w:r>
        <w:rPr>
          <w:rFonts w:hint="eastAsia" w:ascii="宋体" w:hAnsi="宋体" w:cs="宋体"/>
          <w:color w:val="auto"/>
          <w:szCs w:val="21"/>
          <w:highlight w:val="none"/>
        </w:rPr>
        <w:t>一个合同标段。</w:t>
      </w:r>
    </w:p>
    <w:p>
      <w:pPr>
        <w:spacing w:line="312" w:lineRule="auto"/>
        <w:ind w:firstLine="422" w:firstLineChars="200"/>
        <w:rPr>
          <w:b/>
          <w:color w:val="auto"/>
          <w:highlight w:val="none"/>
        </w:rPr>
      </w:pPr>
      <w:r>
        <w:rPr>
          <w:rFonts w:hint="eastAsia"/>
          <w:b/>
          <w:color w:val="auto"/>
          <w:highlight w:val="none"/>
        </w:rPr>
        <w:t>2.3勘察设计周期</w:t>
      </w:r>
    </w:p>
    <w:p>
      <w:pPr>
        <w:spacing w:line="312" w:lineRule="auto"/>
        <w:ind w:firstLine="420" w:firstLineChars="200"/>
        <w:rPr>
          <w:rFonts w:ascii="宋体" w:hAnsi="宋体" w:cs="宋体"/>
          <w:color w:val="auto"/>
          <w:szCs w:val="21"/>
          <w:highlight w:val="none"/>
        </w:rPr>
      </w:pPr>
      <w:bookmarkStart w:id="15" w:name="_Toc531092919"/>
      <w:bookmarkStart w:id="16" w:name="_Toc531092592"/>
      <w:bookmarkStart w:id="17" w:name="_Toc88848768"/>
      <w:bookmarkStart w:id="18" w:name="_Toc531092755"/>
      <w:r>
        <w:rPr>
          <w:rFonts w:ascii="宋体" w:hAnsi="宋体" w:cs="宋体"/>
          <w:color w:val="auto"/>
          <w:szCs w:val="21"/>
          <w:highlight w:val="none"/>
        </w:rPr>
        <w:t>A、初步勘察设计阶段：接到中标通知书后3个月内应向招标人提交初步设计</w:t>
      </w:r>
      <w:r>
        <w:rPr>
          <w:rFonts w:hint="eastAsia" w:ascii="宋体" w:hAnsi="宋体" w:cs="宋体"/>
          <w:color w:val="auto"/>
          <w:szCs w:val="21"/>
          <w:highlight w:val="none"/>
        </w:rPr>
        <w:t>测量成果；</w:t>
      </w:r>
      <w:r>
        <w:rPr>
          <w:rFonts w:ascii="宋体" w:hAnsi="宋体" w:cs="宋体"/>
          <w:color w:val="auto"/>
          <w:szCs w:val="21"/>
          <w:highlight w:val="none"/>
        </w:rPr>
        <w:t>4</w:t>
      </w:r>
      <w:r>
        <w:rPr>
          <w:rFonts w:hint="eastAsia" w:ascii="宋体" w:hAnsi="宋体" w:cs="宋体"/>
          <w:color w:val="auto"/>
          <w:szCs w:val="21"/>
          <w:highlight w:val="none"/>
        </w:rPr>
        <w:t>个月内提交初步设计勘察成果；</w:t>
      </w:r>
      <w:r>
        <w:rPr>
          <w:rFonts w:ascii="宋体" w:hAnsi="宋体" w:cs="宋体"/>
          <w:color w:val="auto"/>
          <w:szCs w:val="21"/>
          <w:highlight w:val="none"/>
        </w:rPr>
        <w:t>5个月内</w:t>
      </w:r>
      <w:r>
        <w:rPr>
          <w:rFonts w:hint="eastAsia" w:ascii="宋体" w:hAnsi="宋体" w:cs="宋体"/>
          <w:color w:val="auto"/>
          <w:szCs w:val="21"/>
          <w:highlight w:val="none"/>
        </w:rPr>
        <w:t>提交模型试验中间成果；</w:t>
      </w:r>
      <w:r>
        <w:rPr>
          <w:rFonts w:ascii="宋体" w:hAnsi="宋体" w:cs="宋体"/>
          <w:color w:val="auto"/>
          <w:szCs w:val="21"/>
          <w:highlight w:val="none"/>
        </w:rPr>
        <w:t>6个月内提供全套供评审的初步设计文件。</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B、施工图勘察设计阶段：行业主管部门出具初步设计批复意见以后2个月内向招标人提交第一批施工图设计文件（含施工图预算），后续图纸按进度要求提供。</w:t>
      </w:r>
    </w:p>
    <w:p>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C、施工现场配合服务：整个施工期及一年缺陷责任期。</w:t>
      </w:r>
    </w:p>
    <w:p>
      <w:pPr>
        <w:spacing w:before="156" w:beforeLines="50" w:after="156" w:afterLines="50" w:line="312" w:lineRule="auto"/>
        <w:jc w:val="left"/>
        <w:outlineLvl w:val="0"/>
        <w:rPr>
          <w:rFonts w:ascii="宋体" w:hAnsi="宋体" w:cs="宋体"/>
          <w:b/>
          <w:color w:val="auto"/>
          <w:sz w:val="24"/>
          <w:highlight w:val="none"/>
        </w:rPr>
      </w:pPr>
      <w:r>
        <w:rPr>
          <w:rFonts w:hint="eastAsia" w:ascii="宋体" w:hAnsi="宋体" w:cs="宋体"/>
          <w:b/>
          <w:color w:val="auto"/>
          <w:sz w:val="24"/>
          <w:highlight w:val="none"/>
        </w:rPr>
        <w:t>3．投标人资格要求</w:t>
      </w:r>
      <w:bookmarkEnd w:id="15"/>
      <w:bookmarkEnd w:id="16"/>
      <w:bookmarkEnd w:id="17"/>
      <w:bookmarkEnd w:id="18"/>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3.1资质要求：本次招标要求投标人应同时具备</w:t>
      </w:r>
      <w:r>
        <w:rPr>
          <w:rFonts w:hint="eastAsia" w:ascii="宋体" w:hAnsi="宋体" w:cs="宋体"/>
          <w:b/>
          <w:color w:val="auto"/>
          <w:szCs w:val="21"/>
          <w:highlight w:val="none"/>
        </w:rPr>
        <w:t>工程勘察综合甲级资质、工程设计水运行业甲级及以上资质、工程设计公路行业（桥梁）甲级及以上资质，</w:t>
      </w:r>
      <w:r>
        <w:rPr>
          <w:rFonts w:hint="eastAsia" w:ascii="宋体" w:hAnsi="宋体" w:cs="宋体"/>
          <w:color w:val="auto"/>
          <w:szCs w:val="21"/>
          <w:highlight w:val="none"/>
        </w:rPr>
        <w:t>并在人员组成结构、相应设备等方面具有相应的勘察设计能力。</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3.2业绩要求：近</w:t>
      </w:r>
      <w:r>
        <w:rPr>
          <w:rFonts w:ascii="宋体" w:hAnsi="宋体" w:cs="宋体"/>
          <w:color w:val="auto"/>
          <w:szCs w:val="21"/>
          <w:highlight w:val="none"/>
        </w:rPr>
        <w:t>8</w:t>
      </w:r>
      <w:r>
        <w:rPr>
          <w:rFonts w:hint="eastAsia" w:ascii="宋体" w:hAnsi="宋体" w:cs="宋体"/>
          <w:color w:val="auto"/>
          <w:szCs w:val="21"/>
          <w:highlight w:val="none"/>
        </w:rPr>
        <w:t>年（</w:t>
      </w:r>
      <w:r>
        <w:rPr>
          <w:rFonts w:ascii="宋体" w:hAnsi="宋体" w:cs="宋体"/>
          <w:color w:val="auto"/>
          <w:szCs w:val="21"/>
          <w:highlight w:val="none"/>
        </w:rPr>
        <w:t>2013</w:t>
      </w:r>
      <w:r>
        <w:rPr>
          <w:rFonts w:hint="eastAsia" w:ascii="宋体" w:hAnsi="宋体" w:cs="宋体"/>
          <w:color w:val="auto"/>
          <w:szCs w:val="21"/>
          <w:highlight w:val="none"/>
        </w:rPr>
        <w:t>年</w:t>
      </w:r>
      <w:r>
        <w:rPr>
          <w:rFonts w:ascii="宋体" w:hAnsi="宋体" w:cs="宋体"/>
          <w:color w:val="auto"/>
          <w:szCs w:val="21"/>
          <w:highlight w:val="none"/>
        </w:rPr>
        <w:t>12</w:t>
      </w:r>
      <w:r>
        <w:rPr>
          <w:rFonts w:hint="eastAsia" w:ascii="宋体" w:hAnsi="宋体" w:cs="宋体"/>
          <w:color w:val="auto"/>
          <w:szCs w:val="21"/>
          <w:highlight w:val="none"/>
        </w:rPr>
        <w:t>月</w:t>
      </w:r>
      <w:r>
        <w:rPr>
          <w:rFonts w:ascii="宋体" w:hAnsi="宋体" w:cs="宋体"/>
          <w:color w:val="auto"/>
          <w:szCs w:val="21"/>
          <w:highlight w:val="none"/>
        </w:rPr>
        <w:t>1日起至投标截止时间止）内</w:t>
      </w:r>
      <w:r>
        <w:rPr>
          <w:rFonts w:hint="eastAsia" w:ascii="宋体" w:hAnsi="宋体" w:cs="宋体"/>
          <w:color w:val="auto"/>
          <w:szCs w:val="21"/>
          <w:highlight w:val="none"/>
        </w:rPr>
        <w:t>须至少完成1个不少于</w:t>
      </w:r>
      <w:r>
        <w:rPr>
          <w:rFonts w:ascii="宋体" w:hAnsi="宋体" w:cs="宋体"/>
          <w:color w:val="auto"/>
          <w:szCs w:val="21"/>
          <w:highlight w:val="none"/>
        </w:rPr>
        <w:t>50公里的</w:t>
      </w:r>
      <w:r>
        <w:rPr>
          <w:rFonts w:ascii="TimesNewRomanPSMT" w:hAnsi="TimesNewRomanPSMT"/>
          <w:color w:val="auto"/>
          <w:highlight w:val="none"/>
        </w:rPr>
        <w:t>500</w:t>
      </w:r>
      <w:r>
        <w:rPr>
          <w:rFonts w:hint="eastAsia"/>
          <w:color w:val="auto"/>
          <w:szCs w:val="21"/>
          <w:highlight w:val="none"/>
        </w:rPr>
        <w:t>吨级</w:t>
      </w:r>
      <w:r>
        <w:rPr>
          <w:rFonts w:hint="eastAsia" w:ascii="宋体" w:hAnsi="宋体" w:cs="宋体"/>
          <w:color w:val="auto"/>
          <w:szCs w:val="21"/>
          <w:highlight w:val="none"/>
        </w:rPr>
        <w:t>及以上内河航道工程</w:t>
      </w:r>
      <w:r>
        <w:rPr>
          <w:rFonts w:hint="eastAsia"/>
          <w:color w:val="auto"/>
          <w:szCs w:val="21"/>
          <w:highlight w:val="none"/>
        </w:rPr>
        <w:t>和</w:t>
      </w:r>
      <w:r>
        <w:rPr>
          <w:rFonts w:ascii="TimesNewRomanPSMT" w:hAnsi="TimesNewRomanPSMT"/>
          <w:color w:val="auto"/>
          <w:szCs w:val="21"/>
          <w:highlight w:val="none"/>
        </w:rPr>
        <w:t>1</w:t>
      </w:r>
      <w:r>
        <w:rPr>
          <w:rFonts w:hint="eastAsia"/>
          <w:color w:val="auto"/>
          <w:szCs w:val="21"/>
          <w:highlight w:val="none"/>
        </w:rPr>
        <w:t>座</w:t>
      </w:r>
      <w:r>
        <w:rPr>
          <w:rFonts w:ascii="TimesNewRomanPSMT" w:hAnsi="TimesNewRomanPSMT"/>
          <w:color w:val="auto"/>
          <w:highlight w:val="none"/>
        </w:rPr>
        <w:t>1000</w:t>
      </w:r>
      <w:r>
        <w:rPr>
          <w:rFonts w:hint="eastAsia"/>
          <w:color w:val="auto"/>
          <w:szCs w:val="21"/>
          <w:highlight w:val="none"/>
        </w:rPr>
        <w:t>吨级及以上</w:t>
      </w:r>
      <w:r>
        <w:rPr>
          <w:rFonts w:hint="eastAsia" w:ascii="宋体" w:hAnsi="宋体" w:cs="宋体"/>
          <w:color w:val="auto"/>
          <w:szCs w:val="21"/>
          <w:highlight w:val="none"/>
        </w:rPr>
        <w:t>船闸工程</w:t>
      </w:r>
      <w:r>
        <w:rPr>
          <w:rFonts w:hint="eastAsia"/>
          <w:color w:val="auto"/>
          <w:szCs w:val="21"/>
          <w:highlight w:val="none"/>
        </w:rPr>
        <w:t>的</w:t>
      </w:r>
      <w:r>
        <w:rPr>
          <w:rFonts w:hint="eastAsia" w:ascii="宋体" w:hAnsi="宋体" w:cs="宋体"/>
          <w:color w:val="auto"/>
          <w:szCs w:val="21"/>
          <w:highlight w:val="none"/>
        </w:rPr>
        <w:t>勘察和设计业绩（业绩计算时间以工程初步设计或施工图设计的批复时间为准，同一项目具有</w:t>
      </w:r>
      <w:r>
        <w:rPr>
          <w:rFonts w:ascii="宋体" w:hAnsi="宋体" w:cs="宋体"/>
          <w:color w:val="auto"/>
          <w:szCs w:val="21"/>
          <w:highlight w:val="none"/>
        </w:rPr>
        <w:t>5</w:t>
      </w:r>
      <w:r>
        <w:rPr>
          <w:rFonts w:hint="eastAsia" w:ascii="宋体" w:hAnsi="宋体" w:cs="宋体"/>
          <w:color w:val="auto"/>
          <w:szCs w:val="21"/>
          <w:highlight w:val="none"/>
        </w:rPr>
        <w:t>00吨级及以上航道和1</w:t>
      </w:r>
      <w:r>
        <w:rPr>
          <w:rFonts w:ascii="宋体" w:hAnsi="宋体" w:cs="宋体"/>
          <w:color w:val="auto"/>
          <w:szCs w:val="21"/>
          <w:highlight w:val="none"/>
        </w:rPr>
        <w:t>000</w:t>
      </w:r>
      <w:r>
        <w:rPr>
          <w:rFonts w:hint="eastAsia" w:ascii="宋体" w:hAnsi="宋体" w:cs="宋体"/>
          <w:color w:val="auto"/>
          <w:szCs w:val="21"/>
          <w:highlight w:val="none"/>
        </w:rPr>
        <w:t>吨级及以上船闸的，可分别计算业绩，</w:t>
      </w:r>
      <w:r>
        <w:rPr>
          <w:rFonts w:hint="eastAsia" w:ascii="宋体" w:hAnsi="宋体" w:cs="宋体"/>
          <w:color w:val="auto"/>
          <w:szCs w:val="21"/>
          <w:highlight w:val="none"/>
          <w:lang w:eastAsia="zh-CN"/>
        </w:rPr>
        <w:t>投标人为联合体的，</w:t>
      </w:r>
      <w:r>
        <w:rPr>
          <w:rFonts w:hint="eastAsia" w:ascii="宋体" w:hAnsi="宋体" w:cs="宋体"/>
          <w:color w:val="auto"/>
          <w:szCs w:val="21"/>
          <w:highlight w:val="none"/>
        </w:rPr>
        <w:t>成员方</w:t>
      </w:r>
      <w:r>
        <w:rPr>
          <w:rFonts w:hint="eastAsia" w:ascii="宋体" w:hAnsi="宋体" w:cs="宋体"/>
          <w:color w:val="auto"/>
          <w:szCs w:val="21"/>
          <w:highlight w:val="none"/>
          <w:lang w:eastAsia="zh-CN"/>
        </w:rPr>
        <w:t>仅</w:t>
      </w:r>
      <w:r>
        <w:rPr>
          <w:rFonts w:hint="eastAsia" w:ascii="宋体" w:hAnsi="宋体" w:cs="宋体"/>
          <w:color w:val="auto"/>
          <w:szCs w:val="21"/>
          <w:highlight w:val="none"/>
        </w:rPr>
        <w:t>勘察业绩可以</w:t>
      </w:r>
      <w:r>
        <w:rPr>
          <w:rFonts w:hint="eastAsia" w:ascii="宋体" w:hAnsi="宋体" w:cs="宋体"/>
          <w:color w:val="auto"/>
          <w:szCs w:val="21"/>
          <w:highlight w:val="none"/>
          <w:lang w:eastAsia="zh-CN"/>
        </w:rPr>
        <w:t>计算在内</w:t>
      </w:r>
      <w:r>
        <w:rPr>
          <w:rFonts w:hint="eastAsia" w:ascii="宋体" w:hAnsi="宋体" w:cs="宋体"/>
          <w:color w:val="auto"/>
          <w:szCs w:val="21"/>
          <w:highlight w:val="none"/>
        </w:rPr>
        <w:t>）。</w:t>
      </w:r>
    </w:p>
    <w:p>
      <w:pPr>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3.3人员配备要求：项目负责人为高级工程师，注册土木工程师（港口与航道工程），近</w:t>
      </w:r>
      <w:r>
        <w:rPr>
          <w:rFonts w:ascii="宋体" w:hAnsi="宋体" w:cs="宋体"/>
          <w:color w:val="auto"/>
          <w:szCs w:val="21"/>
          <w:highlight w:val="none"/>
        </w:rPr>
        <w:t>8</w:t>
      </w:r>
      <w:r>
        <w:rPr>
          <w:rFonts w:hint="eastAsia" w:ascii="宋体" w:hAnsi="宋体" w:cs="宋体"/>
          <w:color w:val="auto"/>
          <w:szCs w:val="21"/>
          <w:highlight w:val="none"/>
        </w:rPr>
        <w:t>年内（201</w:t>
      </w:r>
      <w:r>
        <w:rPr>
          <w:rFonts w:ascii="宋体" w:hAnsi="宋体" w:cs="宋体"/>
          <w:color w:val="auto"/>
          <w:szCs w:val="21"/>
          <w:highlight w:val="none"/>
        </w:rPr>
        <w:t>3</w:t>
      </w:r>
      <w:r>
        <w:rPr>
          <w:rFonts w:hint="eastAsia" w:ascii="宋体" w:hAnsi="宋体" w:cs="宋体"/>
          <w:color w:val="auto"/>
          <w:szCs w:val="21"/>
          <w:highlight w:val="none"/>
        </w:rPr>
        <w:t>年12月01日起至投标截止时间止）作为项目负责人主持过至少1个不少于</w:t>
      </w:r>
      <w:r>
        <w:rPr>
          <w:rFonts w:ascii="宋体" w:hAnsi="宋体" w:cs="宋体"/>
          <w:color w:val="auto"/>
          <w:szCs w:val="21"/>
          <w:highlight w:val="none"/>
        </w:rPr>
        <w:t>50公里的</w:t>
      </w:r>
      <w:r>
        <w:rPr>
          <w:rFonts w:ascii="TimesNewRomanPSMT" w:hAnsi="TimesNewRomanPSMT"/>
          <w:color w:val="auto"/>
          <w:highlight w:val="none"/>
        </w:rPr>
        <w:t>500</w:t>
      </w:r>
      <w:r>
        <w:rPr>
          <w:rFonts w:hint="eastAsia"/>
          <w:color w:val="auto"/>
          <w:szCs w:val="21"/>
          <w:highlight w:val="none"/>
        </w:rPr>
        <w:t>吨级及</w:t>
      </w:r>
      <w:r>
        <w:rPr>
          <w:rFonts w:hint="eastAsia" w:ascii="宋体" w:hAnsi="宋体" w:cs="宋体"/>
          <w:color w:val="auto"/>
          <w:szCs w:val="21"/>
          <w:highlight w:val="none"/>
        </w:rPr>
        <w:t>以上内河航道工程</w:t>
      </w:r>
      <w:r>
        <w:rPr>
          <w:rFonts w:hint="eastAsia"/>
          <w:color w:val="auto"/>
          <w:szCs w:val="21"/>
          <w:highlight w:val="none"/>
        </w:rPr>
        <w:t>和</w:t>
      </w:r>
      <w:r>
        <w:rPr>
          <w:rFonts w:ascii="TimesNewRomanPSMT" w:hAnsi="TimesNewRomanPSMT"/>
          <w:color w:val="auto"/>
          <w:szCs w:val="21"/>
          <w:highlight w:val="none"/>
        </w:rPr>
        <w:t>1</w:t>
      </w:r>
      <w:r>
        <w:rPr>
          <w:rFonts w:hint="eastAsia"/>
          <w:color w:val="auto"/>
          <w:szCs w:val="21"/>
          <w:highlight w:val="none"/>
        </w:rPr>
        <w:t>座</w:t>
      </w:r>
      <w:r>
        <w:rPr>
          <w:rFonts w:ascii="TimesNewRomanPSMT" w:hAnsi="TimesNewRomanPSMT"/>
          <w:color w:val="auto"/>
          <w:highlight w:val="none"/>
        </w:rPr>
        <w:t>1000</w:t>
      </w:r>
      <w:r>
        <w:rPr>
          <w:rFonts w:hint="eastAsia"/>
          <w:color w:val="auto"/>
          <w:szCs w:val="21"/>
          <w:highlight w:val="none"/>
        </w:rPr>
        <w:t>吨级及以上</w:t>
      </w:r>
      <w:r>
        <w:rPr>
          <w:rFonts w:hint="eastAsia" w:ascii="宋体" w:hAnsi="宋体" w:cs="宋体"/>
          <w:color w:val="auto"/>
          <w:szCs w:val="21"/>
          <w:highlight w:val="none"/>
        </w:rPr>
        <w:t>船闸工程</w:t>
      </w:r>
      <w:r>
        <w:rPr>
          <w:rFonts w:hint="eastAsia"/>
          <w:color w:val="auto"/>
          <w:szCs w:val="21"/>
          <w:highlight w:val="none"/>
        </w:rPr>
        <w:t>的</w:t>
      </w:r>
      <w:r>
        <w:rPr>
          <w:rFonts w:hint="eastAsia" w:ascii="宋体" w:hAnsi="宋体" w:cs="宋体"/>
          <w:color w:val="auto"/>
          <w:szCs w:val="21"/>
          <w:highlight w:val="none"/>
        </w:rPr>
        <w:t>设计工作（同一项目具有</w:t>
      </w:r>
      <w:r>
        <w:rPr>
          <w:rFonts w:ascii="宋体" w:hAnsi="宋体" w:cs="宋体"/>
          <w:color w:val="auto"/>
          <w:szCs w:val="21"/>
          <w:highlight w:val="none"/>
        </w:rPr>
        <w:t>5</w:t>
      </w:r>
      <w:r>
        <w:rPr>
          <w:rFonts w:hint="eastAsia" w:ascii="宋体" w:hAnsi="宋体" w:cs="宋体"/>
          <w:color w:val="auto"/>
          <w:szCs w:val="21"/>
          <w:highlight w:val="none"/>
        </w:rPr>
        <w:t>00吨级及以上航道和1</w:t>
      </w:r>
      <w:r>
        <w:rPr>
          <w:rFonts w:ascii="宋体" w:hAnsi="宋体" w:cs="宋体"/>
          <w:color w:val="auto"/>
          <w:szCs w:val="21"/>
          <w:highlight w:val="none"/>
        </w:rPr>
        <w:t>000</w:t>
      </w:r>
      <w:r>
        <w:rPr>
          <w:rFonts w:hint="eastAsia" w:ascii="宋体" w:hAnsi="宋体" w:cs="宋体"/>
          <w:color w:val="auto"/>
          <w:szCs w:val="21"/>
          <w:highlight w:val="none"/>
        </w:rPr>
        <w:t>吨级及以上船闸的，可分别计算个人业绩）。其他人员配备要求详见投标人须知前附表附录5。</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3.4联合体要求：本次招标</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联合体投标，本项目主体设计工作</w:t>
      </w:r>
      <w:r>
        <w:rPr>
          <w:rFonts w:hint="eastAsia" w:ascii="宋体" w:hAnsi="宋体" w:cs="宋体"/>
          <w:color w:val="auto"/>
          <w:szCs w:val="21"/>
          <w:highlight w:val="none"/>
          <w:lang w:eastAsia="zh-CN"/>
        </w:rPr>
        <w:t>应由</w:t>
      </w:r>
      <w:r>
        <w:rPr>
          <w:rFonts w:hint="eastAsia" w:ascii="宋体" w:hAnsi="宋体" w:cs="宋体"/>
          <w:color w:val="auto"/>
          <w:szCs w:val="21"/>
          <w:highlight w:val="none"/>
        </w:rPr>
        <w:t>联合体的牵头</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承担，联合体所有成员数量不得超过</w:t>
      </w:r>
      <w:r>
        <w:rPr>
          <w:rFonts w:hint="eastAsia" w:ascii="宋体" w:hAnsi="宋体" w:cs="宋体"/>
          <w:color w:val="auto"/>
          <w:szCs w:val="21"/>
          <w:highlight w:val="none"/>
          <w:u w:val="single"/>
        </w:rPr>
        <w:t>2</w:t>
      </w:r>
      <w:r>
        <w:rPr>
          <w:rFonts w:hint="eastAsia" w:ascii="宋体" w:hAnsi="宋体" w:cs="宋体"/>
          <w:color w:val="auto"/>
          <w:szCs w:val="21"/>
          <w:highlight w:val="none"/>
        </w:rPr>
        <w:t>家，项目负责人应为联合体牵头方人员。</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3.5其他要求：</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A、在中华人民共和国合法注册、具有独立法人资格，持有效的营业执照。</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投标企业信用等级的最终引用将按照</w:t>
      </w:r>
      <w:r>
        <w:rPr>
          <w:rFonts w:hint="eastAsia" w:ascii="宋体" w:hAnsi="宋体" w:cs="宋体"/>
          <w:color w:val="auto"/>
          <w:szCs w:val="21"/>
          <w:highlight w:val="none"/>
        </w:rPr>
        <w:t>湖南</w:t>
      </w:r>
      <w:r>
        <w:rPr>
          <w:rFonts w:ascii="宋体" w:hAnsi="宋体" w:cs="宋体"/>
          <w:color w:val="auto"/>
          <w:szCs w:val="21"/>
          <w:highlight w:val="none"/>
        </w:rPr>
        <w:t>省交通运输厅《</w:t>
      </w:r>
      <w:r>
        <w:rPr>
          <w:rFonts w:hint="eastAsia" w:ascii="宋体" w:hAnsi="宋体" w:cs="宋体"/>
          <w:color w:val="auto"/>
          <w:szCs w:val="21"/>
          <w:highlight w:val="none"/>
        </w:rPr>
        <w:t>关于发布湖南省2020年度水运设计、施工企业信用评价等级结果的通知</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湘交函〔2021〕175号</w:t>
      </w:r>
      <w:r>
        <w:rPr>
          <w:rFonts w:ascii="宋体" w:hAnsi="宋体" w:cs="宋体"/>
          <w:color w:val="auto"/>
          <w:szCs w:val="21"/>
          <w:highlight w:val="none"/>
        </w:rPr>
        <w:t>文件</w:t>
      </w:r>
      <w:r>
        <w:rPr>
          <w:rFonts w:hint="eastAsia" w:ascii="宋体" w:hAnsi="宋体" w:cs="宋体"/>
          <w:color w:val="auto"/>
          <w:szCs w:val="21"/>
          <w:highlight w:val="none"/>
          <w:lang w:eastAsia="zh-CN"/>
        </w:rPr>
        <w:t>）</w:t>
      </w:r>
      <w:r>
        <w:rPr>
          <w:rFonts w:ascii="宋体" w:hAnsi="宋体" w:cs="宋体"/>
          <w:color w:val="auto"/>
          <w:szCs w:val="21"/>
          <w:highlight w:val="none"/>
        </w:rPr>
        <w:t>文件的有关规定执行。投标人按以下优先顺序使用评价结果：</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凡在我省水运工程建设市场从事经营活动的从业单位，其信用评价等级按以下顺序引用（排序在前的优先）：</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1.我省的信用评价等级；</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2.交通运输部的信用评价等级；</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无上述2种信用评价等级时，其信用评价等级按以下原则确定：</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——无不良信用记录或有一般不良记录的，按B级对待；</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——仅有1次达到直接定为D级不良记录的，或仅有2次达到直接定为C级不良记录的，按C级对待；</w:t>
      </w:r>
    </w:p>
    <w:p>
      <w:pPr>
        <w:spacing w:line="312" w:lineRule="auto"/>
        <w:ind w:firstLine="420" w:firstLineChars="200"/>
        <w:rPr>
          <w:rFonts w:ascii="宋体" w:hAnsi="宋体" w:cs="宋体"/>
          <w:color w:val="auto"/>
          <w:szCs w:val="21"/>
          <w:highlight w:val="none"/>
        </w:rPr>
      </w:pPr>
      <w:r>
        <w:rPr>
          <w:rFonts w:ascii="宋体" w:hAnsi="宋体" w:cs="宋体"/>
          <w:color w:val="auto"/>
          <w:szCs w:val="21"/>
          <w:highlight w:val="none"/>
        </w:rPr>
        <w:t>——发生直接定为D级不良记录超过1次的，或直接定为C级不良记录超过2次的，或直接定为D、C级不良记录合计2次的，按D级对待。</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根据湖南省交通运输厅关于印发《湖南省公路水运工程设计企业信用评价实施细则（试行）》的通知（湘交计统[2017]97号），按上述规定确定的最新信用等级评价中</w:t>
      </w:r>
      <w:r>
        <w:rPr>
          <w:rFonts w:ascii="宋体" w:hAnsi="宋体" w:cs="宋体"/>
          <w:color w:val="auto"/>
          <w:szCs w:val="21"/>
          <w:highlight w:val="none"/>
        </w:rPr>
        <w:t>B</w:t>
      </w:r>
      <w:r>
        <w:rPr>
          <w:rFonts w:hint="eastAsia" w:ascii="宋体" w:hAnsi="宋体" w:cs="宋体"/>
          <w:color w:val="auto"/>
          <w:szCs w:val="21"/>
          <w:highlight w:val="none"/>
        </w:rPr>
        <w:t>级及以上企业，均可参与投标。</w:t>
      </w:r>
    </w:p>
    <w:p>
      <w:pPr>
        <w:spacing w:line="312"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注：如投标人为联合体，以牵头人的企业信用评价等级为准。</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3.6资格审查方式：本次招标采取资格后审方式。</w:t>
      </w:r>
    </w:p>
    <w:p>
      <w:pPr>
        <w:spacing w:before="156" w:beforeLines="50" w:after="156" w:afterLines="50" w:line="312" w:lineRule="auto"/>
        <w:jc w:val="left"/>
        <w:outlineLvl w:val="0"/>
        <w:rPr>
          <w:rFonts w:ascii="宋体" w:hAnsi="宋体" w:cs="宋体"/>
          <w:b/>
          <w:color w:val="auto"/>
          <w:sz w:val="24"/>
          <w:highlight w:val="none"/>
        </w:rPr>
      </w:pPr>
      <w:bookmarkStart w:id="19" w:name="_Toc531092920"/>
      <w:bookmarkStart w:id="20" w:name="_Toc531092756"/>
      <w:bookmarkStart w:id="21" w:name="_Toc531092593"/>
      <w:bookmarkStart w:id="22" w:name="_Toc88848769"/>
      <w:r>
        <w:rPr>
          <w:rFonts w:hint="eastAsia" w:ascii="宋体" w:hAnsi="宋体" w:cs="宋体"/>
          <w:b/>
          <w:color w:val="auto"/>
          <w:sz w:val="24"/>
          <w:highlight w:val="none"/>
        </w:rPr>
        <w:t>4．招标文件的获取</w:t>
      </w:r>
      <w:bookmarkEnd w:id="19"/>
      <w:bookmarkEnd w:id="20"/>
      <w:bookmarkEnd w:id="21"/>
      <w:bookmarkEnd w:id="22"/>
    </w:p>
    <w:p>
      <w:pPr>
        <w:pStyle w:val="5"/>
        <w:widowControl/>
        <w:spacing w:line="312" w:lineRule="auto"/>
        <w:ind w:firstLine="210" w:firstLineChars="100"/>
        <w:rPr>
          <w:rFonts w:ascii="宋体" w:hAnsi="宋体" w:cs="宋体"/>
          <w:color w:val="auto"/>
          <w:szCs w:val="21"/>
          <w:highlight w:val="none"/>
        </w:rPr>
      </w:pPr>
      <w:bookmarkStart w:id="23" w:name="_Toc531092594"/>
      <w:bookmarkStart w:id="24" w:name="_Toc531092757"/>
      <w:bookmarkStart w:id="25" w:name="_Toc531092921"/>
      <w:r>
        <w:rPr>
          <w:rFonts w:hint="eastAsia" w:ascii="宋体" w:hAnsi="宋体" w:cs="宋体"/>
          <w:color w:val="auto"/>
          <w:szCs w:val="21"/>
          <w:highlight w:val="none"/>
        </w:rPr>
        <w:t>4.1凡有意参加投标者，</w:t>
      </w:r>
      <w:bookmarkStart w:id="159" w:name="_GoBack"/>
      <w:bookmarkEnd w:id="159"/>
      <w:r>
        <w:rPr>
          <w:rFonts w:hint="eastAsia" w:ascii="宋体" w:hAnsi="宋体" w:cs="宋体"/>
          <w:color w:val="auto"/>
          <w:szCs w:val="21"/>
          <w:highlight w:val="none"/>
        </w:rPr>
        <w:t>请在湖南省公共资源交易中心窗口办理CA数字证书后，从</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日至2021年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日（北京时间，下同）</w:t>
      </w:r>
      <w:r>
        <w:rPr>
          <w:rFonts w:hint="eastAsia" w:ascii="宋体" w:hAnsi="宋体" w:cs="宋体"/>
          <w:color w:val="auto"/>
          <w:szCs w:val="21"/>
          <w:highlight w:val="none"/>
        </w:rPr>
        <w:t>自行登录湖南省公共资源交易中心官网下载获取招标文件等相关资料并报名。凡资料不全、投标人与其证照不符、超过招标文件下载购买时间将被拒绝；</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答疑、澄清及招标文件修改等将在湖南省公共资源交易平台网上发布。投标人应及时关注网上相关招标信息，如有遗漏招标人概不负责，所造成的投标失败或损失由投标人自行承担。线上电子投标如有疑问请联系：0731-84121592。</w:t>
      </w:r>
    </w:p>
    <w:p>
      <w:pPr>
        <w:spacing w:before="156" w:beforeLines="50" w:after="156" w:afterLines="50" w:line="312" w:lineRule="auto"/>
        <w:jc w:val="left"/>
        <w:outlineLvl w:val="0"/>
        <w:rPr>
          <w:rFonts w:ascii="宋体" w:hAnsi="宋体" w:cs="宋体"/>
          <w:b/>
          <w:color w:val="auto"/>
          <w:sz w:val="24"/>
          <w:highlight w:val="none"/>
        </w:rPr>
      </w:pPr>
      <w:bookmarkStart w:id="26" w:name="_Toc88848770"/>
      <w:r>
        <w:rPr>
          <w:rFonts w:hint="eastAsia" w:ascii="宋体" w:hAnsi="宋体" w:cs="宋体"/>
          <w:b/>
          <w:color w:val="auto"/>
          <w:sz w:val="24"/>
          <w:highlight w:val="none"/>
        </w:rPr>
        <w:t>5．投标文件的递交</w:t>
      </w:r>
      <w:bookmarkEnd w:id="23"/>
      <w:bookmarkEnd w:id="24"/>
      <w:bookmarkEnd w:id="25"/>
      <w:bookmarkEnd w:id="26"/>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5.1 工程现场踏勘由投标人自行安排；招标人不召开投标预备会，投标人的质疑请在湖南省公共资源交易中心网站提问专区提交。</w:t>
      </w:r>
    </w:p>
    <w:p>
      <w:pPr>
        <w:pStyle w:val="5"/>
        <w:widowControl/>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5.2投标文件递交的截止时间为</w:t>
      </w:r>
      <w:r>
        <w:rPr>
          <w:rFonts w:hint="eastAsia" w:ascii="宋体" w:hAnsi="宋体" w:cs="宋体"/>
          <w:color w:val="auto"/>
          <w:szCs w:val="21"/>
          <w:highlight w:val="none"/>
        </w:rPr>
        <w:t>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highlight w:val="none"/>
        </w:rPr>
        <w:t>。投标人应在投标截止时间前通过湖南省公共资源交易中心官网在线递交投标文件并完成在线签到。</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5.3投标截止时间到后，招标人将在开标现场进行解密，解密时长为30分钟，本项目为“不见面开标”，投标人可远程在线解密，如在开标现场解密的请自备解密电脑和网络；所有投标人均应当准时在线参加开标，未配合解密工作的投标人视为放弃投标。</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5.4 投标保证金的递交：</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投标保证金的金额：30万元。</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1）投标人采用现金或者支票形式提交的投标保证金应当从其基本账户转出，投标人应在投标截止时间前以转账、电汇、网银方式从投标人基本账户一次性划款到以下指定投标保证金专用账号上（以到账时间为准）：</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账户名称：湖南省公共资源交易中心</w:t>
      </w:r>
    </w:p>
    <w:p>
      <w:p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开户银行：长沙银行湘府路支行</w:t>
      </w:r>
    </w:p>
    <w:p>
      <w:pPr>
        <w:autoSpaceDE w:val="0"/>
        <w:autoSpaceDN w:val="0"/>
        <w:adjustRightInd w:val="0"/>
        <w:spacing w:line="312" w:lineRule="auto"/>
        <w:ind w:left="120" w:leftChars="57" w:firstLine="315" w:firstLineChars="150"/>
        <w:jc w:val="left"/>
        <w:rPr>
          <w:rFonts w:ascii="宋体" w:hAnsi="宋体" w:cs="宋体"/>
          <w:b/>
          <w:bCs/>
          <w:color w:val="auto"/>
          <w:szCs w:val="21"/>
          <w:highlight w:val="none"/>
        </w:rPr>
      </w:pPr>
      <w:r>
        <w:rPr>
          <w:rFonts w:hint="eastAsia" w:ascii="宋体" w:hAnsi="宋体" w:cs="宋体"/>
          <w:color w:val="auto"/>
          <w:szCs w:val="21"/>
          <w:highlight w:val="none"/>
        </w:rPr>
        <w:t>账    号：</w:t>
      </w:r>
      <w:r>
        <w:rPr>
          <w:rFonts w:hint="eastAsia" w:ascii="宋体" w:hAnsi="宋体" w:cs="宋体"/>
          <w:b/>
          <w:bCs/>
          <w:color w:val="auto"/>
          <w:szCs w:val="21"/>
          <w:highlight w:val="none"/>
        </w:rPr>
        <w:t>607049758</w:t>
      </w:r>
    </w:p>
    <w:p>
      <w:pPr>
        <w:numPr>
          <w:ilvl w:val="0"/>
          <w:numId w:val="1"/>
        </w:numPr>
        <w:autoSpaceDE w:val="0"/>
        <w:autoSpaceDN w:val="0"/>
        <w:adjustRightInd w:val="0"/>
        <w:spacing w:line="312" w:lineRule="auto"/>
        <w:ind w:left="120" w:leftChars="57" w:firstLine="315" w:firstLineChars="150"/>
        <w:jc w:val="left"/>
        <w:rPr>
          <w:rFonts w:ascii="宋体" w:hAnsi="宋体" w:cs="宋体"/>
          <w:color w:val="auto"/>
          <w:szCs w:val="21"/>
          <w:highlight w:val="none"/>
        </w:rPr>
      </w:pPr>
      <w:bookmarkStart w:id="27" w:name="_Toc531092595"/>
      <w:bookmarkStart w:id="28" w:name="_Toc531092758"/>
      <w:bookmarkStart w:id="29" w:name="_Toc531092922"/>
      <w:r>
        <w:rPr>
          <w:rFonts w:hint="eastAsia" w:ascii="宋体" w:hAnsi="宋体" w:cs="宋体"/>
          <w:color w:val="auto"/>
          <w:szCs w:val="21"/>
          <w:highlight w:val="none"/>
        </w:rPr>
        <w:t>采用银行保函（纸质）递交投标保证金的的，应由投标人开立基本账户的银行出具（联合体投标的，由牵头人开立基本账户的银行出具）保函，与银行查询授权书原件一并在投标截止时间前在开标现场递交给招标人。</w:t>
      </w:r>
    </w:p>
    <w:p>
      <w:pPr>
        <w:numPr>
          <w:ilvl w:val="0"/>
          <w:numId w:val="1"/>
        </w:num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采用电子保函递交投标保证金的，请自行登录湖南省公共资源交易服务平台首页“电子保函”，进入“保证金创新服务支撑管理系统”办理，保函的格式以系统中的为准。</w:t>
      </w:r>
    </w:p>
    <w:p>
      <w:pPr>
        <w:numPr>
          <w:ilvl w:val="0"/>
          <w:numId w:val="1"/>
        </w:numPr>
        <w:autoSpaceDE w:val="0"/>
        <w:autoSpaceDN w:val="0"/>
        <w:adjustRightInd w:val="0"/>
        <w:spacing w:line="312" w:lineRule="auto"/>
        <w:ind w:left="120" w:leftChars="57" w:firstLine="315" w:firstLineChars="150"/>
        <w:jc w:val="left"/>
        <w:rPr>
          <w:rFonts w:ascii="宋体" w:hAnsi="宋体" w:cs="宋体"/>
          <w:color w:val="auto"/>
          <w:szCs w:val="21"/>
          <w:highlight w:val="none"/>
        </w:rPr>
      </w:pPr>
      <w:r>
        <w:rPr>
          <w:rFonts w:hint="eastAsia" w:ascii="宋体" w:hAnsi="宋体" w:cs="宋体"/>
          <w:color w:val="auto"/>
          <w:szCs w:val="21"/>
          <w:highlight w:val="none"/>
        </w:rPr>
        <w:t>如投标人为联合体，保证金应由联合体牵头方提交。</w:t>
      </w:r>
    </w:p>
    <w:p>
      <w:pPr>
        <w:spacing w:before="156" w:beforeLines="50" w:after="156" w:afterLines="50" w:line="312" w:lineRule="auto"/>
        <w:jc w:val="left"/>
        <w:outlineLvl w:val="0"/>
        <w:rPr>
          <w:rFonts w:ascii="宋体" w:hAnsi="宋体" w:cs="宋体"/>
          <w:b/>
          <w:color w:val="auto"/>
          <w:sz w:val="24"/>
          <w:highlight w:val="none"/>
        </w:rPr>
      </w:pPr>
      <w:bookmarkStart w:id="30" w:name="_Toc88848771"/>
      <w:r>
        <w:rPr>
          <w:rFonts w:hint="eastAsia" w:ascii="宋体" w:hAnsi="宋体" w:cs="宋体"/>
          <w:b/>
          <w:color w:val="auto"/>
          <w:sz w:val="24"/>
          <w:highlight w:val="none"/>
        </w:rPr>
        <w:t>6．发布公告的媒介</w:t>
      </w:r>
      <w:bookmarkEnd w:id="27"/>
      <w:bookmarkEnd w:id="28"/>
      <w:bookmarkEnd w:id="29"/>
      <w:bookmarkEnd w:id="30"/>
    </w:p>
    <w:p>
      <w:pPr>
        <w:snapToGrid w:val="0"/>
        <w:spacing w:line="312" w:lineRule="auto"/>
        <w:ind w:firstLine="420" w:firstLineChars="200"/>
        <w:rPr>
          <w:rFonts w:ascii="宋体" w:hAnsi="宋体"/>
          <w:color w:val="auto"/>
          <w:szCs w:val="21"/>
          <w:highlight w:val="none"/>
        </w:rPr>
      </w:pPr>
      <w:bookmarkStart w:id="31" w:name="_Toc531092759"/>
      <w:bookmarkStart w:id="32" w:name="_Toc531092596"/>
      <w:bookmarkStart w:id="33" w:name="_Toc531092923"/>
      <w:r>
        <w:rPr>
          <w:rFonts w:hint="eastAsia" w:ascii="宋体" w:hAnsi="宋体"/>
          <w:color w:val="auto"/>
          <w:szCs w:val="21"/>
          <w:highlight w:val="none"/>
        </w:rPr>
        <w:t>本次招标公告同时在《湖南省公共资源交易中心》（https://ggzy.hunan.gov.cn/）、《湖南省招标投标监管网》（http://bidding.hunan.gov.cn/）、《湖南省交通运输厅门户网站》（http://jtt.hunan.gov.cn/）上发布。</w:t>
      </w:r>
    </w:p>
    <w:p>
      <w:pPr>
        <w:spacing w:before="156" w:beforeLines="50" w:after="156" w:afterLines="50" w:line="312" w:lineRule="auto"/>
        <w:jc w:val="left"/>
        <w:outlineLvl w:val="0"/>
        <w:rPr>
          <w:rFonts w:ascii="宋体" w:hAnsi="宋体" w:cs="宋体"/>
          <w:b/>
          <w:color w:val="auto"/>
          <w:sz w:val="24"/>
          <w:highlight w:val="none"/>
        </w:rPr>
      </w:pPr>
      <w:bookmarkStart w:id="34" w:name="_Toc88848772"/>
      <w:r>
        <w:rPr>
          <w:rFonts w:hint="eastAsia" w:ascii="宋体" w:hAnsi="宋体" w:cs="宋体"/>
          <w:b/>
          <w:color w:val="auto"/>
          <w:sz w:val="24"/>
          <w:highlight w:val="none"/>
        </w:rPr>
        <w:t>7．联系方式</w:t>
      </w:r>
      <w:bookmarkEnd w:id="31"/>
      <w:bookmarkEnd w:id="32"/>
      <w:bookmarkEnd w:id="33"/>
      <w:bookmarkEnd w:id="34"/>
    </w:p>
    <w:p>
      <w:pPr>
        <w:spacing w:line="312"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招标人：湖南省交通运输厅规划与项目办公室</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  址：湖南省长沙市万家丽南路一段1号</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联系人：陈女士</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电  话：0731-84749601</w:t>
      </w:r>
    </w:p>
    <w:p>
      <w:pPr>
        <w:spacing w:line="312"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 xml:space="preserve">招标代理机构：湖南洞庭项目管理有限公司    </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地    址：长沙市雨花区劳动西路529号延年神禹酒店后栋   </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联系人：唐民力、谭昭君</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电    话：0731-85607737</w:t>
      </w:r>
    </w:p>
    <w:p>
      <w:pPr>
        <w:spacing w:line="312" w:lineRule="auto"/>
        <w:ind w:firstLine="422" w:firstLineChars="200"/>
        <w:rPr>
          <w:rFonts w:ascii="宋体" w:hAnsi="宋体" w:cs="宋体"/>
          <w:b/>
          <w:color w:val="auto"/>
          <w:kern w:val="0"/>
          <w:highlight w:val="none"/>
        </w:rPr>
      </w:pPr>
      <w:r>
        <w:rPr>
          <w:rFonts w:hint="eastAsia" w:ascii="宋体" w:hAnsi="宋体" w:cs="宋体"/>
          <w:b/>
          <w:color w:val="auto"/>
          <w:kern w:val="0"/>
          <w:highlight w:val="none"/>
        </w:rPr>
        <w:t>监督部门：湖南省交通运输厅</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    址：长沙市湘府西路199号</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电    话：0731-88770146</w:t>
      </w:r>
    </w:p>
    <w:p>
      <w:pPr>
        <w:spacing w:line="312" w:lineRule="auto"/>
        <w:ind w:firstLine="420" w:firstLineChars="200"/>
        <w:rPr>
          <w:rFonts w:ascii="宋体" w:hAnsi="宋体" w:cs="宋体"/>
          <w:color w:val="auto"/>
          <w:highlight w:val="none"/>
        </w:rPr>
      </w:pPr>
      <w:r>
        <w:rPr>
          <w:rFonts w:hint="eastAsia" w:ascii="宋体" w:hAnsi="宋体" w:cs="宋体"/>
          <w:color w:val="auto"/>
          <w:kern w:val="0"/>
          <w:highlight w:val="none"/>
        </w:rPr>
        <w:t>传    真：0731-88770145</w:t>
      </w:r>
    </w:p>
    <w:p>
      <w:pPr>
        <w:pStyle w:val="6"/>
        <w:spacing w:line="312" w:lineRule="auto"/>
        <w:ind w:firstLine="407" w:firstLineChars="194"/>
        <w:rPr>
          <w:rFonts w:ascii="宋体" w:hAnsi="宋体" w:cs="宋体"/>
          <w:color w:val="auto"/>
          <w:highlight w:val="none"/>
        </w:rPr>
      </w:pPr>
      <w:r>
        <w:rPr>
          <w:rFonts w:hint="eastAsia" w:ascii="宋体" w:hAnsi="宋体" w:cs="宋体"/>
          <w:color w:val="auto"/>
          <w:highlight w:val="none"/>
        </w:rPr>
        <w:t>邮政编码：410004</w:t>
      </w:r>
    </w:p>
    <w:p>
      <w:pPr>
        <w:spacing w:before="156" w:beforeLines="50" w:after="156" w:afterLines="50" w:line="312" w:lineRule="auto"/>
        <w:jc w:val="left"/>
        <w:outlineLvl w:val="0"/>
        <w:rPr>
          <w:rFonts w:ascii="宋体" w:hAnsi="宋体" w:cs="宋体"/>
          <w:b/>
          <w:color w:val="auto"/>
          <w:sz w:val="24"/>
          <w:highlight w:val="none"/>
        </w:rPr>
      </w:pPr>
      <w:bookmarkStart w:id="35" w:name="_Toc88848773"/>
      <w:r>
        <w:rPr>
          <w:rFonts w:hint="eastAsia" w:ascii="宋体" w:hAnsi="宋体" w:cs="宋体"/>
          <w:b/>
          <w:color w:val="auto"/>
          <w:sz w:val="24"/>
          <w:highlight w:val="none"/>
        </w:rPr>
        <w:t>8．附件</w:t>
      </w:r>
      <w:bookmarkEnd w:id="35"/>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附件1 资格审查条件要求</w:t>
      </w:r>
    </w:p>
    <w:p>
      <w:pPr>
        <w:spacing w:line="312"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附件2 评标办法</w:t>
      </w:r>
    </w:p>
    <w:p>
      <w:pPr>
        <w:rPr>
          <w:highlight w:val="none"/>
        </w:rPr>
      </w:pPr>
      <w:r>
        <w:rPr>
          <w:highlight w:val="none"/>
        </w:rPr>
        <w:br w:type="page"/>
      </w:r>
    </w:p>
    <w:p>
      <w:pPr>
        <w:rPr>
          <w:rFonts w:hint="eastAsia" w:ascii="宋体" w:hAnsi="宋体" w:cs="宋体"/>
          <w:color w:val="auto"/>
          <w:kern w:val="0"/>
          <w:highlight w:val="none"/>
        </w:rPr>
      </w:pPr>
      <w:r>
        <w:rPr>
          <w:rFonts w:hint="eastAsia" w:ascii="宋体" w:hAnsi="宋体" w:cs="宋体"/>
          <w:color w:val="auto"/>
          <w:kern w:val="0"/>
          <w:highlight w:val="none"/>
        </w:rPr>
        <w:t>附件1 资格审查条件要求</w:t>
      </w:r>
    </w:p>
    <w:p>
      <w:pPr>
        <w:spacing w:before="156" w:beforeLines="50" w:after="156" w:afterLines="50"/>
        <w:jc w:val="left"/>
        <w:outlineLvl w:val="0"/>
        <w:rPr>
          <w:rFonts w:ascii="宋体" w:hAnsi="宋体" w:cs="宋体"/>
          <w:b/>
          <w:color w:val="auto"/>
          <w:sz w:val="24"/>
          <w:highlight w:val="none"/>
        </w:rPr>
      </w:pPr>
      <w:bookmarkStart w:id="36" w:name="_Toc88848829"/>
      <w:bookmarkStart w:id="37" w:name="_Toc531092815"/>
      <w:bookmarkStart w:id="38" w:name="_Toc531101237"/>
      <w:bookmarkStart w:id="39" w:name="_Toc358882249"/>
      <w:bookmarkStart w:id="40" w:name="_Toc531092979"/>
      <w:r>
        <w:rPr>
          <w:rFonts w:hint="eastAsia" w:ascii="宋体" w:hAnsi="宋体" w:cs="宋体"/>
          <w:b/>
          <w:color w:val="auto"/>
          <w:sz w:val="24"/>
          <w:highlight w:val="none"/>
        </w:rPr>
        <w:t>附录1  资格审查条件（资质最低要求）</w:t>
      </w:r>
      <w:bookmarkEnd w:id="36"/>
      <w:bookmarkEnd w:id="37"/>
      <w:bookmarkEnd w:id="38"/>
      <w:bookmarkEnd w:id="39"/>
      <w:bookmarkEnd w:id="40"/>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94"/>
        <w:gridCol w:w="5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3794" w:type="dxa"/>
            <w:vAlign w:val="center"/>
          </w:tcPr>
          <w:p>
            <w:pPr>
              <w:spacing w:line="276" w:lineRule="auto"/>
              <w:jc w:val="center"/>
              <w:rPr>
                <w:color w:val="auto"/>
                <w:highlight w:val="none"/>
              </w:rPr>
            </w:pPr>
            <w:bookmarkStart w:id="41" w:name="_Toc87046887"/>
            <w:r>
              <w:rPr>
                <w:rFonts w:hint="eastAsia"/>
                <w:color w:val="auto"/>
                <w:highlight w:val="none"/>
              </w:rPr>
              <w:t>招标名称</w:t>
            </w:r>
            <w:bookmarkEnd w:id="41"/>
          </w:p>
        </w:tc>
        <w:tc>
          <w:tcPr>
            <w:tcW w:w="5436" w:type="dxa"/>
            <w:vAlign w:val="center"/>
          </w:tcPr>
          <w:p>
            <w:pPr>
              <w:spacing w:line="276" w:lineRule="auto"/>
              <w:jc w:val="center"/>
              <w:rPr>
                <w:color w:val="auto"/>
                <w:sz w:val="24"/>
                <w:highlight w:val="none"/>
              </w:rPr>
            </w:pPr>
            <w:bookmarkStart w:id="42" w:name="_Toc87046888"/>
            <w:r>
              <w:rPr>
                <w:rFonts w:hint="eastAsia"/>
                <w:color w:val="auto"/>
                <w:highlight w:val="none"/>
              </w:rPr>
              <w:t>勘察设计企业资质等级要求</w:t>
            </w:r>
            <w:bookmarkEnd w:id="4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3794" w:type="dxa"/>
            <w:vAlign w:val="center"/>
          </w:tcPr>
          <w:p>
            <w:pPr>
              <w:spacing w:line="276" w:lineRule="auto"/>
              <w:rPr>
                <w:color w:val="auto"/>
                <w:highlight w:val="none"/>
              </w:rPr>
            </w:pPr>
            <w:r>
              <w:rPr>
                <w:rFonts w:hint="eastAsia"/>
                <w:color w:val="auto"/>
                <w:highlight w:val="none"/>
              </w:rPr>
              <w:t>沅水金紫至洪江四级航道建设工程勘察设计</w:t>
            </w:r>
          </w:p>
        </w:tc>
        <w:tc>
          <w:tcPr>
            <w:tcW w:w="5436" w:type="dxa"/>
            <w:vAlign w:val="center"/>
          </w:tcPr>
          <w:p>
            <w:pPr>
              <w:spacing w:line="276" w:lineRule="auto"/>
              <w:ind w:firstLine="420" w:firstLineChars="200"/>
              <w:rPr>
                <w:color w:val="auto"/>
                <w:highlight w:val="none"/>
              </w:rPr>
            </w:pPr>
            <w:r>
              <w:rPr>
                <w:rFonts w:hint="eastAsia" w:ascii="宋体" w:hAnsi="宋体" w:cs="宋体"/>
                <w:color w:val="auto"/>
                <w:szCs w:val="21"/>
                <w:highlight w:val="none"/>
              </w:rPr>
              <w:t>本次招标要求投标人应同时具备</w:t>
            </w:r>
            <w:r>
              <w:rPr>
                <w:rFonts w:hint="eastAsia" w:ascii="宋体" w:hAnsi="宋体" w:cs="宋体"/>
                <w:b/>
                <w:color w:val="auto"/>
                <w:szCs w:val="21"/>
                <w:highlight w:val="none"/>
              </w:rPr>
              <w:t>工程勘察综合甲级资质、工程设计水运行业甲级及以上资质、工程设计公路行业（桥梁）甲级及以上资质，</w:t>
            </w:r>
            <w:r>
              <w:rPr>
                <w:rFonts w:hint="eastAsia" w:ascii="宋体" w:hAnsi="宋体" w:cs="宋体"/>
                <w:color w:val="auto"/>
                <w:szCs w:val="21"/>
                <w:highlight w:val="none"/>
              </w:rPr>
              <w:t>并在人员组成结构、相应设备等方面具有相应的勘察设计能力。</w:t>
            </w:r>
          </w:p>
        </w:tc>
      </w:tr>
    </w:tbl>
    <w:p>
      <w:pPr>
        <w:spacing w:line="276" w:lineRule="auto"/>
        <w:rPr>
          <w:color w:val="auto"/>
          <w:highlight w:val="none"/>
        </w:rPr>
      </w:pPr>
      <w:bookmarkStart w:id="43" w:name="_Toc531092816"/>
      <w:bookmarkStart w:id="44" w:name="_Toc358882250"/>
      <w:bookmarkStart w:id="45" w:name="_Toc531092980"/>
      <w:bookmarkStart w:id="46" w:name="_Toc531101238"/>
    </w:p>
    <w:p>
      <w:pPr>
        <w:spacing w:line="276" w:lineRule="auto"/>
        <w:rPr>
          <w:b/>
          <w:color w:val="auto"/>
          <w:sz w:val="24"/>
          <w:highlight w:val="none"/>
        </w:rPr>
      </w:pPr>
      <w:r>
        <w:rPr>
          <w:rFonts w:hint="eastAsia"/>
          <w:b/>
          <w:color w:val="auto"/>
          <w:sz w:val="24"/>
          <w:highlight w:val="none"/>
        </w:rPr>
        <w:t>附录2  资格审查条件（业绩最低要求）</w:t>
      </w:r>
      <w:bookmarkEnd w:id="43"/>
      <w:bookmarkEnd w:id="44"/>
      <w:bookmarkEnd w:id="45"/>
      <w:bookmarkEnd w:id="46"/>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94"/>
        <w:gridCol w:w="5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3794" w:type="dxa"/>
            <w:vAlign w:val="center"/>
          </w:tcPr>
          <w:p>
            <w:pPr>
              <w:spacing w:line="276" w:lineRule="auto"/>
              <w:jc w:val="center"/>
              <w:rPr>
                <w:color w:val="auto"/>
                <w:highlight w:val="none"/>
              </w:rPr>
            </w:pPr>
            <w:bookmarkStart w:id="47" w:name="_Toc87046892"/>
            <w:r>
              <w:rPr>
                <w:rFonts w:hint="eastAsia"/>
                <w:color w:val="auto"/>
                <w:highlight w:val="none"/>
              </w:rPr>
              <w:t>招标名称</w:t>
            </w:r>
            <w:bookmarkEnd w:id="47"/>
          </w:p>
        </w:tc>
        <w:tc>
          <w:tcPr>
            <w:tcW w:w="5436" w:type="dxa"/>
            <w:vAlign w:val="center"/>
          </w:tcPr>
          <w:p>
            <w:pPr>
              <w:spacing w:line="276" w:lineRule="auto"/>
              <w:jc w:val="center"/>
              <w:rPr>
                <w:b/>
                <w:color w:val="auto"/>
                <w:sz w:val="24"/>
                <w:highlight w:val="none"/>
              </w:rPr>
            </w:pPr>
            <w:bookmarkStart w:id="48" w:name="_Toc87046893"/>
            <w:r>
              <w:rPr>
                <w:rFonts w:hint="eastAsia"/>
                <w:color w:val="auto"/>
                <w:highlight w:val="none"/>
              </w:rPr>
              <w:t>勘察设计企业业绩要求</w:t>
            </w:r>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atLeast"/>
        </w:trPr>
        <w:tc>
          <w:tcPr>
            <w:tcW w:w="3794" w:type="dxa"/>
            <w:vAlign w:val="center"/>
          </w:tcPr>
          <w:p>
            <w:pPr>
              <w:spacing w:line="276" w:lineRule="auto"/>
              <w:rPr>
                <w:color w:val="auto"/>
                <w:highlight w:val="none"/>
              </w:rPr>
            </w:pPr>
            <w:r>
              <w:rPr>
                <w:rFonts w:hint="eastAsia"/>
                <w:color w:val="auto"/>
                <w:highlight w:val="none"/>
              </w:rPr>
              <w:t>沅水金紫至洪江四级航道建设工程勘察设计</w:t>
            </w:r>
          </w:p>
        </w:tc>
        <w:tc>
          <w:tcPr>
            <w:tcW w:w="5436" w:type="dxa"/>
            <w:vAlign w:val="center"/>
          </w:tcPr>
          <w:p>
            <w:pPr>
              <w:spacing w:line="276" w:lineRule="auto"/>
              <w:rPr>
                <w:rFonts w:ascii="楷体_GB2312" w:eastAsia="楷体_GB2312"/>
                <w:color w:val="auto"/>
                <w:highlight w:val="none"/>
              </w:rPr>
            </w:pPr>
            <w:r>
              <w:rPr>
                <w:rFonts w:hint="eastAsia"/>
                <w:color w:val="auto"/>
                <w:highlight w:val="none"/>
              </w:rPr>
              <w:t>近8年（2013年12月1日起至投标截止时间止）内须至少完成1个不少于50公里的</w:t>
            </w:r>
            <w:r>
              <w:rPr>
                <w:color w:val="auto"/>
                <w:highlight w:val="none"/>
              </w:rPr>
              <w:t>5</w:t>
            </w:r>
            <w:r>
              <w:rPr>
                <w:rFonts w:hint="eastAsia"/>
                <w:color w:val="auto"/>
                <w:highlight w:val="none"/>
              </w:rPr>
              <w:t>00吨级及以上内河航道工程和1座1000吨级及以上船闸工程的勘察和设计业绩（同一项目具有</w:t>
            </w:r>
            <w:r>
              <w:rPr>
                <w:color w:val="auto"/>
                <w:highlight w:val="none"/>
              </w:rPr>
              <w:t>5</w:t>
            </w:r>
            <w:r>
              <w:rPr>
                <w:rFonts w:hint="eastAsia"/>
                <w:color w:val="auto"/>
                <w:highlight w:val="none"/>
              </w:rPr>
              <w:t>00吨级及以上航道和1</w:t>
            </w:r>
            <w:r>
              <w:rPr>
                <w:color w:val="auto"/>
                <w:highlight w:val="none"/>
              </w:rPr>
              <w:t>000</w:t>
            </w:r>
            <w:r>
              <w:rPr>
                <w:rFonts w:hint="eastAsia"/>
                <w:color w:val="auto"/>
                <w:highlight w:val="none"/>
              </w:rPr>
              <w:t>吨级及以上船闸的，可分别计算业绩；投标人为联合体的，成员方仅勘察业绩可以计算在内）。</w:t>
            </w:r>
          </w:p>
          <w:p>
            <w:pPr>
              <w:spacing w:line="276" w:lineRule="auto"/>
              <w:rPr>
                <w:rFonts w:ascii="楷体_GB2312" w:eastAsia="楷体_GB2312"/>
                <w:color w:val="auto"/>
                <w:highlight w:val="none"/>
              </w:rPr>
            </w:pPr>
            <w:r>
              <w:rPr>
                <w:rFonts w:hint="eastAsia" w:ascii="楷体_GB2312" w:eastAsia="楷体_GB2312"/>
                <w:color w:val="auto"/>
                <w:highlight w:val="none"/>
              </w:rPr>
              <w:t>注：1)投标文件相应位置应附中标通知书或合同或行业主管部门的证明材料或发包人的证明资料等有效证明文件。2）业绩计算时间：</w:t>
            </w:r>
            <w:r>
              <w:rPr>
                <w:rFonts w:hint="eastAsia" w:ascii="楷体_GB2312" w:eastAsia="楷体_GB2312"/>
                <w:color w:val="auto"/>
                <w:szCs w:val="21"/>
                <w:highlight w:val="none"/>
              </w:rPr>
              <w:t>以工程初步设计或施工图设计批复的时间为准。</w:t>
            </w:r>
          </w:p>
        </w:tc>
      </w:tr>
    </w:tbl>
    <w:p>
      <w:pPr>
        <w:spacing w:line="276" w:lineRule="auto"/>
        <w:rPr>
          <w:rFonts w:ascii="宋体" w:hAnsi="宋体" w:cs="宋体"/>
          <w:b/>
          <w:color w:val="auto"/>
          <w:sz w:val="24"/>
          <w:highlight w:val="none"/>
        </w:rPr>
      </w:pPr>
      <w:bookmarkStart w:id="49" w:name="_Toc358882251"/>
      <w:bookmarkStart w:id="50" w:name="_Toc531092981"/>
      <w:bookmarkStart w:id="51" w:name="_Toc531101239"/>
      <w:bookmarkStart w:id="52" w:name="_Toc531092817"/>
    </w:p>
    <w:p>
      <w:pPr>
        <w:spacing w:before="156" w:beforeLines="50" w:after="156" w:afterLines="50" w:line="276" w:lineRule="auto"/>
        <w:jc w:val="left"/>
        <w:outlineLvl w:val="0"/>
        <w:rPr>
          <w:rFonts w:ascii="宋体" w:hAnsi="宋体" w:cs="宋体"/>
          <w:b/>
          <w:color w:val="auto"/>
          <w:sz w:val="24"/>
          <w:highlight w:val="none"/>
        </w:rPr>
      </w:pPr>
      <w:bookmarkStart w:id="53" w:name="_Toc88848830"/>
      <w:r>
        <w:rPr>
          <w:rFonts w:hint="eastAsia" w:ascii="宋体" w:hAnsi="宋体" w:cs="宋体"/>
          <w:b/>
          <w:color w:val="auto"/>
          <w:sz w:val="24"/>
          <w:highlight w:val="none"/>
        </w:rPr>
        <w:t>附录3  资格审查条件（信誉最低要求）</w:t>
      </w:r>
      <w:bookmarkEnd w:id="49"/>
      <w:bookmarkEnd w:id="50"/>
      <w:bookmarkEnd w:id="51"/>
      <w:bookmarkEnd w:id="52"/>
      <w:bookmarkEnd w:id="53"/>
    </w:p>
    <w:tbl>
      <w:tblPr>
        <w:tblStyle w:val="2"/>
        <w:tblW w:w="92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923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勘察设计企业信誉要求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6" w:hRule="atLeast"/>
        </w:trPr>
        <w:tc>
          <w:tcPr>
            <w:tcW w:w="9230" w:type="dxa"/>
            <w:vAlign w:val="center"/>
          </w:tcPr>
          <w:p>
            <w:pPr>
              <w:spacing w:line="276" w:lineRule="auto"/>
              <w:ind w:firstLine="420" w:firstLineChars="200"/>
              <w:rPr>
                <w:color w:val="auto"/>
                <w:highlight w:val="none"/>
              </w:rPr>
            </w:pPr>
            <w:r>
              <w:rPr>
                <w:color w:val="auto"/>
                <w:highlight w:val="none"/>
              </w:rPr>
              <w:t>投标人须为最新公布的信用评价结果为B级及以上的单位。（投标人信用评价等级认定原则详见招标公告）。</w:t>
            </w:r>
          </w:p>
          <w:p>
            <w:pPr>
              <w:spacing w:line="276" w:lineRule="auto"/>
              <w:rPr>
                <w:color w:val="auto"/>
                <w:highlight w:val="none"/>
              </w:rPr>
            </w:pPr>
            <w:r>
              <w:rPr>
                <w:rFonts w:hint="eastAsia"/>
                <w:color w:val="auto"/>
                <w:highlight w:val="none"/>
              </w:rPr>
              <w:t>投标人有以下情形之一者，都将被否决投标：</w:t>
            </w:r>
          </w:p>
          <w:p>
            <w:pPr>
              <w:spacing w:line="276" w:lineRule="auto"/>
              <w:rPr>
                <w:color w:val="auto"/>
                <w:highlight w:val="none"/>
              </w:rPr>
            </w:pPr>
            <w:r>
              <w:rPr>
                <w:rFonts w:hint="eastAsia"/>
                <w:color w:val="auto"/>
                <w:highlight w:val="none"/>
              </w:rPr>
              <w:t>（1） 被依法暂停或者取消投标资格；</w:t>
            </w:r>
          </w:p>
          <w:p>
            <w:pPr>
              <w:spacing w:line="276" w:lineRule="auto"/>
              <w:rPr>
                <w:color w:val="auto"/>
                <w:highlight w:val="none"/>
              </w:rPr>
            </w:pPr>
            <w:r>
              <w:rPr>
                <w:rFonts w:hint="eastAsia"/>
                <w:color w:val="auto"/>
                <w:highlight w:val="none"/>
              </w:rPr>
              <w:t>（2） 被责令停产停业、暂扣或者吊销许可证、暂扣或者吊销执照；</w:t>
            </w:r>
          </w:p>
          <w:p>
            <w:pPr>
              <w:spacing w:line="276" w:lineRule="auto"/>
              <w:rPr>
                <w:color w:val="auto"/>
                <w:highlight w:val="none"/>
              </w:rPr>
            </w:pPr>
            <w:r>
              <w:rPr>
                <w:rFonts w:hint="eastAsia"/>
                <w:color w:val="auto"/>
                <w:highlight w:val="none"/>
              </w:rPr>
              <w:t>（3） 进入清算程序，或被宣告破产，或其他丧失履约能力的情形；</w:t>
            </w:r>
          </w:p>
          <w:p>
            <w:pPr>
              <w:spacing w:line="276" w:lineRule="auto"/>
              <w:rPr>
                <w:color w:val="auto"/>
                <w:highlight w:val="none"/>
              </w:rPr>
            </w:pPr>
            <w:r>
              <w:rPr>
                <w:rFonts w:hint="eastAsia"/>
                <w:color w:val="auto"/>
                <w:highlight w:val="none"/>
              </w:rPr>
              <w:t>（4） 被工商行政管理机关在全国企业信用信息公示系统中列入严重违法失信企业名单；</w:t>
            </w:r>
          </w:p>
          <w:p>
            <w:pPr>
              <w:spacing w:line="276" w:lineRule="auto"/>
              <w:rPr>
                <w:color w:val="auto"/>
                <w:highlight w:val="none"/>
              </w:rPr>
            </w:pPr>
            <w:r>
              <w:rPr>
                <w:rFonts w:hint="eastAsia"/>
                <w:color w:val="auto"/>
                <w:highlight w:val="none"/>
              </w:rPr>
              <w:t>（5） 被最高人民法院在“信用中国”网站（www.creditchina.gov.cn）或各级信用信息共享平台中列入失信被执行人名单。</w:t>
            </w:r>
          </w:p>
        </w:tc>
      </w:tr>
    </w:tbl>
    <w:p>
      <w:pPr>
        <w:jc w:val="left"/>
        <w:rPr>
          <w:rFonts w:ascii="宋体" w:hAnsi="宋体" w:cs="宋体"/>
          <w:b/>
          <w:color w:val="auto"/>
          <w:sz w:val="24"/>
          <w:highlight w:val="none"/>
        </w:rPr>
      </w:pPr>
      <w:bookmarkStart w:id="54" w:name="_Toc358882252"/>
      <w:bookmarkStart w:id="55" w:name="_Toc531101240"/>
      <w:bookmarkStart w:id="56" w:name="_Toc531092818"/>
      <w:bookmarkStart w:id="57" w:name="_Toc88848831"/>
      <w:bookmarkStart w:id="58" w:name="_Toc531092982"/>
      <w:r>
        <w:rPr>
          <w:rFonts w:hint="eastAsia" w:ascii="宋体" w:hAnsi="宋体" w:cs="宋体"/>
          <w:b/>
          <w:color w:val="auto"/>
          <w:sz w:val="24"/>
          <w:highlight w:val="none"/>
        </w:rPr>
        <w:br w:type="page"/>
      </w:r>
    </w:p>
    <w:p>
      <w:pPr>
        <w:spacing w:before="156" w:beforeLines="50" w:after="156" w:afterLines="50" w:line="276" w:lineRule="auto"/>
        <w:jc w:val="left"/>
        <w:outlineLvl w:val="0"/>
        <w:rPr>
          <w:rFonts w:ascii="宋体" w:hAnsi="宋体" w:cs="宋体"/>
          <w:b/>
          <w:color w:val="auto"/>
          <w:sz w:val="24"/>
          <w:highlight w:val="none"/>
        </w:rPr>
      </w:pPr>
      <w:r>
        <w:rPr>
          <w:rFonts w:hint="eastAsia" w:ascii="宋体" w:hAnsi="宋体" w:cs="宋体"/>
          <w:b/>
          <w:color w:val="auto"/>
          <w:sz w:val="24"/>
          <w:highlight w:val="none"/>
        </w:rPr>
        <w:t>附录4  资格审查条件（财务最低要求）</w:t>
      </w:r>
      <w:bookmarkEnd w:id="54"/>
      <w:bookmarkEnd w:id="55"/>
      <w:bookmarkEnd w:id="56"/>
      <w:bookmarkEnd w:id="57"/>
      <w:bookmarkEnd w:id="58"/>
    </w:p>
    <w:tbl>
      <w:tblPr>
        <w:tblStyle w:val="2"/>
        <w:tblW w:w="9214"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9214"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勘察设计企业财务要求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9214" w:type="dxa"/>
            <w:vAlign w:val="center"/>
          </w:tcPr>
          <w:p>
            <w:pPr>
              <w:widowControl/>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近3年（201</w:t>
            </w:r>
            <w:r>
              <w:rPr>
                <w:rFonts w:ascii="宋体" w:hAnsi="宋体" w:cs="宋体"/>
                <w:color w:val="auto"/>
                <w:szCs w:val="21"/>
                <w:highlight w:val="none"/>
              </w:rPr>
              <w:t>8</w:t>
            </w:r>
            <w:r>
              <w:rPr>
                <w:rFonts w:hint="eastAsia" w:ascii="宋体" w:hAnsi="宋体" w:cs="宋体"/>
                <w:color w:val="auto"/>
                <w:szCs w:val="21"/>
                <w:highlight w:val="none"/>
              </w:rPr>
              <w:t>、201</w:t>
            </w:r>
            <w:r>
              <w:rPr>
                <w:rFonts w:ascii="宋体" w:hAnsi="宋体" w:cs="宋体"/>
                <w:color w:val="auto"/>
                <w:szCs w:val="21"/>
                <w:highlight w:val="none"/>
              </w:rPr>
              <w:t>9、2020</w:t>
            </w:r>
            <w:r>
              <w:rPr>
                <w:rFonts w:hint="eastAsia" w:ascii="宋体" w:hAnsi="宋体" w:cs="宋体"/>
                <w:color w:val="auto"/>
                <w:szCs w:val="21"/>
                <w:highlight w:val="none"/>
              </w:rPr>
              <w:t>年度）财务审计报表无亏损。</w:t>
            </w:r>
          </w:p>
        </w:tc>
      </w:tr>
    </w:tbl>
    <w:p>
      <w:pPr>
        <w:spacing w:before="156" w:beforeLines="50" w:after="156" w:afterLines="50" w:line="276" w:lineRule="auto"/>
        <w:jc w:val="left"/>
        <w:outlineLvl w:val="0"/>
        <w:rPr>
          <w:rFonts w:ascii="宋体" w:hAnsi="宋体" w:cs="宋体"/>
          <w:b/>
          <w:color w:val="auto"/>
          <w:sz w:val="24"/>
          <w:highlight w:val="none"/>
        </w:rPr>
      </w:pPr>
      <w:bookmarkStart w:id="59" w:name="_Toc531092983"/>
      <w:bookmarkStart w:id="60" w:name="_Toc532205006"/>
      <w:bookmarkStart w:id="61" w:name="_Toc531092819"/>
      <w:bookmarkStart w:id="62" w:name="_Toc358882253"/>
      <w:bookmarkStart w:id="63" w:name="_Toc531101241"/>
      <w:bookmarkStart w:id="64" w:name="_Toc88848832"/>
      <w:r>
        <w:rPr>
          <w:rFonts w:hint="eastAsia" w:ascii="宋体" w:hAnsi="宋体" w:cs="宋体"/>
          <w:b/>
          <w:color w:val="auto"/>
          <w:sz w:val="24"/>
          <w:highlight w:val="none"/>
        </w:rPr>
        <w:t>附录5  资格审查条件（主要人员最低要求）</w:t>
      </w:r>
      <w:bookmarkEnd w:id="59"/>
      <w:bookmarkEnd w:id="60"/>
      <w:bookmarkEnd w:id="61"/>
      <w:bookmarkEnd w:id="62"/>
      <w:bookmarkEnd w:id="63"/>
      <w:bookmarkEnd w:id="64"/>
      <w:bookmarkStart w:id="65" w:name="_Toc358882254"/>
    </w:p>
    <w:tbl>
      <w:tblPr>
        <w:tblStyle w:val="2"/>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5"/>
        <w:gridCol w:w="663"/>
        <w:gridCol w:w="6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36" w:type="pct"/>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人员</w:t>
            </w:r>
          </w:p>
        </w:tc>
        <w:tc>
          <w:tcPr>
            <w:tcW w:w="389" w:type="pct"/>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3574" w:type="pct"/>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7"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widowControl/>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高级工程师，注册土木工程师（港口与航道工程），近8年内（2013年12月1日起至投标截止时间止）作为项目负责人主持过至少1个不少于50公里的</w:t>
            </w:r>
            <w:r>
              <w:rPr>
                <w:rFonts w:ascii="宋体" w:hAnsi="宋体" w:cs="宋体"/>
                <w:color w:val="auto"/>
                <w:szCs w:val="21"/>
                <w:highlight w:val="none"/>
              </w:rPr>
              <w:t>5</w:t>
            </w:r>
            <w:r>
              <w:rPr>
                <w:rFonts w:hint="eastAsia" w:ascii="宋体" w:hAnsi="宋体" w:cs="宋体"/>
                <w:color w:val="auto"/>
                <w:szCs w:val="21"/>
                <w:highlight w:val="none"/>
              </w:rPr>
              <w:t>00吨级及以上内河航道工程和1座1000吨级及以上船闸工程的设计工作。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1"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航道工程</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勘察负责人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高级工程师，注册土木工程师（岩土）</w:t>
            </w:r>
            <w:r>
              <w:rPr>
                <w:rFonts w:ascii="宋体" w:hAnsi="宋体" w:cs="宋体"/>
                <w:color w:val="auto"/>
                <w:szCs w:val="21"/>
                <w:highlight w:val="none"/>
              </w:rPr>
              <w:t>，</w:t>
            </w:r>
            <w:r>
              <w:rPr>
                <w:rFonts w:hint="eastAsia" w:ascii="宋体" w:hAnsi="宋体" w:cs="宋体"/>
                <w:color w:val="auto"/>
                <w:szCs w:val="21"/>
                <w:highlight w:val="none"/>
              </w:rPr>
              <w:t>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年12月1日起至投标截止时间止）作为工程地质勘察专业负责人主持过1个</w:t>
            </w:r>
            <w:r>
              <w:rPr>
                <w:rFonts w:ascii="TimesNewRomanPSMT" w:hAnsi="TimesNewRomanPSMT"/>
                <w:color w:val="auto"/>
                <w:highlight w:val="none"/>
              </w:rPr>
              <w:t>500</w:t>
            </w:r>
            <w:r>
              <w:rPr>
                <w:rFonts w:hint="eastAsia"/>
                <w:color w:val="auto"/>
                <w:szCs w:val="21"/>
                <w:highlight w:val="none"/>
              </w:rPr>
              <w:t>吨级</w:t>
            </w:r>
            <w:r>
              <w:rPr>
                <w:rFonts w:hint="eastAsia" w:ascii="宋体" w:hAnsi="宋体" w:cs="宋体"/>
                <w:color w:val="auto"/>
                <w:szCs w:val="21"/>
                <w:highlight w:val="none"/>
              </w:rPr>
              <w:t>及以上内河航道工程的地质勘察工作。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2"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船闸工程</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勘察负责人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高级工程师，注册土木工程师（岩土）</w:t>
            </w:r>
            <w:r>
              <w:rPr>
                <w:rFonts w:ascii="宋体" w:hAnsi="宋体" w:cs="宋体"/>
                <w:color w:val="auto"/>
                <w:szCs w:val="21"/>
                <w:highlight w:val="none"/>
              </w:rPr>
              <w:t>，</w:t>
            </w:r>
            <w:r>
              <w:rPr>
                <w:rFonts w:hint="eastAsia" w:ascii="宋体" w:hAnsi="宋体" w:cs="宋体"/>
                <w:color w:val="auto"/>
                <w:szCs w:val="21"/>
                <w:highlight w:val="none"/>
              </w:rPr>
              <w:t>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年12月1日起至投标截止时间止）作为工程地质勘察专业负责人主持过</w:t>
            </w:r>
            <w:r>
              <w:rPr>
                <w:rFonts w:ascii="TimesNewRomanPSMT" w:hAnsi="TimesNewRomanPSMT"/>
                <w:color w:val="auto"/>
                <w:szCs w:val="21"/>
                <w:highlight w:val="none"/>
              </w:rPr>
              <w:t>1</w:t>
            </w:r>
            <w:r>
              <w:rPr>
                <w:rFonts w:hint="eastAsia"/>
                <w:color w:val="auto"/>
                <w:szCs w:val="21"/>
                <w:highlight w:val="none"/>
              </w:rPr>
              <w:t>座</w:t>
            </w:r>
            <w:r>
              <w:rPr>
                <w:rFonts w:ascii="TimesNewRomanPSMT" w:hAnsi="TimesNewRomanPSMT"/>
                <w:color w:val="auto"/>
                <w:highlight w:val="none"/>
              </w:rPr>
              <w:t>1000</w:t>
            </w:r>
            <w:r>
              <w:rPr>
                <w:rFonts w:hint="eastAsia"/>
                <w:color w:val="auto"/>
                <w:szCs w:val="21"/>
                <w:highlight w:val="none"/>
              </w:rPr>
              <w:t>吨级及以上</w:t>
            </w:r>
            <w:r>
              <w:rPr>
                <w:rFonts w:hint="eastAsia" w:ascii="宋体" w:hAnsi="宋体" w:cs="宋体"/>
                <w:color w:val="auto"/>
                <w:szCs w:val="21"/>
                <w:highlight w:val="none"/>
              </w:rPr>
              <w:t>船闸工程或水电站</w:t>
            </w:r>
            <w:r>
              <w:rPr>
                <w:rFonts w:hint="eastAsia" w:ascii="宋体" w:hAnsi="宋体" w:cs="宋体"/>
                <w:color w:val="auto"/>
                <w:kern w:val="0"/>
                <w:szCs w:val="21"/>
                <w:highlight w:val="none"/>
              </w:rPr>
              <w:t>工程</w:t>
            </w:r>
            <w:r>
              <w:rPr>
                <w:rFonts w:hint="eastAsia" w:ascii="宋体" w:hAnsi="宋体" w:cs="宋体"/>
                <w:color w:val="auto"/>
                <w:szCs w:val="21"/>
                <w:highlight w:val="none"/>
              </w:rPr>
              <w:t>的地质勘察工作。</w:t>
            </w:r>
          </w:p>
          <w:p>
            <w:pPr>
              <w:spacing w:line="276" w:lineRule="auto"/>
              <w:ind w:firstLine="210" w:firstLineChars="100"/>
              <w:rPr>
                <w:rFonts w:ascii="宋体" w:hAnsi="宋体" w:cs="宋体"/>
                <w:color w:val="auto"/>
                <w:szCs w:val="21"/>
                <w:highlight w:val="none"/>
              </w:rPr>
            </w:pPr>
            <w:r>
              <w:rPr>
                <w:rFonts w:hint="eastAsia" w:ascii="楷体_GB2312" w:eastAsia="楷体_GB2312"/>
                <w:color w:val="auto"/>
                <w:highlight w:val="none"/>
              </w:rPr>
              <w:t>注：如船闸工程勘察负责人采用水电站工程业绩，业绩计算时间以该项目工程核准或工可批复时间为准。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1"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工程设计负责人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高级工程师，注册土木工程师（港口与航道工程），近8年内（2013年12月1日起至投标截止时间止）作为项目技术负责人审核过至少1个不少于50公里的</w:t>
            </w:r>
            <w:r>
              <w:rPr>
                <w:rFonts w:ascii="宋体" w:hAnsi="宋体" w:cs="宋体"/>
                <w:color w:val="auto"/>
                <w:szCs w:val="21"/>
                <w:highlight w:val="none"/>
              </w:rPr>
              <w:t>5</w:t>
            </w:r>
            <w:r>
              <w:rPr>
                <w:rFonts w:hint="eastAsia" w:ascii="宋体" w:hAnsi="宋体" w:cs="宋体"/>
                <w:color w:val="auto"/>
                <w:szCs w:val="21"/>
                <w:highlight w:val="none"/>
              </w:rPr>
              <w:t>00吨级及以上内河航道工程和1座1000吨级及以上船闸工程的设计工作。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工程造价</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高级工程师，且具有交通运输部水运工程造价工程师证或建设部、交通部注册造价工程师证，相关工作经验满</w:t>
            </w:r>
            <w:r>
              <w:rPr>
                <w:rFonts w:ascii="宋体" w:hAnsi="宋体" w:cs="宋体"/>
                <w:color w:val="auto"/>
                <w:szCs w:val="21"/>
                <w:highlight w:val="none"/>
              </w:rPr>
              <w:t>5</w:t>
            </w:r>
            <w:r>
              <w:rPr>
                <w:rFonts w:hint="eastAsia" w:ascii="宋体" w:hAnsi="宋体" w:cs="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航道工程专业</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高级工程师，注册土木工程师（港口与航道工程），近8年内（201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年12月1日起至投标截止时间止）作为航道工程专业负责人负责过1个不少于</w:t>
            </w:r>
            <w:r>
              <w:rPr>
                <w:rFonts w:ascii="宋体" w:hAnsi="宋体" w:cs="宋体"/>
                <w:color w:val="auto"/>
                <w:szCs w:val="21"/>
                <w:highlight w:val="none"/>
              </w:rPr>
              <w:t>50公里</w:t>
            </w:r>
            <w:r>
              <w:rPr>
                <w:rFonts w:hint="eastAsia" w:ascii="宋体" w:hAnsi="宋体" w:cs="宋体"/>
                <w:color w:val="auto"/>
                <w:szCs w:val="21"/>
                <w:highlight w:val="none"/>
              </w:rPr>
              <w:t>的</w:t>
            </w:r>
            <w:r>
              <w:rPr>
                <w:rFonts w:ascii="TimesNewRomanPSMT" w:hAnsi="TimesNewRomanPSMT"/>
                <w:color w:val="auto"/>
                <w:highlight w:val="none"/>
              </w:rPr>
              <w:t>500</w:t>
            </w:r>
            <w:r>
              <w:rPr>
                <w:rFonts w:hint="eastAsia"/>
                <w:color w:val="auto"/>
                <w:szCs w:val="21"/>
                <w:highlight w:val="none"/>
              </w:rPr>
              <w:t>吨级</w:t>
            </w:r>
            <w:r>
              <w:rPr>
                <w:rFonts w:hint="eastAsia" w:ascii="宋体" w:hAnsi="宋体" w:cs="宋体"/>
                <w:color w:val="auto"/>
                <w:szCs w:val="21"/>
                <w:highlight w:val="none"/>
              </w:rPr>
              <w:t>及以上内河航道工程的设计工作。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8" w:hRule="atLeast"/>
          <w:jc w:val="center"/>
        </w:trPr>
        <w:tc>
          <w:tcPr>
            <w:tcW w:w="1036" w:type="pct"/>
            <w:vAlign w:val="center"/>
          </w:tcPr>
          <w:p>
            <w:pPr>
              <w:widowControl/>
              <w:spacing w:line="276" w:lineRule="auto"/>
              <w:ind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船闸工程专业</w:t>
            </w:r>
          </w:p>
          <w:p>
            <w:pPr>
              <w:widowControl/>
              <w:spacing w:line="276" w:lineRule="auto"/>
              <w:ind w:firstLine="4" w:firstLineChars="2"/>
              <w:jc w:val="center"/>
              <w:rPr>
                <w:rFonts w:ascii="宋体" w:hAnsi="宋体" w:cs="宋体"/>
                <w:color w:val="auto"/>
                <w:szCs w:val="21"/>
                <w:highlight w:val="none"/>
              </w:rPr>
            </w:pPr>
            <w:r>
              <w:rPr>
                <w:rFonts w:hint="eastAsia" w:ascii="宋体" w:hAnsi="宋体" w:cs="宋体"/>
                <w:color w:val="auto"/>
                <w:kern w:val="0"/>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widowControl/>
              <w:spacing w:line="276"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高级工程师，</w:t>
            </w:r>
            <w:r>
              <w:rPr>
                <w:rFonts w:hint="eastAsia" w:ascii="宋体" w:hAnsi="宋体" w:cs="宋体"/>
                <w:color w:val="auto"/>
                <w:szCs w:val="21"/>
                <w:highlight w:val="none"/>
              </w:rPr>
              <w:t>注册土木工程师（港口与航道工程）</w:t>
            </w:r>
            <w:r>
              <w:rPr>
                <w:rFonts w:ascii="宋体" w:hAnsi="宋体" w:cs="宋体"/>
                <w:color w:val="auto"/>
                <w:szCs w:val="21"/>
                <w:highlight w:val="none"/>
              </w:rPr>
              <w:t>，</w:t>
            </w:r>
            <w:r>
              <w:rPr>
                <w:rFonts w:hint="eastAsia" w:ascii="宋体" w:hAnsi="宋体" w:cs="宋体"/>
                <w:color w:val="auto"/>
                <w:szCs w:val="21"/>
                <w:highlight w:val="none"/>
              </w:rPr>
              <w:t>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w:t>
            </w:r>
            <w:r>
              <w:rPr>
                <w:rFonts w:hint="eastAsia" w:ascii="宋体" w:hAnsi="宋体" w:cs="宋体"/>
                <w:color w:val="auto"/>
                <w:kern w:val="0"/>
                <w:szCs w:val="21"/>
                <w:highlight w:val="none"/>
              </w:rPr>
              <w:t>作为船闸工程专业负责人负责过</w:t>
            </w:r>
            <w:r>
              <w:rPr>
                <w:rFonts w:ascii="TimesNewRomanPSMT" w:hAnsi="TimesNewRomanPSMT"/>
                <w:color w:val="auto"/>
                <w:szCs w:val="21"/>
                <w:highlight w:val="none"/>
              </w:rPr>
              <w:t>1</w:t>
            </w:r>
            <w:r>
              <w:rPr>
                <w:rFonts w:hint="eastAsia"/>
                <w:color w:val="auto"/>
                <w:szCs w:val="21"/>
                <w:highlight w:val="none"/>
              </w:rPr>
              <w:t>座</w:t>
            </w:r>
            <w:r>
              <w:rPr>
                <w:rFonts w:ascii="TimesNewRomanPSMT" w:hAnsi="TimesNewRomanPSMT"/>
                <w:color w:val="auto"/>
                <w:highlight w:val="none"/>
              </w:rPr>
              <w:t>1000</w:t>
            </w:r>
            <w:r>
              <w:rPr>
                <w:rFonts w:hint="eastAsia"/>
                <w:color w:val="auto"/>
                <w:szCs w:val="21"/>
                <w:highlight w:val="none"/>
              </w:rPr>
              <w:t>吨级及以上</w:t>
            </w:r>
            <w:r>
              <w:rPr>
                <w:rFonts w:hint="eastAsia" w:ascii="宋体" w:hAnsi="宋体" w:cs="宋体"/>
                <w:color w:val="auto"/>
                <w:szCs w:val="21"/>
                <w:highlight w:val="none"/>
              </w:rPr>
              <w:t>船闸</w:t>
            </w:r>
            <w:r>
              <w:rPr>
                <w:rFonts w:hint="eastAsia" w:ascii="宋体" w:hAnsi="宋体" w:cs="宋体"/>
                <w:color w:val="auto"/>
                <w:kern w:val="0"/>
                <w:szCs w:val="21"/>
                <w:highlight w:val="none"/>
              </w:rPr>
              <w:t>工程</w:t>
            </w:r>
            <w:r>
              <w:rPr>
                <w:rFonts w:hint="eastAsia"/>
                <w:color w:val="auto"/>
                <w:szCs w:val="21"/>
                <w:highlight w:val="none"/>
              </w:rPr>
              <w:t>的</w:t>
            </w:r>
            <w:r>
              <w:rPr>
                <w:rFonts w:hint="eastAsia" w:ascii="宋体" w:hAnsi="宋体" w:cs="宋体"/>
                <w:color w:val="auto"/>
                <w:szCs w:val="21"/>
                <w:highlight w:val="none"/>
              </w:rPr>
              <w:t>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工程测量专业</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w:t>
            </w:r>
            <w:r>
              <w:rPr>
                <w:rFonts w:ascii="宋体" w:hAnsi="宋体" w:cs="宋体"/>
                <w:color w:val="auto"/>
                <w:szCs w:val="21"/>
                <w:highlight w:val="none"/>
              </w:rPr>
              <w:t>注册测绘工程师</w:t>
            </w:r>
            <w:r>
              <w:rPr>
                <w:rFonts w:hint="eastAsia" w:ascii="宋体" w:hAnsi="宋体" w:cs="宋体"/>
                <w:color w:val="auto"/>
                <w:szCs w:val="21"/>
                <w:highlight w:val="none"/>
              </w:rPr>
              <w:t>，近8年内（201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年12月1日起至投标截止时间止）作为工程测量专业负责人主持过1个</w:t>
            </w:r>
            <w:r>
              <w:rPr>
                <w:rFonts w:ascii="TimesNewRomanPSMT" w:hAnsi="TimesNewRomanPSMT"/>
                <w:color w:val="auto"/>
                <w:highlight w:val="none"/>
              </w:rPr>
              <w:t>500</w:t>
            </w:r>
            <w:r>
              <w:rPr>
                <w:rFonts w:hint="eastAsia"/>
                <w:color w:val="auto"/>
                <w:szCs w:val="21"/>
                <w:highlight w:val="none"/>
              </w:rPr>
              <w:t>吨级</w:t>
            </w:r>
            <w:r>
              <w:rPr>
                <w:rFonts w:hint="eastAsia" w:ascii="宋体" w:hAnsi="宋体" w:cs="宋体"/>
                <w:color w:val="auto"/>
                <w:szCs w:val="21"/>
                <w:highlight w:val="none"/>
              </w:rPr>
              <w:t>及以上内河航道工程</w:t>
            </w:r>
            <w:r>
              <w:rPr>
                <w:rFonts w:hint="eastAsia"/>
                <w:color w:val="auto"/>
                <w:szCs w:val="21"/>
                <w:highlight w:val="none"/>
              </w:rPr>
              <w:t>和</w:t>
            </w:r>
            <w:r>
              <w:rPr>
                <w:rFonts w:ascii="TimesNewRomanPSMT" w:hAnsi="TimesNewRomanPSMT"/>
                <w:color w:val="auto"/>
                <w:szCs w:val="21"/>
                <w:highlight w:val="none"/>
              </w:rPr>
              <w:t>1</w:t>
            </w:r>
            <w:r>
              <w:rPr>
                <w:rFonts w:hint="eastAsia"/>
                <w:color w:val="auto"/>
                <w:szCs w:val="21"/>
                <w:highlight w:val="none"/>
              </w:rPr>
              <w:t>座</w:t>
            </w:r>
            <w:r>
              <w:rPr>
                <w:rFonts w:ascii="TimesNewRomanPSMT" w:hAnsi="TimesNewRomanPSMT"/>
                <w:color w:val="auto"/>
                <w:highlight w:val="none"/>
              </w:rPr>
              <w:t>1000</w:t>
            </w:r>
            <w:r>
              <w:rPr>
                <w:rFonts w:hint="eastAsia"/>
                <w:color w:val="auto"/>
                <w:szCs w:val="21"/>
                <w:highlight w:val="none"/>
              </w:rPr>
              <w:t>吨级及以上</w:t>
            </w:r>
            <w:r>
              <w:rPr>
                <w:rFonts w:hint="eastAsia" w:ascii="宋体" w:hAnsi="宋体" w:cs="宋体"/>
                <w:color w:val="auto"/>
                <w:szCs w:val="21"/>
                <w:highlight w:val="none"/>
              </w:rPr>
              <w:t>船闸</w:t>
            </w:r>
            <w:r>
              <w:rPr>
                <w:rFonts w:hint="eastAsia" w:ascii="宋体" w:hAnsi="宋体" w:cs="宋体"/>
                <w:color w:val="auto"/>
                <w:kern w:val="0"/>
                <w:szCs w:val="21"/>
                <w:highlight w:val="none"/>
              </w:rPr>
              <w:t>工程</w:t>
            </w:r>
            <w:r>
              <w:rPr>
                <w:rFonts w:hint="eastAsia" w:ascii="宋体" w:hAnsi="宋体" w:cs="宋体"/>
                <w:color w:val="auto"/>
                <w:szCs w:val="21"/>
                <w:highlight w:val="none"/>
              </w:rPr>
              <w:t>的测量工作。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桥梁工程专业</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高级工程师，注册土木工程师（道路），近8年内（201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年12月1日起至投标截止时间止）作为桥梁工程专业负责人主持过1项大型桥梁工程的设计工作。</w:t>
            </w:r>
          </w:p>
          <w:p>
            <w:pPr>
              <w:spacing w:line="276" w:lineRule="auto"/>
              <w:rPr>
                <w:rFonts w:ascii="宋体" w:hAnsi="宋体" w:cs="宋体"/>
                <w:color w:val="auto"/>
                <w:szCs w:val="21"/>
                <w:highlight w:val="none"/>
              </w:rPr>
            </w:pPr>
            <w:r>
              <w:rPr>
                <w:rFonts w:hint="eastAsia" w:ascii="楷体_GB2312" w:eastAsia="楷体_GB2312"/>
                <w:color w:val="auto"/>
                <w:szCs w:val="21"/>
                <w:highlight w:val="none"/>
              </w:rPr>
              <w:t>注：大型公路桥梁标准：100米≤多孔跨径总长≤1000米，40米≤单孔跨径≤150米。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房建工程专业</w:t>
            </w:r>
          </w:p>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分项负责人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高级工程师，注册建筑师或注册结构</w:t>
            </w:r>
            <w:r>
              <w:rPr>
                <w:rFonts w:ascii="宋体" w:hAnsi="宋体" w:cs="宋体"/>
                <w:color w:val="auto"/>
                <w:szCs w:val="21"/>
                <w:highlight w:val="none"/>
              </w:rPr>
              <w:t>工程师</w:t>
            </w:r>
            <w:r>
              <w:rPr>
                <w:rFonts w:hint="eastAsia" w:ascii="宋体" w:hAnsi="宋体" w:cs="宋体"/>
                <w:color w:val="auto"/>
                <w:szCs w:val="21"/>
                <w:highlight w:val="none"/>
              </w:rPr>
              <w:t>，近8年内（201</w:t>
            </w:r>
            <w:r>
              <w:rPr>
                <w:rFonts w:ascii="宋体" w:hAnsi="宋体" w:cs="宋体"/>
                <w:color w:val="auto"/>
                <w:szCs w:val="21"/>
                <w:highlight w:val="none"/>
              </w:rPr>
              <w:t>3</w:t>
            </w:r>
            <w:r>
              <w:rPr>
                <w:rFonts w:hint="eastAsia" w:ascii="宋体" w:hAnsi="宋体" w:cs="宋体"/>
                <w:color w:val="auto"/>
                <w:szCs w:val="21"/>
                <w:highlight w:val="none"/>
              </w:rPr>
              <w:t>年12月1日起至投标截止时间止）作为房建工程专业负责人负责过1项类似项目的房建设计工作。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036"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后期服务负责人</w:t>
            </w:r>
          </w:p>
        </w:tc>
        <w:tc>
          <w:tcPr>
            <w:tcW w:w="389" w:type="pc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4" w:type="pct"/>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参加本项目</w:t>
            </w:r>
            <w:r>
              <w:rPr>
                <w:rFonts w:ascii="宋体" w:hAnsi="宋体" w:cs="宋体"/>
                <w:color w:val="auto"/>
                <w:szCs w:val="21"/>
                <w:highlight w:val="none"/>
              </w:rPr>
              <w:t>的技术人员（</w:t>
            </w:r>
            <w:r>
              <w:rPr>
                <w:rFonts w:hint="eastAsia" w:ascii="宋体" w:hAnsi="宋体" w:cs="宋体"/>
                <w:color w:val="auto"/>
                <w:szCs w:val="21"/>
                <w:highlight w:val="none"/>
              </w:rPr>
              <w:t>工程造价专业负责人除外）。</w:t>
            </w:r>
          </w:p>
        </w:tc>
      </w:tr>
    </w:tbl>
    <w:p>
      <w:pPr>
        <w:spacing w:line="276" w:lineRule="auto"/>
        <w:rPr>
          <w:rFonts w:ascii="楷体_GB2312" w:eastAsia="楷体_GB2312"/>
          <w:color w:val="auto"/>
          <w:sz w:val="24"/>
          <w:highlight w:val="none"/>
        </w:rPr>
      </w:pPr>
      <w:bookmarkStart w:id="66" w:name="_Toc531092986"/>
      <w:bookmarkStart w:id="67" w:name="_Toc531101244"/>
      <w:bookmarkStart w:id="68" w:name="_Toc531092822"/>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注：</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1、投标文件相应位置应附拟委任主要人员的身份证、毕业证、职称资格证书以及资格审查条件所要求的其他相关证书（如造价工程师执业证书等）的复印件。（以上人员均不得处于暂停执业处罚期内，且不得取消资格）。</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2、以上人员要求为本单位自有人员，并提供相关近6个月社保证明文件。</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3、项目负责人、工程勘察负责人及各分项负责人的项目经验，应提供能够反映人员姓名、工作岗位和业绩证明材料（包括中标通知书或合同或行业主管部门的证明材料或发包人的证明资料等有效证明文件）。主要人员为最低要求，不能一人多岗（后期服务负责人除外）。</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4、业绩计算时间：以初步设计或施工图设计的批复时间为准；如船闸工程勘察负责人采用水电站工程业绩，</w:t>
      </w:r>
      <w:r>
        <w:rPr>
          <w:rFonts w:hint="eastAsia" w:ascii="楷体_GB2312" w:eastAsia="楷体_GB2312"/>
          <w:color w:val="auto"/>
          <w:highlight w:val="none"/>
        </w:rPr>
        <w:t>业绩计算时间</w:t>
      </w:r>
      <w:r>
        <w:rPr>
          <w:rFonts w:hint="eastAsia" w:ascii="楷体_GB2312" w:eastAsia="楷体_GB2312"/>
          <w:color w:val="auto"/>
          <w:szCs w:val="21"/>
          <w:highlight w:val="none"/>
        </w:rPr>
        <w:t>以该项目工程核准或工可批复时间为准。</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5、如有联合体，项目负责人需为联合体牵头方人员。</w:t>
      </w:r>
    </w:p>
    <w:p>
      <w:pPr>
        <w:spacing w:line="276" w:lineRule="auto"/>
        <w:rPr>
          <w:rFonts w:ascii="楷体_GB2312" w:eastAsia="楷体_GB2312"/>
          <w:color w:val="auto"/>
          <w:szCs w:val="21"/>
          <w:highlight w:val="none"/>
        </w:rPr>
      </w:pPr>
      <w:r>
        <w:rPr>
          <w:rFonts w:hint="eastAsia" w:ascii="楷体_GB2312" w:eastAsia="楷体_GB2312"/>
          <w:color w:val="auto"/>
          <w:szCs w:val="21"/>
          <w:highlight w:val="none"/>
        </w:rPr>
        <w:t>6、</w:t>
      </w:r>
      <w:bookmarkStart w:id="69" w:name="_Toc532205008"/>
      <w:bookmarkStart w:id="70" w:name="_Toc37167142"/>
      <w:r>
        <w:rPr>
          <w:rFonts w:hint="eastAsia" w:ascii="楷体_GB2312" w:eastAsia="楷体_GB2312"/>
          <w:color w:val="auto"/>
          <w:szCs w:val="21"/>
          <w:highlight w:val="none"/>
        </w:rPr>
        <w:t>投标人如不满足上述任何一条，将被认为资格审查不合格。投标人需按第七章《投标文件格式》要求提供相应说明和证明材料，否则相应条件不予认定。</w:t>
      </w:r>
      <w:bookmarkEnd w:id="69"/>
      <w:bookmarkEnd w:id="70"/>
    </w:p>
    <w:p>
      <w:pPr>
        <w:spacing w:line="276" w:lineRule="auto"/>
        <w:rPr>
          <w:rFonts w:ascii="楷体_GB2312" w:eastAsia="楷体_GB2312"/>
          <w:color w:val="auto"/>
          <w:szCs w:val="21"/>
          <w:highlight w:val="none"/>
        </w:rPr>
      </w:pPr>
      <w:bookmarkStart w:id="71" w:name="_Toc37167143"/>
      <w:r>
        <w:rPr>
          <w:rFonts w:hint="eastAsia" w:ascii="楷体_GB2312" w:eastAsia="楷体_GB2312"/>
          <w:color w:val="auto"/>
          <w:szCs w:val="21"/>
          <w:highlight w:val="none"/>
        </w:rPr>
        <w:t>7</w:t>
      </w:r>
      <w:r>
        <w:rPr>
          <w:rFonts w:ascii="楷体_GB2312" w:eastAsia="楷体_GB2312"/>
          <w:color w:val="auto"/>
          <w:szCs w:val="21"/>
          <w:highlight w:val="none"/>
        </w:rPr>
        <w:t>、同一项目具有500吨级</w:t>
      </w:r>
      <w:r>
        <w:rPr>
          <w:rFonts w:hint="eastAsia" w:ascii="楷体_GB2312" w:eastAsia="楷体_GB2312"/>
          <w:color w:val="auto"/>
          <w:szCs w:val="21"/>
          <w:highlight w:val="none"/>
        </w:rPr>
        <w:t>及以上</w:t>
      </w:r>
      <w:r>
        <w:rPr>
          <w:rFonts w:ascii="楷体_GB2312" w:eastAsia="楷体_GB2312"/>
          <w:color w:val="auto"/>
          <w:szCs w:val="21"/>
          <w:highlight w:val="none"/>
        </w:rPr>
        <w:t>航道和</w:t>
      </w:r>
      <w:r>
        <w:rPr>
          <w:rFonts w:hint="eastAsia" w:ascii="楷体_GB2312" w:eastAsia="楷体_GB2312"/>
          <w:color w:val="auto"/>
          <w:szCs w:val="21"/>
          <w:highlight w:val="none"/>
        </w:rPr>
        <w:t>1</w:t>
      </w:r>
      <w:r>
        <w:rPr>
          <w:rFonts w:ascii="楷体_GB2312" w:eastAsia="楷体_GB2312"/>
          <w:color w:val="auto"/>
          <w:szCs w:val="21"/>
          <w:highlight w:val="none"/>
        </w:rPr>
        <w:t>000</w:t>
      </w:r>
      <w:r>
        <w:rPr>
          <w:rFonts w:hint="eastAsia" w:ascii="楷体_GB2312" w:eastAsia="楷体_GB2312"/>
          <w:color w:val="auto"/>
          <w:szCs w:val="21"/>
          <w:highlight w:val="none"/>
        </w:rPr>
        <w:t>吨级及以上</w:t>
      </w:r>
      <w:r>
        <w:rPr>
          <w:rFonts w:ascii="楷体_GB2312" w:eastAsia="楷体_GB2312"/>
          <w:color w:val="auto"/>
          <w:szCs w:val="21"/>
          <w:highlight w:val="none"/>
        </w:rPr>
        <w:t>船闸的，可分别计算个人业绩。</w:t>
      </w:r>
      <w:bookmarkEnd w:id="71"/>
    </w:p>
    <w:p>
      <w:pPr>
        <w:spacing w:before="156" w:beforeLines="50" w:after="156" w:afterLines="50" w:line="276" w:lineRule="auto"/>
        <w:jc w:val="left"/>
        <w:outlineLvl w:val="0"/>
        <w:rPr>
          <w:rFonts w:ascii="宋体" w:hAnsi="宋体" w:cs="宋体"/>
          <w:b/>
          <w:color w:val="auto"/>
          <w:sz w:val="24"/>
          <w:highlight w:val="none"/>
        </w:rPr>
      </w:pPr>
      <w:bookmarkStart w:id="72" w:name="_Toc88848833"/>
      <w:r>
        <w:rPr>
          <w:rFonts w:hint="eastAsia" w:ascii="宋体" w:hAnsi="宋体" w:cs="宋体"/>
          <w:b/>
          <w:color w:val="auto"/>
          <w:sz w:val="24"/>
          <w:highlight w:val="none"/>
        </w:rPr>
        <w:t>附录6  资格审查条件（其他要求）</w:t>
      </w:r>
      <w:bookmarkEnd w:id="65"/>
      <w:bookmarkEnd w:id="66"/>
      <w:bookmarkEnd w:id="67"/>
      <w:bookmarkEnd w:id="68"/>
      <w:bookmarkEnd w:id="72"/>
    </w:p>
    <w:tbl>
      <w:tblPr>
        <w:tblStyle w:val="2"/>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9072" w:type="dxa"/>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2" w:hRule="atLeast"/>
        </w:trPr>
        <w:tc>
          <w:tcPr>
            <w:tcW w:w="9072"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在中华人民共和国合法注册、具有独立法人资格，持有效的营业执照。</w:t>
            </w:r>
          </w:p>
          <w:p>
            <w:pPr>
              <w:spacing w:line="276" w:lineRule="auto"/>
              <w:rPr>
                <w:rFonts w:ascii="宋体" w:hAnsi="宋体" w:cs="宋体"/>
                <w:color w:val="auto"/>
                <w:szCs w:val="21"/>
                <w:highlight w:val="none"/>
              </w:rPr>
            </w:pPr>
          </w:p>
        </w:tc>
      </w:tr>
    </w:tbl>
    <w:p>
      <w:pPr>
        <w:rPr>
          <w:rFonts w:hint="eastAsia" w:ascii="宋体" w:hAnsi="宋体" w:cs="宋体"/>
          <w:color w:val="auto"/>
          <w:kern w:val="0"/>
          <w:highlight w:val="none"/>
        </w:rPr>
      </w:pPr>
    </w:p>
    <w:p>
      <w:pPr>
        <w:rPr>
          <w:rFonts w:hint="eastAsia" w:ascii="宋体" w:hAnsi="宋体" w:cs="宋体"/>
          <w:color w:val="auto"/>
          <w:kern w:val="0"/>
          <w:highlight w:val="none"/>
        </w:rPr>
      </w:pPr>
    </w:p>
    <w:p>
      <w:pPr>
        <w:rPr>
          <w:rFonts w:hint="eastAsia" w:ascii="宋体" w:hAnsi="宋体" w:cs="宋体"/>
          <w:color w:val="auto"/>
          <w:kern w:val="0"/>
          <w:highlight w:val="none"/>
        </w:rPr>
      </w:pPr>
      <w:r>
        <w:rPr>
          <w:rFonts w:hint="eastAsia" w:ascii="宋体" w:hAnsi="宋体" w:cs="宋体"/>
          <w:color w:val="auto"/>
          <w:kern w:val="0"/>
          <w:highlight w:val="none"/>
        </w:rPr>
        <w:t>附件2 评标办法</w:t>
      </w:r>
    </w:p>
    <w:p>
      <w:pPr>
        <w:spacing w:before="156" w:beforeLines="50" w:after="156" w:afterLines="50" w:line="360" w:lineRule="auto"/>
        <w:jc w:val="center"/>
        <w:outlineLvl w:val="0"/>
        <w:rPr>
          <w:rFonts w:ascii="宋体" w:hAnsi="宋体" w:cs="宋体"/>
          <w:b/>
          <w:color w:val="auto"/>
          <w:sz w:val="24"/>
          <w:highlight w:val="none"/>
        </w:rPr>
      </w:pPr>
      <w:bookmarkStart w:id="73" w:name="_Toc88848837"/>
      <w:r>
        <w:rPr>
          <w:rFonts w:hint="eastAsia" w:ascii="宋体" w:hAnsi="宋体" w:cs="宋体"/>
          <w:b/>
          <w:color w:val="auto"/>
          <w:sz w:val="24"/>
          <w:highlight w:val="none"/>
        </w:rPr>
        <w:t>评标办法前附表</w:t>
      </w:r>
      <w:bookmarkEnd w:id="73"/>
    </w:p>
    <w:tbl>
      <w:tblPr>
        <w:tblStyle w:val="2"/>
        <w:tblW w:w="92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204"/>
        <w:gridCol w:w="2407"/>
        <w:gridCol w:w="4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007" w:type="dxa"/>
            <w:gridSpan w:val="2"/>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07"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481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80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2.1.1</w:t>
            </w:r>
          </w:p>
        </w:tc>
        <w:tc>
          <w:tcPr>
            <w:tcW w:w="1204" w:type="dxa"/>
            <w:vMerge w:val="restart"/>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形式评审</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标准</w:t>
            </w: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投标人名称</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投标函签字盖章</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有法定代表人或其委托代理人签字并加盖单位公章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投标文件格式</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符合第七章“投标文件格式”的要求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联合体投标人</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提交联合体协议书，并明确联合体牵头人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报价唯一</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0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2.1.2</w:t>
            </w:r>
          </w:p>
        </w:tc>
        <w:tc>
          <w:tcPr>
            <w:tcW w:w="1204" w:type="dxa"/>
            <w:vMerge w:val="restar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资格评审</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标准</w:t>
            </w: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营业执照</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资质等级</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财务状况</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类似项目业绩</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信誉</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主要人员资格</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其他要求</w:t>
            </w:r>
          </w:p>
        </w:tc>
        <w:tc>
          <w:tcPr>
            <w:tcW w:w="4816"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联合体投标人</w:t>
            </w:r>
          </w:p>
        </w:tc>
        <w:tc>
          <w:tcPr>
            <w:tcW w:w="4816" w:type="dxa"/>
            <w:vAlign w:val="center"/>
          </w:tcPr>
          <w:p>
            <w:pPr>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符合第二章“投标人须知”第1.4</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803"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2.1.3</w:t>
            </w:r>
          </w:p>
        </w:tc>
        <w:tc>
          <w:tcPr>
            <w:tcW w:w="1204" w:type="dxa"/>
            <w:vMerge w:val="restart"/>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响应性评价标准</w:t>
            </w: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投标报价</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投标报价不得超过最高投标限价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投标内容</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符合第二章“投标人须知”第1.3款规定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勘察设计周期</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符合第二章“投标人须知”第1.3款规定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质量要求</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符合第二章“投标人须知”第1.3款规定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投标有效期</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符合第二章“投标人须知”第3.3.1款规定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投标保证金</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符合第二章“投标人须知”第3.4.1款规定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803" w:type="dxa"/>
            <w:vMerge w:val="continue"/>
            <w:vAlign w:val="center"/>
          </w:tcPr>
          <w:p>
            <w:pPr>
              <w:spacing w:line="360" w:lineRule="auto"/>
              <w:jc w:val="center"/>
              <w:rPr>
                <w:rFonts w:ascii="宋体" w:hAnsi="宋体" w:cs="宋体"/>
                <w:color w:val="auto"/>
                <w:sz w:val="18"/>
                <w:szCs w:val="18"/>
                <w:highlight w:val="none"/>
              </w:rPr>
            </w:pPr>
          </w:p>
        </w:tc>
        <w:tc>
          <w:tcPr>
            <w:tcW w:w="1204" w:type="dxa"/>
            <w:vMerge w:val="continue"/>
            <w:vAlign w:val="center"/>
          </w:tcPr>
          <w:p>
            <w:pPr>
              <w:widowControl/>
              <w:jc w:val="center"/>
              <w:rPr>
                <w:rFonts w:ascii="宋体" w:hAnsi="宋体" w:cs="宋体"/>
                <w:color w:val="auto"/>
                <w:sz w:val="18"/>
                <w:szCs w:val="18"/>
                <w:highlight w:val="none"/>
              </w:rPr>
            </w:pPr>
          </w:p>
        </w:tc>
        <w:tc>
          <w:tcPr>
            <w:tcW w:w="2407" w:type="dxa"/>
            <w:vAlign w:val="center"/>
          </w:tcPr>
          <w:p>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权利义务</w:t>
            </w:r>
          </w:p>
        </w:tc>
        <w:tc>
          <w:tcPr>
            <w:tcW w:w="4816"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符合第四章“合同条款及格式”规定</w:t>
            </w:r>
          </w:p>
        </w:tc>
      </w:tr>
    </w:tbl>
    <w:p>
      <w:pPr>
        <w:spacing w:before="156" w:beforeLines="50" w:after="156" w:afterLines="50" w:line="360" w:lineRule="auto"/>
        <w:jc w:val="center"/>
        <w:rPr>
          <w:rFonts w:ascii="宋体" w:hAnsi="宋体" w:cs="宋体"/>
          <w:b/>
          <w:color w:val="auto"/>
          <w:sz w:val="24"/>
          <w:highlight w:val="none"/>
        </w:rPr>
      </w:pPr>
    </w:p>
    <w:p>
      <w:pPr>
        <w:spacing w:before="156" w:beforeLines="50" w:after="156"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br w:type="page"/>
      </w:r>
    </w:p>
    <w:tbl>
      <w:tblPr>
        <w:tblStyle w:val="2"/>
        <w:tblW w:w="92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287"/>
        <w:gridCol w:w="2328"/>
        <w:gridCol w:w="192"/>
        <w:gridCol w:w="4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088" w:type="dxa"/>
            <w:gridSpan w:val="2"/>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28"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4814" w:type="dxa"/>
            <w:gridSpan w:val="2"/>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8" w:hRule="atLeast"/>
        </w:trPr>
        <w:tc>
          <w:tcPr>
            <w:tcW w:w="80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2.2.1</w:t>
            </w:r>
          </w:p>
        </w:tc>
        <w:tc>
          <w:tcPr>
            <w:tcW w:w="1287" w:type="dxa"/>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分值构成</w:t>
            </w:r>
          </w:p>
        </w:tc>
        <w:tc>
          <w:tcPr>
            <w:tcW w:w="7142" w:type="dxa"/>
            <w:gridSpan w:val="3"/>
            <w:vAlign w:val="center"/>
          </w:tcPr>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评分值总和100分，其中商务部分各评审因素的评分值合计为40分，技术部分各评审因素的评分值合计为60分。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评审因素                                                        评分值</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商务部分：                                                      </w:t>
            </w:r>
            <w:r>
              <w:rPr>
                <w:rFonts w:hint="eastAsia" w:ascii="宋体" w:hAnsi="宋体" w:cs="宋体"/>
                <w:color w:val="auto"/>
                <w:sz w:val="18"/>
                <w:szCs w:val="18"/>
                <w:highlight w:val="none"/>
                <w:u w:val="single"/>
              </w:rPr>
              <w:t>40</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（1）投标人与本项目类似的具体业绩                               </w:t>
            </w:r>
            <w:r>
              <w:rPr>
                <w:rFonts w:hint="eastAsia" w:ascii="宋体" w:hAnsi="宋体" w:cs="宋体"/>
                <w:color w:val="auto"/>
                <w:sz w:val="18"/>
                <w:szCs w:val="18"/>
                <w:highlight w:val="none"/>
                <w:u w:val="single"/>
              </w:rPr>
              <w:t>1</w:t>
            </w:r>
            <w:r>
              <w:rPr>
                <w:rFonts w:hint="eastAsia" w:ascii="宋体" w:hAnsi="宋体" w:cs="宋体"/>
                <w:color w:val="auto"/>
                <w:sz w:val="18"/>
                <w:szCs w:val="18"/>
                <w:highlight w:val="none"/>
                <w:u w:val="single"/>
                <w:lang w:val="en-US" w:eastAsia="zh-CN"/>
              </w:rPr>
              <w:t>5</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（2）拟投入本项目的人员资格和能力                               </w:t>
            </w:r>
            <w:r>
              <w:rPr>
                <w:rFonts w:hint="eastAsia" w:ascii="宋体" w:hAnsi="宋体" w:cs="宋体"/>
                <w:color w:val="auto"/>
                <w:sz w:val="18"/>
                <w:szCs w:val="18"/>
                <w:highlight w:val="none"/>
                <w:u w:val="single"/>
                <w:lang w:val="en-US" w:eastAsia="zh-CN"/>
              </w:rPr>
              <w:t>10</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（3）投标人的能力和信誉                                        5分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（4）投标价                                                     </w:t>
            </w:r>
            <w:r>
              <w:rPr>
                <w:rFonts w:hint="eastAsia" w:ascii="宋体" w:hAnsi="宋体" w:cs="宋体"/>
                <w:color w:val="auto"/>
                <w:sz w:val="18"/>
                <w:szCs w:val="18"/>
                <w:highlight w:val="none"/>
                <w:u w:val="single"/>
              </w:rPr>
              <w:t>10</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技术部分：                                                      </w:t>
            </w:r>
            <w:r>
              <w:rPr>
                <w:rFonts w:hint="eastAsia" w:ascii="宋体" w:hAnsi="宋体" w:cs="宋体"/>
                <w:color w:val="auto"/>
                <w:sz w:val="18"/>
                <w:szCs w:val="18"/>
                <w:highlight w:val="none"/>
                <w:u w:val="single"/>
              </w:rPr>
              <w:t>60</w:t>
            </w:r>
            <w:r>
              <w:rPr>
                <w:rFonts w:hint="eastAsia" w:ascii="宋体" w:hAnsi="宋体" w:cs="宋体"/>
                <w:color w:val="auto"/>
                <w:sz w:val="18"/>
                <w:szCs w:val="18"/>
                <w:highlight w:val="none"/>
              </w:rPr>
              <w:t>分</w:t>
            </w:r>
          </w:p>
          <w:p>
            <w:pPr>
              <w:tabs>
                <w:tab w:val="left" w:pos="6133"/>
              </w:tabs>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（5）勘察设计总体思路和组织管理                                 </w:t>
            </w:r>
            <w:r>
              <w:rPr>
                <w:rFonts w:hint="eastAsia" w:ascii="宋体" w:hAnsi="宋体" w:cs="宋体"/>
                <w:color w:val="auto"/>
                <w:sz w:val="18"/>
                <w:szCs w:val="18"/>
                <w:highlight w:val="none"/>
                <w:u w:val="single"/>
              </w:rPr>
              <w:t>18</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（6）关键技术问题和难点及其解决办法                             </w:t>
            </w:r>
            <w:r>
              <w:rPr>
                <w:rFonts w:hint="eastAsia" w:ascii="宋体" w:hAnsi="宋体" w:cs="宋体"/>
                <w:color w:val="auto"/>
                <w:sz w:val="18"/>
                <w:szCs w:val="18"/>
                <w:highlight w:val="none"/>
                <w:u w:val="single"/>
              </w:rPr>
              <w:t>10</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（7）质量、安全、环保与健康、管理措施                            </w:t>
            </w: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（8）工程勘察纲要及设计方案（含工程造价测算）                   </w:t>
            </w:r>
            <w:r>
              <w:rPr>
                <w:rFonts w:hint="eastAsia" w:ascii="宋体" w:hAnsi="宋体" w:cs="宋体"/>
                <w:color w:val="auto"/>
                <w:sz w:val="18"/>
                <w:szCs w:val="18"/>
                <w:highlight w:val="none"/>
                <w:u w:val="single"/>
              </w:rPr>
              <w:t>20</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（9）工期与进度计划                                              </w:t>
            </w: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p>
            <w:pPr>
              <w:ind w:firstLine="357"/>
              <w:rPr>
                <w:rFonts w:ascii="宋体" w:hAnsi="宋体" w:cs="宋体"/>
                <w:color w:val="auto"/>
                <w:sz w:val="18"/>
                <w:szCs w:val="18"/>
                <w:highlight w:val="none"/>
              </w:rPr>
            </w:pPr>
            <w:r>
              <w:rPr>
                <w:rFonts w:hint="eastAsia" w:ascii="宋体" w:hAnsi="宋体" w:cs="宋体"/>
                <w:color w:val="auto"/>
                <w:sz w:val="18"/>
                <w:szCs w:val="18"/>
                <w:highlight w:val="none"/>
              </w:rPr>
              <w:t xml:space="preserve">（10）后续服务计划及保证措施                                     </w:t>
            </w: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6" w:hRule="atLeast"/>
        </w:trPr>
        <w:tc>
          <w:tcPr>
            <w:tcW w:w="80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2.2.2</w:t>
            </w:r>
          </w:p>
        </w:tc>
        <w:tc>
          <w:tcPr>
            <w:tcW w:w="1287" w:type="dxa"/>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评标基准价计算方法</w:t>
            </w:r>
          </w:p>
        </w:tc>
        <w:tc>
          <w:tcPr>
            <w:tcW w:w="2520" w:type="dxa"/>
            <w:gridSpan w:val="2"/>
            <w:vAlign w:val="center"/>
          </w:tcPr>
          <w:p>
            <w:pPr>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评标基准价计算方法（除按规定被宣布废标的投标报价外，所有有效投标人工程勘察设计费投标报价的算术平均值即为评标基准价。若有效标超过5家，剔除最高、最低标后，进行算术平均；有效投标报价应在最高投标限价范围内）</w:t>
            </w:r>
          </w:p>
        </w:tc>
        <w:tc>
          <w:tcPr>
            <w:tcW w:w="4622" w:type="dxa"/>
            <w:vAlign w:val="center"/>
          </w:tcPr>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□不设标底</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□设标底，标底权重%</w:t>
            </w:r>
          </w:p>
          <w:p>
            <w:pPr>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□不设最高最低限价</w:t>
            </w:r>
          </w:p>
          <w:p>
            <w:pPr>
              <w:spacing w:line="276" w:lineRule="auto"/>
              <w:rPr>
                <w:rFonts w:ascii="宋体" w:hAnsi="宋体" w:cs="宋体"/>
                <w:b/>
                <w:color w:val="auto"/>
                <w:szCs w:val="21"/>
                <w:highlight w:val="none"/>
              </w:rPr>
            </w:pPr>
            <w:r>
              <w:rPr>
                <w:rFonts w:hint="eastAsia" w:ascii="MS Gothic" w:hAnsi="MS Gothic" w:eastAsia="MS Gothic" w:cs="MS Gothic"/>
                <w:color w:val="auto"/>
                <w:highlight w:val="none"/>
              </w:rPr>
              <w:t>☑</w:t>
            </w:r>
            <w:r>
              <w:rPr>
                <w:rFonts w:hint="eastAsia" w:ascii="宋体" w:hAnsi="宋体" w:cs="宋体"/>
                <w:color w:val="auto"/>
                <w:sz w:val="18"/>
                <w:szCs w:val="18"/>
                <w:highlight w:val="none"/>
              </w:rPr>
              <w:t>设最高投标限价：</w:t>
            </w:r>
            <w:r>
              <w:rPr>
                <w:rFonts w:hint="eastAsia" w:ascii="宋体" w:hAnsi="宋体" w:cs="宋体"/>
                <w:color w:val="auto"/>
                <w:sz w:val="18"/>
                <w:szCs w:val="18"/>
                <w:highlight w:val="none"/>
                <w:lang w:val="en-US" w:eastAsia="zh-CN"/>
              </w:rPr>
              <w:t>177577000.00</w:t>
            </w:r>
            <w:r>
              <w:rPr>
                <w:rFonts w:hint="eastAsia" w:ascii="宋体" w:hAnsi="宋体" w:cs="宋体"/>
                <w:b/>
                <w:color w:val="auto"/>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0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2.2.3</w:t>
            </w:r>
          </w:p>
        </w:tc>
        <w:tc>
          <w:tcPr>
            <w:tcW w:w="1287" w:type="dxa"/>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投标报价的偏差率计算公式</w:t>
            </w:r>
          </w:p>
        </w:tc>
        <w:tc>
          <w:tcPr>
            <w:tcW w:w="7142" w:type="dxa"/>
            <w:gridSpan w:val="3"/>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偏差率=100%×（投标人报价-评标基准价）/评标基准价</w:t>
            </w:r>
          </w:p>
        </w:tc>
      </w:tr>
    </w:tbl>
    <w:p>
      <w:pPr>
        <w:spacing w:line="420" w:lineRule="exact"/>
        <w:ind w:right="480"/>
        <w:jc w:val="righ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续上表</w:t>
      </w:r>
    </w:p>
    <w:tbl>
      <w:tblPr>
        <w:tblStyle w:val="2"/>
        <w:tblW w:w="97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396"/>
        <w:gridCol w:w="736"/>
        <w:gridCol w:w="1508"/>
        <w:gridCol w:w="701"/>
        <w:gridCol w:w="1504"/>
        <w:gridCol w:w="714"/>
        <w:gridCol w:w="3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blHeader/>
        </w:trPr>
        <w:tc>
          <w:tcPr>
            <w:tcW w:w="1065" w:type="dxa"/>
            <w:gridSpan w:val="2"/>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条款号</w:t>
            </w:r>
          </w:p>
        </w:tc>
        <w:tc>
          <w:tcPr>
            <w:tcW w:w="736"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1508"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评分因素</w:t>
            </w:r>
          </w:p>
        </w:tc>
        <w:tc>
          <w:tcPr>
            <w:tcW w:w="701"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评分值</w:t>
            </w:r>
          </w:p>
        </w:tc>
        <w:tc>
          <w:tcPr>
            <w:tcW w:w="1504"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各评审因素细分项</w:t>
            </w:r>
          </w:p>
        </w:tc>
        <w:tc>
          <w:tcPr>
            <w:tcW w:w="714"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分值</w:t>
            </w:r>
          </w:p>
        </w:tc>
        <w:tc>
          <w:tcPr>
            <w:tcW w:w="3476" w:type="dxa"/>
            <w:vAlign w:val="center"/>
          </w:tcPr>
          <w:p>
            <w:pPr>
              <w:adjustRightInd w:val="0"/>
              <w:snapToGri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0" w:hRule="atLeast"/>
        </w:trPr>
        <w:tc>
          <w:tcPr>
            <w:tcW w:w="669" w:type="dxa"/>
            <w:vMerge w:val="restart"/>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2.2.4</w:t>
            </w:r>
          </w:p>
        </w:tc>
        <w:tc>
          <w:tcPr>
            <w:tcW w:w="396" w:type="dxa"/>
            <w:vMerge w:val="restart"/>
            <w:vAlign w:val="center"/>
          </w:tcPr>
          <w:p>
            <w:pPr>
              <w:pBdr>
                <w:bottom w:val="single" w:color="auto" w:sz="4" w:space="1"/>
              </w:pBd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商务部分评分标准</w:t>
            </w:r>
          </w:p>
        </w:tc>
        <w:tc>
          <w:tcPr>
            <w:tcW w:w="736"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508"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投标人与项目类似的具体业绩</w:t>
            </w:r>
          </w:p>
        </w:tc>
        <w:tc>
          <w:tcPr>
            <w:tcW w:w="701"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w:t>
            </w:r>
            <w:r>
              <w:rPr>
                <w:rFonts w:hint="eastAsia" w:ascii="宋体" w:hAnsi="宋体" w:cs="宋体"/>
                <w:color w:val="auto"/>
                <w:sz w:val="18"/>
                <w:szCs w:val="18"/>
                <w:highlight w:val="none"/>
                <w:u w:val="single"/>
                <w:lang w:val="en-US" w:eastAsia="zh-CN"/>
              </w:rPr>
              <w:t>5</w:t>
            </w:r>
            <w:r>
              <w:rPr>
                <w:rFonts w:hint="eastAsia" w:ascii="宋体" w:hAnsi="宋体" w:cs="宋体"/>
                <w:color w:val="auto"/>
                <w:sz w:val="18"/>
                <w:szCs w:val="18"/>
                <w:highlight w:val="none"/>
              </w:rPr>
              <w:t>分</w:t>
            </w:r>
          </w:p>
        </w:tc>
        <w:tc>
          <w:tcPr>
            <w:tcW w:w="150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类似项目勘察和设计业绩</w:t>
            </w:r>
          </w:p>
        </w:tc>
        <w:tc>
          <w:tcPr>
            <w:tcW w:w="71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15</w:t>
            </w:r>
            <w:r>
              <w:rPr>
                <w:rFonts w:hint="eastAsia" w:ascii="宋体" w:hAnsi="宋体" w:cs="宋体"/>
                <w:color w:val="auto"/>
                <w:sz w:val="18"/>
                <w:szCs w:val="18"/>
                <w:highlight w:val="none"/>
              </w:rPr>
              <w:t>分</w:t>
            </w:r>
          </w:p>
        </w:tc>
        <w:tc>
          <w:tcPr>
            <w:tcW w:w="3476" w:type="dxa"/>
            <w:vAlign w:val="center"/>
          </w:tcPr>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投标人勘察设计业绩达到资格审查强制性履约标准的，计</w:t>
            </w:r>
            <w:r>
              <w:rPr>
                <w:rFonts w:ascii="宋体" w:hAnsi="宋体" w:cs="宋体"/>
                <w:color w:val="auto"/>
                <w:sz w:val="18"/>
                <w:szCs w:val="18"/>
                <w:highlight w:val="none"/>
              </w:rPr>
              <w:t>10</w:t>
            </w:r>
            <w:r>
              <w:rPr>
                <w:rFonts w:hint="eastAsia" w:ascii="宋体" w:hAnsi="宋体" w:cs="宋体"/>
                <w:color w:val="auto"/>
                <w:sz w:val="18"/>
                <w:szCs w:val="18"/>
                <w:highlight w:val="none"/>
              </w:rPr>
              <w:t>分；</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近</w:t>
            </w:r>
            <w:r>
              <w:rPr>
                <w:rFonts w:ascii="宋体" w:hAnsi="宋体" w:cs="宋体"/>
                <w:color w:val="auto"/>
                <w:sz w:val="18"/>
                <w:szCs w:val="18"/>
                <w:highlight w:val="none"/>
              </w:rPr>
              <w:t>8</w:t>
            </w:r>
            <w:r>
              <w:rPr>
                <w:rFonts w:hint="eastAsia" w:ascii="宋体" w:hAnsi="宋体" w:cs="宋体"/>
                <w:color w:val="auto"/>
                <w:sz w:val="18"/>
                <w:szCs w:val="18"/>
                <w:highlight w:val="none"/>
              </w:rPr>
              <w:t>年（从2013年12月1日至）勘察设计业绩类似水运项目（</w:t>
            </w:r>
            <w:r>
              <w:rPr>
                <w:rFonts w:ascii="宋体" w:hAnsi="宋体" w:cs="宋体"/>
                <w:color w:val="auto"/>
                <w:sz w:val="18"/>
                <w:szCs w:val="18"/>
                <w:highlight w:val="none"/>
              </w:rPr>
              <w:t>航道里程</w:t>
            </w:r>
            <w:r>
              <w:rPr>
                <w:rFonts w:ascii="宋体" w:hAnsi="宋体" w:cs="宋体"/>
                <w:b/>
                <w:bCs/>
                <w:color w:val="auto"/>
                <w:sz w:val="18"/>
                <w:szCs w:val="18"/>
                <w:highlight w:val="none"/>
              </w:rPr>
              <w:t>50-1</w:t>
            </w:r>
            <w:r>
              <w:rPr>
                <w:rFonts w:hint="eastAsia" w:ascii="宋体" w:hAnsi="宋体" w:cs="宋体"/>
                <w:b/>
                <w:bCs/>
                <w:color w:val="auto"/>
                <w:sz w:val="18"/>
                <w:szCs w:val="18"/>
                <w:highlight w:val="none"/>
              </w:rPr>
              <w:t>0</w:t>
            </w:r>
            <w:r>
              <w:rPr>
                <w:rFonts w:ascii="宋体" w:hAnsi="宋体" w:cs="宋体"/>
                <w:b/>
                <w:bCs/>
                <w:color w:val="auto"/>
                <w:sz w:val="18"/>
                <w:szCs w:val="18"/>
                <w:highlight w:val="none"/>
              </w:rPr>
              <w:t>0公里</w:t>
            </w:r>
            <w:r>
              <w:rPr>
                <w:rFonts w:hint="eastAsia" w:ascii="宋体" w:hAnsi="宋体" w:cs="宋体"/>
                <w:color w:val="auto"/>
                <w:sz w:val="18"/>
                <w:szCs w:val="18"/>
                <w:highlight w:val="none"/>
              </w:rPr>
              <w:t>内河</w:t>
            </w:r>
            <w:r>
              <w:rPr>
                <w:rFonts w:hint="eastAsia" w:ascii="宋体" w:hAnsi="宋体" w:cs="宋体"/>
                <w:b/>
                <w:bCs/>
                <w:color w:val="auto"/>
                <w:sz w:val="18"/>
                <w:szCs w:val="18"/>
                <w:highlight w:val="none"/>
              </w:rPr>
              <w:t>500吨级</w:t>
            </w:r>
            <w:r>
              <w:rPr>
                <w:rFonts w:hint="eastAsia" w:ascii="宋体" w:hAnsi="宋体" w:cs="宋体"/>
                <w:color w:val="auto"/>
                <w:sz w:val="18"/>
                <w:szCs w:val="18"/>
                <w:highlight w:val="none"/>
              </w:rPr>
              <w:t>航道工程和</w:t>
            </w:r>
            <w:r>
              <w:rPr>
                <w:rFonts w:hint="eastAsia" w:ascii="宋体" w:hAnsi="宋体" w:cs="宋体"/>
                <w:b/>
                <w:bCs/>
                <w:color w:val="auto"/>
                <w:sz w:val="18"/>
                <w:szCs w:val="18"/>
                <w:highlight w:val="none"/>
              </w:rPr>
              <w:t>1000吨级</w:t>
            </w:r>
            <w:r>
              <w:rPr>
                <w:rFonts w:hint="eastAsia" w:ascii="宋体" w:hAnsi="宋体" w:cs="宋体"/>
                <w:color w:val="auto"/>
                <w:sz w:val="18"/>
                <w:szCs w:val="18"/>
                <w:highlight w:val="none"/>
              </w:rPr>
              <w:t>船闸工程，每增加一项加1</w:t>
            </w:r>
            <w:r>
              <w:rPr>
                <w:rFonts w:ascii="宋体" w:hAnsi="宋体" w:cs="宋体"/>
                <w:color w:val="auto"/>
                <w:sz w:val="18"/>
                <w:szCs w:val="18"/>
                <w:highlight w:val="none"/>
              </w:rPr>
              <w:t>.</w:t>
            </w:r>
            <w:r>
              <w:rPr>
                <w:rFonts w:hint="eastAsia" w:ascii="宋体" w:hAnsi="宋体" w:cs="宋体"/>
                <w:color w:val="auto"/>
                <w:sz w:val="18"/>
                <w:szCs w:val="18"/>
                <w:highlight w:val="none"/>
              </w:rPr>
              <w:t>0分；航道里程</w:t>
            </w:r>
            <w:r>
              <w:rPr>
                <w:rFonts w:hint="eastAsia" w:ascii="宋体" w:hAnsi="宋体" w:cs="宋体"/>
                <w:b/>
                <w:bCs/>
                <w:color w:val="auto"/>
                <w:sz w:val="18"/>
                <w:szCs w:val="18"/>
                <w:highlight w:val="none"/>
              </w:rPr>
              <w:t>50-100公里</w:t>
            </w:r>
            <w:r>
              <w:rPr>
                <w:rFonts w:hint="eastAsia" w:ascii="宋体" w:hAnsi="宋体" w:cs="宋体"/>
                <w:color w:val="auto"/>
                <w:sz w:val="18"/>
                <w:szCs w:val="18"/>
                <w:highlight w:val="none"/>
              </w:rPr>
              <w:t>内河</w:t>
            </w:r>
            <w:r>
              <w:rPr>
                <w:rFonts w:hint="eastAsia" w:ascii="宋体" w:hAnsi="宋体" w:cs="宋体"/>
                <w:b/>
                <w:bCs/>
                <w:color w:val="auto"/>
                <w:sz w:val="18"/>
                <w:szCs w:val="18"/>
                <w:highlight w:val="none"/>
              </w:rPr>
              <w:t>500吨级以上</w:t>
            </w:r>
            <w:r>
              <w:rPr>
                <w:rFonts w:hint="eastAsia" w:ascii="宋体" w:hAnsi="宋体" w:cs="宋体"/>
                <w:color w:val="auto"/>
                <w:sz w:val="18"/>
                <w:szCs w:val="18"/>
                <w:highlight w:val="none"/>
              </w:rPr>
              <w:t>航道工程和</w:t>
            </w:r>
            <w:r>
              <w:rPr>
                <w:rFonts w:hint="eastAsia" w:ascii="宋体" w:hAnsi="宋体" w:cs="宋体"/>
                <w:b/>
                <w:bCs/>
                <w:color w:val="auto"/>
                <w:sz w:val="18"/>
                <w:szCs w:val="18"/>
                <w:highlight w:val="none"/>
              </w:rPr>
              <w:t>1000吨级以上</w:t>
            </w:r>
            <w:r>
              <w:rPr>
                <w:rFonts w:hint="eastAsia" w:ascii="宋体" w:hAnsi="宋体" w:cs="宋体"/>
                <w:color w:val="auto"/>
                <w:sz w:val="18"/>
                <w:szCs w:val="18"/>
                <w:highlight w:val="none"/>
              </w:rPr>
              <w:t>船闸工程，每增加一项加2.0分；</w:t>
            </w:r>
            <w:r>
              <w:rPr>
                <w:rFonts w:ascii="宋体" w:hAnsi="宋体" w:cs="宋体"/>
                <w:color w:val="auto"/>
                <w:sz w:val="18"/>
                <w:szCs w:val="18"/>
                <w:highlight w:val="none"/>
              </w:rPr>
              <w:t>航道里程</w:t>
            </w:r>
            <w:r>
              <w:rPr>
                <w:rFonts w:ascii="宋体" w:hAnsi="宋体" w:cs="宋体"/>
                <w:b/>
                <w:bCs/>
                <w:color w:val="auto"/>
                <w:sz w:val="18"/>
                <w:szCs w:val="18"/>
                <w:highlight w:val="none"/>
              </w:rPr>
              <w:t>≥1</w:t>
            </w:r>
            <w:r>
              <w:rPr>
                <w:rFonts w:hint="eastAsia" w:ascii="宋体" w:hAnsi="宋体" w:cs="宋体"/>
                <w:b/>
                <w:bCs/>
                <w:color w:val="auto"/>
                <w:sz w:val="18"/>
                <w:szCs w:val="18"/>
                <w:highlight w:val="none"/>
              </w:rPr>
              <w:t>0</w:t>
            </w:r>
            <w:r>
              <w:rPr>
                <w:rFonts w:ascii="宋体" w:hAnsi="宋体" w:cs="宋体"/>
                <w:b/>
                <w:bCs/>
                <w:color w:val="auto"/>
                <w:sz w:val="18"/>
                <w:szCs w:val="18"/>
                <w:highlight w:val="none"/>
              </w:rPr>
              <w:t>0</w:t>
            </w:r>
            <w:r>
              <w:rPr>
                <w:rFonts w:hint="eastAsia" w:ascii="宋体" w:hAnsi="宋体" w:cs="宋体"/>
                <w:b/>
                <w:bCs/>
                <w:color w:val="auto"/>
                <w:sz w:val="18"/>
                <w:szCs w:val="18"/>
                <w:highlight w:val="none"/>
              </w:rPr>
              <w:t>公里</w:t>
            </w:r>
            <w:r>
              <w:rPr>
                <w:rFonts w:hint="eastAsia" w:ascii="宋体" w:hAnsi="宋体" w:cs="宋体"/>
                <w:color w:val="auto"/>
                <w:sz w:val="18"/>
                <w:szCs w:val="18"/>
                <w:highlight w:val="none"/>
              </w:rPr>
              <w:t>的内河</w:t>
            </w:r>
            <w:r>
              <w:rPr>
                <w:rFonts w:hint="eastAsia" w:ascii="宋体" w:hAnsi="宋体" w:cs="宋体"/>
                <w:b/>
                <w:bCs/>
                <w:color w:val="auto"/>
                <w:sz w:val="18"/>
                <w:szCs w:val="18"/>
                <w:highlight w:val="none"/>
              </w:rPr>
              <w:t>500吨级以上</w:t>
            </w:r>
            <w:r>
              <w:rPr>
                <w:rFonts w:hint="eastAsia" w:ascii="宋体" w:hAnsi="宋体" w:cs="宋体"/>
                <w:color w:val="auto"/>
                <w:sz w:val="18"/>
                <w:szCs w:val="18"/>
                <w:highlight w:val="none"/>
              </w:rPr>
              <w:t>航道工程和</w:t>
            </w:r>
            <w:r>
              <w:rPr>
                <w:rFonts w:hint="eastAsia" w:ascii="宋体" w:hAnsi="宋体" w:cs="宋体"/>
                <w:b/>
                <w:bCs/>
                <w:color w:val="auto"/>
                <w:sz w:val="18"/>
                <w:szCs w:val="18"/>
                <w:highlight w:val="none"/>
              </w:rPr>
              <w:t>1000吨级以上</w:t>
            </w:r>
            <w:r>
              <w:rPr>
                <w:rFonts w:hint="eastAsia" w:ascii="宋体" w:hAnsi="宋体" w:cs="宋体"/>
                <w:color w:val="auto"/>
                <w:sz w:val="18"/>
                <w:szCs w:val="18"/>
                <w:highlight w:val="none"/>
              </w:rPr>
              <w:t>船闸工程，每增加一项</w:t>
            </w:r>
            <w:r>
              <w:rPr>
                <w:rFonts w:ascii="宋体" w:hAnsi="宋体" w:cs="宋体"/>
                <w:color w:val="auto"/>
                <w:sz w:val="18"/>
                <w:szCs w:val="18"/>
                <w:highlight w:val="none"/>
              </w:rPr>
              <w:t>加</w:t>
            </w:r>
            <w:r>
              <w:rPr>
                <w:rFonts w:hint="eastAsia" w:ascii="宋体" w:hAnsi="宋体" w:cs="宋体"/>
                <w:color w:val="auto"/>
                <w:sz w:val="18"/>
                <w:szCs w:val="18"/>
                <w:highlight w:val="none"/>
              </w:rPr>
              <w:t>3分</w:t>
            </w:r>
            <w:r>
              <w:rPr>
                <w:rFonts w:ascii="宋体" w:hAnsi="宋体" w:cs="宋体"/>
                <w:color w:val="auto"/>
                <w:sz w:val="18"/>
                <w:szCs w:val="18"/>
                <w:highlight w:val="none"/>
              </w:rPr>
              <w:t>；加满5分为止。）</w:t>
            </w:r>
          </w:p>
          <w:p>
            <w:pPr>
              <w:adjustRightInd w:val="0"/>
              <w:snapToGrid w:val="0"/>
              <w:spacing w:line="276" w:lineRule="auto"/>
              <w:ind w:firstLine="360" w:firstLineChars="200"/>
              <w:rPr>
                <w:rFonts w:ascii="宋体" w:hAnsi="宋体" w:cs="宋体"/>
                <w:color w:val="auto"/>
                <w:sz w:val="18"/>
                <w:szCs w:val="18"/>
                <w:highlight w:val="none"/>
              </w:rPr>
            </w:pPr>
            <w:r>
              <w:rPr>
                <w:rFonts w:ascii="宋体" w:hAnsi="宋体" w:cs="宋体"/>
                <w:color w:val="auto"/>
                <w:sz w:val="18"/>
                <w:szCs w:val="18"/>
                <w:highlight w:val="none"/>
              </w:rPr>
              <w:t>1</w:t>
            </w:r>
            <w:r>
              <w:rPr>
                <w:rFonts w:hint="eastAsia" w:ascii="宋体" w:hAnsi="宋体" w:cs="宋体"/>
                <w:color w:val="auto"/>
                <w:sz w:val="18"/>
                <w:szCs w:val="18"/>
                <w:highlight w:val="none"/>
              </w:rPr>
              <w:t>个航道工程</w:t>
            </w:r>
            <w:r>
              <w:rPr>
                <w:rFonts w:ascii="宋体" w:hAnsi="宋体" w:cs="宋体"/>
                <w:color w:val="auto"/>
                <w:sz w:val="18"/>
                <w:szCs w:val="18"/>
                <w:highlight w:val="none"/>
              </w:rPr>
              <w:t>和</w:t>
            </w:r>
            <w:r>
              <w:rPr>
                <w:rFonts w:hint="eastAsia" w:ascii="宋体" w:hAnsi="宋体" w:cs="宋体"/>
                <w:color w:val="auto"/>
                <w:sz w:val="18"/>
                <w:szCs w:val="18"/>
                <w:highlight w:val="none"/>
              </w:rPr>
              <w:t>加1个船闸工程算1个</w:t>
            </w:r>
            <w:r>
              <w:rPr>
                <w:rFonts w:ascii="宋体" w:hAnsi="宋体" w:cs="宋体"/>
                <w:color w:val="auto"/>
                <w:sz w:val="18"/>
                <w:szCs w:val="18"/>
                <w:highlight w:val="none"/>
              </w:rPr>
              <w:t>业绩，航道和船闸工程</w:t>
            </w:r>
            <w:r>
              <w:rPr>
                <w:rFonts w:hint="eastAsia" w:ascii="宋体" w:hAnsi="宋体" w:cs="宋体"/>
                <w:color w:val="auto"/>
                <w:sz w:val="18"/>
                <w:szCs w:val="18"/>
                <w:highlight w:val="none"/>
              </w:rPr>
              <w:t>可不</w:t>
            </w:r>
            <w:r>
              <w:rPr>
                <w:rFonts w:ascii="宋体" w:hAnsi="宋体" w:cs="宋体"/>
                <w:color w:val="auto"/>
                <w:sz w:val="18"/>
                <w:szCs w:val="18"/>
                <w:highlight w:val="none"/>
              </w:rPr>
              <w:t>在同一项目</w:t>
            </w:r>
            <w:r>
              <w:rPr>
                <w:rFonts w:hint="eastAsia" w:ascii="宋体" w:hAnsi="宋体" w:cs="宋体"/>
                <w:color w:val="auto"/>
                <w:sz w:val="18"/>
                <w:szCs w:val="18"/>
                <w:highlight w:val="none"/>
              </w:rPr>
              <w:t>。</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业绩计算时间：以工程初步设计或施工图设计的批复时间为准，同一业绩不重复加分。</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投标人为联合体的，成员方仅勘察业绩可以计算在内。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9"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508"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拟投入本项目的人员资格和能力</w:t>
            </w:r>
          </w:p>
        </w:tc>
        <w:tc>
          <w:tcPr>
            <w:tcW w:w="701"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lang w:val="en-US" w:eastAsia="zh-CN"/>
              </w:rPr>
              <w:t>10</w:t>
            </w:r>
            <w:r>
              <w:rPr>
                <w:rFonts w:hint="eastAsia" w:ascii="宋体" w:hAnsi="宋体" w:cs="宋体"/>
                <w:color w:val="auto"/>
                <w:sz w:val="18"/>
                <w:szCs w:val="18"/>
                <w:highlight w:val="none"/>
              </w:rPr>
              <w:t>分</w:t>
            </w:r>
          </w:p>
        </w:tc>
        <w:tc>
          <w:tcPr>
            <w:tcW w:w="150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项目负责人和各分项负责人任职资格与业绩</w:t>
            </w:r>
          </w:p>
        </w:tc>
        <w:tc>
          <w:tcPr>
            <w:tcW w:w="71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lang w:val="en-US" w:eastAsia="zh-CN"/>
              </w:rPr>
              <w:t>10</w:t>
            </w:r>
            <w:r>
              <w:rPr>
                <w:rFonts w:hint="eastAsia" w:ascii="宋体" w:hAnsi="宋体" w:cs="宋体"/>
                <w:color w:val="auto"/>
                <w:sz w:val="18"/>
                <w:szCs w:val="18"/>
                <w:highlight w:val="none"/>
              </w:rPr>
              <w:t>分</w:t>
            </w:r>
          </w:p>
        </w:tc>
        <w:tc>
          <w:tcPr>
            <w:tcW w:w="3476" w:type="dxa"/>
            <w:vAlign w:val="center"/>
          </w:tcPr>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项目参与主要人员满足资格审查强制性履约标准的，计</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分；</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项目负责人参与的水运项目近8年内（2013年12月1日至投标截止时间）获省部级及以上设计奖的，每个加</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分，本项加满</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分止。附获奖证书或文件，时间以证书或文件颁布时间为准。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Merge w:val="restart"/>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508" w:type="dxa"/>
            <w:vMerge w:val="restart"/>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投标人的信誉</w:t>
            </w:r>
          </w:p>
        </w:tc>
        <w:tc>
          <w:tcPr>
            <w:tcW w:w="701" w:type="dxa"/>
            <w:vMerge w:val="restart"/>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5</w:t>
            </w:r>
            <w:r>
              <w:rPr>
                <w:rFonts w:hint="eastAsia" w:ascii="宋体" w:hAnsi="宋体" w:cs="宋体"/>
                <w:color w:val="auto"/>
                <w:sz w:val="18"/>
                <w:szCs w:val="18"/>
                <w:highlight w:val="none"/>
              </w:rPr>
              <w:t>分</w:t>
            </w:r>
          </w:p>
        </w:tc>
        <w:tc>
          <w:tcPr>
            <w:tcW w:w="150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资质证书及等级</w:t>
            </w:r>
          </w:p>
        </w:tc>
        <w:tc>
          <w:tcPr>
            <w:tcW w:w="714"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2</w:t>
            </w:r>
            <w:r>
              <w:rPr>
                <w:rFonts w:hint="eastAsia" w:ascii="宋体" w:hAnsi="宋体" w:cs="宋体"/>
                <w:color w:val="auto"/>
                <w:sz w:val="18"/>
                <w:szCs w:val="18"/>
                <w:highlight w:val="none"/>
              </w:rPr>
              <w:t>分</w:t>
            </w:r>
          </w:p>
        </w:tc>
        <w:tc>
          <w:tcPr>
            <w:tcW w:w="3476" w:type="dxa"/>
            <w:vAlign w:val="center"/>
          </w:tcPr>
          <w:p>
            <w:pPr>
              <w:adjustRightInd w:val="0"/>
              <w:snapToGrid w:val="0"/>
              <w:spacing w:line="276"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资质证书及等级满足资格审查强制性履约标准的，计2分。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9"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Merge w:val="continue"/>
            <w:vAlign w:val="center"/>
          </w:tcPr>
          <w:p>
            <w:pPr>
              <w:adjustRightInd w:val="0"/>
              <w:snapToGrid w:val="0"/>
              <w:jc w:val="center"/>
              <w:rPr>
                <w:rFonts w:ascii="宋体" w:hAnsi="宋体" w:cs="宋体"/>
                <w:color w:val="auto"/>
                <w:sz w:val="18"/>
                <w:szCs w:val="18"/>
                <w:highlight w:val="none"/>
              </w:rPr>
            </w:pPr>
          </w:p>
        </w:tc>
        <w:tc>
          <w:tcPr>
            <w:tcW w:w="1508" w:type="dxa"/>
            <w:vMerge w:val="continue"/>
            <w:vAlign w:val="center"/>
          </w:tcPr>
          <w:p>
            <w:pPr>
              <w:adjustRightInd w:val="0"/>
              <w:snapToGrid w:val="0"/>
              <w:jc w:val="center"/>
              <w:rPr>
                <w:rFonts w:ascii="宋体" w:hAnsi="宋体" w:cs="宋体"/>
                <w:color w:val="auto"/>
                <w:sz w:val="18"/>
                <w:szCs w:val="18"/>
                <w:highlight w:val="none"/>
              </w:rPr>
            </w:pPr>
          </w:p>
        </w:tc>
        <w:tc>
          <w:tcPr>
            <w:tcW w:w="701" w:type="dxa"/>
            <w:vMerge w:val="continue"/>
            <w:vAlign w:val="center"/>
          </w:tcPr>
          <w:p>
            <w:pPr>
              <w:adjustRightInd w:val="0"/>
              <w:snapToGrid w:val="0"/>
              <w:jc w:val="center"/>
              <w:rPr>
                <w:rFonts w:ascii="宋体" w:hAnsi="宋体" w:cs="宋体"/>
                <w:color w:val="auto"/>
                <w:sz w:val="18"/>
                <w:szCs w:val="18"/>
                <w:highlight w:val="none"/>
              </w:rPr>
            </w:pPr>
          </w:p>
        </w:tc>
        <w:tc>
          <w:tcPr>
            <w:tcW w:w="1504" w:type="dxa"/>
            <w:vAlign w:val="center"/>
          </w:tcPr>
          <w:p>
            <w:pPr>
              <w:adjustRightInd w:val="0"/>
              <w:snapToGrid w:val="0"/>
              <w:jc w:val="center"/>
              <w:rPr>
                <w:rFonts w:ascii="宋体" w:hAnsi="宋体" w:cs="宋体"/>
                <w:color w:val="auto"/>
                <w:sz w:val="18"/>
                <w:szCs w:val="18"/>
                <w:highlight w:val="none"/>
              </w:rPr>
            </w:pPr>
            <w:r>
              <w:rPr>
                <w:rFonts w:hint="eastAsia" w:ascii="宋体" w:hAnsi="宋体"/>
                <w:color w:val="auto"/>
                <w:sz w:val="18"/>
                <w:szCs w:val="18"/>
                <w:highlight w:val="none"/>
              </w:rPr>
              <w:t>履约能力和信誉</w:t>
            </w:r>
          </w:p>
        </w:tc>
        <w:tc>
          <w:tcPr>
            <w:tcW w:w="714" w:type="dxa"/>
            <w:vAlign w:val="center"/>
          </w:tcPr>
          <w:p>
            <w:pPr>
              <w:adjustRightInd w:val="0"/>
              <w:snapToGrid w:val="0"/>
              <w:ind w:firstLine="181"/>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3</w:t>
            </w:r>
            <w:r>
              <w:rPr>
                <w:rFonts w:hint="eastAsia" w:ascii="宋体" w:hAnsi="宋体" w:cs="宋体"/>
                <w:color w:val="auto"/>
                <w:sz w:val="18"/>
                <w:szCs w:val="18"/>
                <w:highlight w:val="none"/>
              </w:rPr>
              <w:t>分</w:t>
            </w:r>
          </w:p>
        </w:tc>
        <w:tc>
          <w:tcPr>
            <w:tcW w:w="3476"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sz w:val="18"/>
                <w:szCs w:val="18"/>
                <w:highlight w:val="none"/>
              </w:rPr>
              <w:t>2020年信用等级按下表加分</w:t>
            </w:r>
          </w:p>
          <w:tbl>
            <w:tblPr>
              <w:tblStyle w:val="3"/>
              <w:tblW w:w="2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7"/>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最终信用等级</w:t>
                  </w:r>
                </w:p>
              </w:tc>
              <w:tc>
                <w:tcPr>
                  <w:tcW w:w="567"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AA</w:t>
                  </w:r>
                </w:p>
              </w:tc>
              <w:tc>
                <w:tcPr>
                  <w:tcW w:w="709"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A</w:t>
                  </w:r>
                </w:p>
              </w:tc>
              <w:tc>
                <w:tcPr>
                  <w:tcW w:w="567"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取值</w:t>
                  </w:r>
                </w:p>
              </w:tc>
              <w:tc>
                <w:tcPr>
                  <w:tcW w:w="567"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+3</w:t>
                  </w:r>
                </w:p>
              </w:tc>
              <w:tc>
                <w:tcPr>
                  <w:tcW w:w="709"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2</w:t>
                  </w:r>
                </w:p>
              </w:tc>
              <w:tc>
                <w:tcPr>
                  <w:tcW w:w="567" w:type="dxa"/>
                  <w:vAlign w:val="center"/>
                </w:tcPr>
                <w:p>
                  <w:pPr>
                    <w:widowControl/>
                    <w:jc w:val="center"/>
                    <w:rPr>
                      <w:rFonts w:ascii="宋体" w:hAnsi="宋体" w:cs="宋体"/>
                      <w:color w:val="auto"/>
                      <w:kern w:val="0"/>
                      <w:szCs w:val="21"/>
                      <w:highlight w:val="none"/>
                    </w:rPr>
                  </w:pPr>
                  <w:r>
                    <w:rPr>
                      <w:rFonts w:hint="eastAsia" w:ascii="宋体" w:hAnsi="宋体" w:cs="宋体"/>
                      <w:color w:val="auto"/>
                      <w:sz w:val="18"/>
                      <w:szCs w:val="18"/>
                      <w:highlight w:val="none"/>
                    </w:rPr>
                    <w:t>0</w:t>
                  </w:r>
                </w:p>
              </w:tc>
            </w:tr>
          </w:tbl>
          <w:p>
            <w:pPr>
              <w:ind w:firstLine="360" w:firstLineChars="200"/>
              <w:rPr>
                <w:rFonts w:ascii="宋体" w:hAnsi="宋体" w:cs="宋体"/>
                <w:color w:val="auto"/>
                <w:sz w:val="18"/>
                <w:szCs w:val="18"/>
                <w:highlight w:val="none"/>
              </w:rPr>
            </w:pPr>
            <w:r>
              <w:rPr>
                <w:rFonts w:hint="eastAsia" w:ascii="宋体" w:hAnsi="宋体"/>
                <w:color w:val="auto"/>
                <w:sz w:val="18"/>
                <w:szCs w:val="18"/>
                <w:highlight w:val="none"/>
              </w:rPr>
              <w:t>注：</w:t>
            </w:r>
            <w:r>
              <w:rPr>
                <w:rFonts w:hint="eastAsia" w:ascii="宋体" w:hAnsi="宋体" w:cs="宋体"/>
                <w:color w:val="auto"/>
                <w:sz w:val="18"/>
                <w:szCs w:val="18"/>
                <w:highlight w:val="none"/>
              </w:rPr>
              <w:t>信用等级按湖南省</w:t>
            </w:r>
            <w:r>
              <w:rPr>
                <w:rFonts w:ascii="宋体" w:hAnsi="宋体" w:cs="宋体"/>
                <w:color w:val="auto"/>
                <w:sz w:val="18"/>
                <w:szCs w:val="18"/>
                <w:highlight w:val="none"/>
              </w:rPr>
              <w:t>交通运输厅发布的水运</w:t>
            </w:r>
            <w:r>
              <w:rPr>
                <w:rFonts w:hint="eastAsia" w:ascii="宋体" w:hAnsi="宋体" w:cs="宋体"/>
                <w:color w:val="auto"/>
                <w:sz w:val="18"/>
                <w:szCs w:val="18"/>
                <w:highlight w:val="none"/>
              </w:rPr>
              <w:t>工程</w:t>
            </w:r>
            <w:r>
              <w:rPr>
                <w:rFonts w:ascii="宋体" w:hAnsi="宋体" w:cs="宋体"/>
                <w:color w:val="auto"/>
                <w:sz w:val="18"/>
                <w:szCs w:val="18"/>
                <w:highlight w:val="none"/>
              </w:rPr>
              <w:t>设计</w:t>
            </w:r>
            <w:r>
              <w:rPr>
                <w:rFonts w:hint="eastAsia" w:ascii="宋体" w:hAnsi="宋体" w:cs="宋体"/>
                <w:color w:val="auto"/>
                <w:sz w:val="18"/>
                <w:szCs w:val="18"/>
                <w:highlight w:val="none"/>
              </w:rPr>
              <w:t>企业</w:t>
            </w:r>
            <w:r>
              <w:rPr>
                <w:rFonts w:ascii="宋体" w:hAnsi="宋体" w:cs="宋体"/>
                <w:color w:val="auto"/>
                <w:sz w:val="18"/>
                <w:szCs w:val="18"/>
                <w:highlight w:val="none"/>
              </w:rPr>
              <w:t>信用评价结果为准，</w:t>
            </w:r>
            <w:r>
              <w:rPr>
                <w:rFonts w:hint="eastAsia" w:ascii="宋体" w:hAnsi="宋体" w:cs="宋体"/>
                <w:color w:val="auto"/>
                <w:sz w:val="18"/>
                <w:szCs w:val="18"/>
                <w:highlight w:val="none"/>
              </w:rPr>
              <w:t>企业</w:t>
            </w:r>
            <w:r>
              <w:rPr>
                <w:rFonts w:ascii="宋体" w:hAnsi="宋体" w:cs="宋体"/>
                <w:color w:val="auto"/>
                <w:sz w:val="18"/>
                <w:szCs w:val="18"/>
                <w:highlight w:val="none"/>
              </w:rPr>
              <w:t>无</w:t>
            </w:r>
            <w:r>
              <w:rPr>
                <w:rFonts w:hint="eastAsia" w:ascii="宋体" w:hAnsi="宋体" w:cs="宋体"/>
                <w:color w:val="auto"/>
                <w:sz w:val="18"/>
                <w:szCs w:val="18"/>
                <w:highlight w:val="none"/>
              </w:rPr>
              <w:t>湖南省</w:t>
            </w:r>
            <w:r>
              <w:rPr>
                <w:rFonts w:ascii="宋体" w:hAnsi="宋体" w:cs="宋体"/>
                <w:color w:val="auto"/>
                <w:sz w:val="18"/>
                <w:szCs w:val="18"/>
                <w:highlight w:val="none"/>
              </w:rPr>
              <w:t>交通运输厅发布</w:t>
            </w:r>
            <w:r>
              <w:rPr>
                <w:rFonts w:hint="eastAsia" w:ascii="宋体" w:hAnsi="宋体" w:cs="宋体"/>
                <w:color w:val="auto"/>
                <w:sz w:val="18"/>
                <w:szCs w:val="18"/>
                <w:highlight w:val="none"/>
              </w:rPr>
              <w:t>企业</w:t>
            </w:r>
            <w:r>
              <w:rPr>
                <w:rFonts w:ascii="宋体" w:hAnsi="宋体" w:cs="宋体"/>
                <w:color w:val="auto"/>
                <w:sz w:val="18"/>
                <w:szCs w:val="18"/>
                <w:highlight w:val="none"/>
              </w:rPr>
              <w:t>信用</w:t>
            </w:r>
            <w:r>
              <w:rPr>
                <w:rFonts w:hint="eastAsia" w:ascii="宋体" w:hAnsi="宋体" w:cs="宋体"/>
                <w:color w:val="auto"/>
                <w:sz w:val="18"/>
                <w:szCs w:val="18"/>
                <w:highlight w:val="none"/>
              </w:rPr>
              <w:t>等级</w:t>
            </w:r>
            <w:r>
              <w:rPr>
                <w:rFonts w:ascii="宋体" w:hAnsi="宋体" w:cs="宋体"/>
                <w:color w:val="auto"/>
                <w:sz w:val="18"/>
                <w:szCs w:val="18"/>
                <w:highlight w:val="none"/>
              </w:rPr>
              <w:t>的，按交通运输部发布</w:t>
            </w:r>
            <w:r>
              <w:rPr>
                <w:rFonts w:hint="eastAsia" w:ascii="宋体" w:hAnsi="宋体" w:cs="宋体"/>
                <w:color w:val="auto"/>
                <w:sz w:val="18"/>
                <w:szCs w:val="18"/>
                <w:highlight w:val="none"/>
              </w:rPr>
              <w:t>的</w:t>
            </w:r>
            <w:r>
              <w:rPr>
                <w:rFonts w:ascii="宋体" w:hAnsi="宋体" w:cs="宋体"/>
                <w:color w:val="auto"/>
                <w:sz w:val="18"/>
                <w:szCs w:val="18"/>
                <w:highlight w:val="none"/>
              </w:rPr>
              <w:t>信用</w:t>
            </w:r>
            <w:r>
              <w:rPr>
                <w:rFonts w:hint="eastAsia" w:ascii="宋体" w:hAnsi="宋体" w:cs="宋体"/>
                <w:color w:val="auto"/>
                <w:sz w:val="18"/>
                <w:szCs w:val="18"/>
                <w:highlight w:val="none"/>
              </w:rPr>
              <w:t>等级结果进行评分；投标人为联合体，以牵头方的企业信用评价等级为准。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10"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508"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投标报价</w:t>
            </w:r>
          </w:p>
        </w:tc>
        <w:tc>
          <w:tcPr>
            <w:tcW w:w="701" w:type="dxa"/>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10分</w:t>
            </w:r>
          </w:p>
        </w:tc>
        <w:tc>
          <w:tcPr>
            <w:tcW w:w="5694" w:type="dxa"/>
            <w:gridSpan w:val="3"/>
            <w:vAlign w:val="center"/>
          </w:tcPr>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投标价得分计算公式示例：</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（1）如果投标人的工程设计费投标报价&gt;评标基准价，则投标报价得分=P-偏差率×100×E1；</w:t>
            </w:r>
          </w:p>
          <w:p>
            <w:pPr>
              <w:adjustRightInd w:val="0"/>
              <w:snapToGrid w:val="0"/>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（2）如果投标人的工程设计费投标报价≤评标基准价，则投标报价得分=P+偏差率×100×E2；</w:t>
            </w:r>
          </w:p>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其中：P是投标报价所占的评分满分值；E1是投标报价高于评标基准价的扣分值；E2是投标报价低于评标基准价的扣分值。招标人可依据招标项目具体特点和实际需要设置E1、E2，但E1应大于E2。</w:t>
            </w:r>
          </w:p>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本招标项目的E1</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0</w:t>
            </w:r>
            <w:r>
              <w:rPr>
                <w:rFonts w:ascii="宋体" w:hAnsi="宋体" w:cs="宋体"/>
                <w:color w:val="auto"/>
                <w:sz w:val="18"/>
                <w:szCs w:val="18"/>
                <w:highlight w:val="none"/>
              </w:rPr>
              <w:t>.</w:t>
            </w:r>
            <w:r>
              <w:rPr>
                <w:rFonts w:hint="eastAsia" w:ascii="宋体" w:hAnsi="宋体" w:cs="宋体"/>
                <w:color w:val="auto"/>
                <w:sz w:val="18"/>
                <w:szCs w:val="18"/>
                <w:highlight w:val="none"/>
              </w:rPr>
              <w:t>1，E2</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0.05。</w:t>
            </w:r>
          </w:p>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投标报价最低得分为0分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Merge w:val="restart"/>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508" w:type="dxa"/>
            <w:vMerge w:val="restart"/>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勘察设计总体思路和组织管理</w:t>
            </w:r>
          </w:p>
        </w:tc>
        <w:tc>
          <w:tcPr>
            <w:tcW w:w="701" w:type="dxa"/>
            <w:vMerge w:val="restart"/>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18</w:t>
            </w:r>
            <w:r>
              <w:rPr>
                <w:rFonts w:hint="eastAsia" w:ascii="宋体" w:hAnsi="宋体" w:cs="宋体"/>
                <w:color w:val="auto"/>
                <w:sz w:val="18"/>
                <w:szCs w:val="18"/>
                <w:highlight w:val="none"/>
              </w:rPr>
              <w:t>分</w:t>
            </w:r>
          </w:p>
        </w:tc>
        <w:tc>
          <w:tcPr>
            <w:tcW w:w="150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总体勘察设计思路</w:t>
            </w:r>
          </w:p>
        </w:tc>
        <w:tc>
          <w:tcPr>
            <w:tcW w:w="71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10</w:t>
            </w:r>
            <w:r>
              <w:rPr>
                <w:rFonts w:hint="eastAsia" w:ascii="宋体" w:hAnsi="宋体" w:cs="宋体"/>
                <w:color w:val="auto"/>
                <w:sz w:val="18"/>
                <w:szCs w:val="18"/>
                <w:highlight w:val="none"/>
              </w:rPr>
              <w:t>分</w:t>
            </w: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思路较清晰，基本符合项目实际情况的，计基本分7分，否则不计分；总体勘察设计思路清晰，符合实际情况的，可酌情加满至10分。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6"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restart"/>
            <w:vAlign w:val="center"/>
          </w:tcPr>
          <w:p>
            <w:pPr>
              <w:adjustRightInd w:val="0"/>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技术部分评分标准</w:t>
            </w:r>
          </w:p>
        </w:tc>
        <w:tc>
          <w:tcPr>
            <w:tcW w:w="736" w:type="dxa"/>
            <w:vMerge w:val="continue"/>
            <w:vAlign w:val="center"/>
          </w:tcPr>
          <w:p>
            <w:pPr>
              <w:adjustRightInd w:val="0"/>
              <w:snapToGrid w:val="0"/>
              <w:spacing w:line="276" w:lineRule="auto"/>
              <w:jc w:val="center"/>
              <w:rPr>
                <w:rFonts w:ascii="宋体" w:hAnsi="宋体" w:cs="宋体"/>
                <w:color w:val="auto"/>
                <w:sz w:val="18"/>
                <w:szCs w:val="18"/>
                <w:highlight w:val="none"/>
              </w:rPr>
            </w:pPr>
          </w:p>
        </w:tc>
        <w:tc>
          <w:tcPr>
            <w:tcW w:w="1508" w:type="dxa"/>
            <w:vMerge w:val="continue"/>
            <w:vAlign w:val="center"/>
          </w:tcPr>
          <w:p>
            <w:pPr>
              <w:adjustRightInd w:val="0"/>
              <w:snapToGrid w:val="0"/>
              <w:spacing w:line="276" w:lineRule="auto"/>
              <w:jc w:val="center"/>
              <w:rPr>
                <w:rFonts w:ascii="宋体" w:hAnsi="宋体" w:cs="宋体"/>
                <w:color w:val="auto"/>
                <w:sz w:val="18"/>
                <w:szCs w:val="18"/>
                <w:highlight w:val="none"/>
              </w:rPr>
            </w:pPr>
          </w:p>
        </w:tc>
        <w:tc>
          <w:tcPr>
            <w:tcW w:w="701" w:type="dxa"/>
            <w:vMerge w:val="continue"/>
            <w:vAlign w:val="center"/>
          </w:tcPr>
          <w:p>
            <w:pPr>
              <w:adjustRightInd w:val="0"/>
              <w:snapToGrid w:val="0"/>
              <w:spacing w:line="276" w:lineRule="auto"/>
              <w:jc w:val="center"/>
              <w:rPr>
                <w:rFonts w:ascii="宋体" w:hAnsi="宋体" w:cs="宋体"/>
                <w:color w:val="auto"/>
                <w:sz w:val="18"/>
                <w:szCs w:val="18"/>
                <w:highlight w:val="none"/>
              </w:rPr>
            </w:pPr>
          </w:p>
        </w:tc>
        <w:tc>
          <w:tcPr>
            <w:tcW w:w="1504"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组织管理</w:t>
            </w:r>
          </w:p>
        </w:tc>
        <w:tc>
          <w:tcPr>
            <w:tcW w:w="714"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8</w:t>
            </w:r>
            <w:r>
              <w:rPr>
                <w:rFonts w:hint="eastAsia" w:ascii="宋体" w:hAnsi="宋体" w:cs="宋体"/>
                <w:color w:val="auto"/>
                <w:sz w:val="18"/>
                <w:szCs w:val="18"/>
                <w:highlight w:val="none"/>
              </w:rPr>
              <w:t>分</w:t>
            </w:r>
          </w:p>
        </w:tc>
        <w:tc>
          <w:tcPr>
            <w:tcW w:w="3476" w:type="dxa"/>
            <w:vAlign w:val="center"/>
          </w:tcPr>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组织管理目的基本明确，人员、部门分工基本合理，结构基本科学，计基本分6分；组织管理目的明确，人员、部门分工合理，结构科学的，可酌情加满至8分。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4"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508"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关键技术问题和难点及其解决办法</w:t>
            </w:r>
          </w:p>
        </w:tc>
        <w:tc>
          <w:tcPr>
            <w:tcW w:w="701"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10</w:t>
            </w:r>
            <w:r>
              <w:rPr>
                <w:rFonts w:hint="eastAsia" w:ascii="宋体" w:hAnsi="宋体" w:cs="宋体"/>
                <w:color w:val="auto"/>
                <w:sz w:val="18"/>
                <w:szCs w:val="18"/>
                <w:highlight w:val="none"/>
              </w:rPr>
              <w:t>分</w:t>
            </w:r>
          </w:p>
        </w:tc>
        <w:tc>
          <w:tcPr>
            <w:tcW w:w="150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关键技术问题和难点的把握</w:t>
            </w:r>
          </w:p>
        </w:tc>
        <w:tc>
          <w:tcPr>
            <w:tcW w:w="71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10</w:t>
            </w:r>
            <w:r>
              <w:rPr>
                <w:rFonts w:hint="eastAsia" w:ascii="宋体" w:hAnsi="宋体" w:cs="宋体"/>
                <w:color w:val="auto"/>
                <w:sz w:val="18"/>
                <w:szCs w:val="18"/>
                <w:highlight w:val="none"/>
              </w:rPr>
              <w:t>分</w:t>
            </w: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把握基本准确，计基本分7分；把握基本准确，技术问题和难点的解决措施可行有效的且符合项目的实际情况，可酌情加满至10分。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508"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质量、安全、环保与健康管理措施</w:t>
            </w:r>
          </w:p>
        </w:tc>
        <w:tc>
          <w:tcPr>
            <w:tcW w:w="701"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p>
            <w:pPr>
              <w:snapToGrid w:val="0"/>
              <w:spacing w:line="276" w:lineRule="auto"/>
              <w:jc w:val="center"/>
              <w:rPr>
                <w:rFonts w:ascii="宋体" w:hAnsi="宋体" w:cs="宋体"/>
                <w:color w:val="auto"/>
                <w:sz w:val="18"/>
                <w:szCs w:val="18"/>
                <w:highlight w:val="none"/>
              </w:rPr>
            </w:pPr>
          </w:p>
        </w:tc>
        <w:tc>
          <w:tcPr>
            <w:tcW w:w="1504"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质量、安全、环保与健康管理措施</w:t>
            </w:r>
          </w:p>
        </w:tc>
        <w:tc>
          <w:tcPr>
            <w:tcW w:w="714"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p>
            <w:pPr>
              <w:adjustRightInd w:val="0"/>
              <w:snapToGrid w:val="0"/>
              <w:spacing w:line="276" w:lineRule="auto"/>
              <w:jc w:val="center"/>
              <w:rPr>
                <w:rFonts w:ascii="宋体" w:hAnsi="宋体" w:cs="宋体"/>
                <w:color w:val="auto"/>
                <w:sz w:val="18"/>
                <w:szCs w:val="18"/>
                <w:highlight w:val="none"/>
              </w:rPr>
            </w:pP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投标文件对质量、安全、环保与健康管理4个方面措施有基本描述，符合基本要求计基本分3分；措施科学、合理，满足工程实际要求，可酌情加满至4分。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9"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508" w:type="dxa"/>
            <w:vAlign w:val="center"/>
          </w:tcPr>
          <w:p>
            <w:pPr>
              <w:adjustRightInd w:val="0"/>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工程勘察纲要及设计方案（含工程造价测算）</w:t>
            </w:r>
          </w:p>
        </w:tc>
        <w:tc>
          <w:tcPr>
            <w:tcW w:w="701"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20</w:t>
            </w:r>
            <w:r>
              <w:rPr>
                <w:rFonts w:hint="eastAsia" w:ascii="宋体" w:hAnsi="宋体" w:cs="宋体"/>
                <w:color w:val="auto"/>
                <w:sz w:val="18"/>
                <w:szCs w:val="18"/>
                <w:highlight w:val="none"/>
              </w:rPr>
              <w:t>分</w:t>
            </w:r>
          </w:p>
        </w:tc>
        <w:tc>
          <w:tcPr>
            <w:tcW w:w="150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工程勘察纲要及工程设计方案</w:t>
            </w:r>
          </w:p>
        </w:tc>
        <w:tc>
          <w:tcPr>
            <w:tcW w:w="71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20</w:t>
            </w:r>
            <w:r>
              <w:rPr>
                <w:rFonts w:hint="eastAsia" w:ascii="宋体" w:hAnsi="宋体" w:cs="宋体"/>
                <w:color w:val="auto"/>
                <w:sz w:val="18"/>
                <w:szCs w:val="18"/>
                <w:highlight w:val="none"/>
              </w:rPr>
              <w:t>分</w:t>
            </w: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内容较充实，表述较清晰，基本可行，计基本分14分；内容充实，表述清晰，勘察纲要符合本工程实际，设计方案合理可行，工程造价合理，可酌情加满至20分。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8"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508"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工期与进度计划</w:t>
            </w:r>
          </w:p>
        </w:tc>
        <w:tc>
          <w:tcPr>
            <w:tcW w:w="701"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tc>
        <w:tc>
          <w:tcPr>
            <w:tcW w:w="150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工期与进度计划</w:t>
            </w:r>
          </w:p>
        </w:tc>
        <w:tc>
          <w:tcPr>
            <w:tcW w:w="71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工期响应招标文件要求，进度安排基本合理，计基本分3分；进度安排科学合理，有横道图或网络图且时间节点把握准确，可酌情加满至4分。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7" w:hRule="atLeast"/>
        </w:trPr>
        <w:tc>
          <w:tcPr>
            <w:tcW w:w="669" w:type="dxa"/>
            <w:vMerge w:val="continue"/>
            <w:vAlign w:val="center"/>
          </w:tcPr>
          <w:p>
            <w:pPr>
              <w:adjustRightInd w:val="0"/>
              <w:snapToGrid w:val="0"/>
              <w:jc w:val="center"/>
              <w:rPr>
                <w:rFonts w:ascii="宋体" w:hAnsi="宋体" w:cs="宋体"/>
                <w:color w:val="auto"/>
                <w:sz w:val="18"/>
                <w:szCs w:val="18"/>
                <w:highlight w:val="none"/>
              </w:rPr>
            </w:pPr>
          </w:p>
        </w:tc>
        <w:tc>
          <w:tcPr>
            <w:tcW w:w="396" w:type="dxa"/>
            <w:vMerge w:val="continue"/>
            <w:vAlign w:val="center"/>
          </w:tcPr>
          <w:p>
            <w:pPr>
              <w:adjustRightInd w:val="0"/>
              <w:snapToGrid w:val="0"/>
              <w:jc w:val="center"/>
              <w:rPr>
                <w:rFonts w:ascii="宋体" w:hAnsi="宋体" w:cs="宋体"/>
                <w:color w:val="auto"/>
                <w:sz w:val="18"/>
                <w:szCs w:val="18"/>
                <w:highlight w:val="none"/>
              </w:rPr>
            </w:pPr>
          </w:p>
        </w:tc>
        <w:tc>
          <w:tcPr>
            <w:tcW w:w="736" w:type="dxa"/>
            <w:vAlign w:val="center"/>
          </w:tcPr>
          <w:p>
            <w:pPr>
              <w:adjustRightInd w:val="0"/>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1508" w:type="dxa"/>
            <w:vAlign w:val="center"/>
          </w:tcPr>
          <w:p>
            <w:pPr>
              <w:adjustRightInd w:val="0"/>
              <w:snapToGrid w:val="0"/>
              <w:spacing w:line="276" w:lineRule="auto"/>
              <w:jc w:val="center"/>
              <w:rPr>
                <w:rFonts w:ascii="宋体" w:hAnsi="宋体" w:cs="宋体"/>
                <w:b/>
                <w:color w:val="auto"/>
                <w:sz w:val="24"/>
                <w:highlight w:val="none"/>
              </w:rPr>
            </w:pPr>
            <w:bookmarkStart w:id="74" w:name="_Toc358882260"/>
            <w:r>
              <w:rPr>
                <w:rFonts w:hint="eastAsia" w:ascii="宋体" w:hAnsi="宋体" w:cs="宋体"/>
                <w:color w:val="auto"/>
                <w:sz w:val="18"/>
                <w:szCs w:val="18"/>
                <w:highlight w:val="none"/>
              </w:rPr>
              <w:t>后续服务计划及保证措施</w:t>
            </w:r>
            <w:bookmarkEnd w:id="74"/>
          </w:p>
        </w:tc>
        <w:tc>
          <w:tcPr>
            <w:tcW w:w="701"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tc>
        <w:tc>
          <w:tcPr>
            <w:tcW w:w="1504" w:type="dxa"/>
            <w:vAlign w:val="center"/>
          </w:tcPr>
          <w:p>
            <w:pPr>
              <w:snapToGrid w:val="0"/>
              <w:spacing w:line="276" w:lineRule="auto"/>
              <w:jc w:val="center"/>
              <w:rPr>
                <w:rFonts w:ascii="宋体" w:hAnsi="宋体" w:cs="宋体"/>
                <w:b/>
                <w:color w:val="auto"/>
                <w:sz w:val="24"/>
                <w:highlight w:val="none"/>
              </w:rPr>
            </w:pPr>
            <w:r>
              <w:rPr>
                <w:rFonts w:hint="eastAsia" w:ascii="宋体" w:hAnsi="宋体" w:cs="宋体"/>
                <w:color w:val="auto"/>
                <w:sz w:val="18"/>
                <w:szCs w:val="18"/>
                <w:highlight w:val="none"/>
              </w:rPr>
              <w:t>后续服务计划及保证措施</w:t>
            </w:r>
          </w:p>
        </w:tc>
        <w:tc>
          <w:tcPr>
            <w:tcW w:w="714" w:type="dxa"/>
            <w:vAlign w:val="center"/>
          </w:tcPr>
          <w:p>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4</w:t>
            </w:r>
            <w:r>
              <w:rPr>
                <w:rFonts w:hint="eastAsia" w:ascii="宋体" w:hAnsi="宋体" w:cs="宋体"/>
                <w:color w:val="auto"/>
                <w:sz w:val="18"/>
                <w:szCs w:val="18"/>
                <w:highlight w:val="none"/>
              </w:rPr>
              <w:t>分</w:t>
            </w:r>
          </w:p>
        </w:tc>
        <w:tc>
          <w:tcPr>
            <w:tcW w:w="3476" w:type="dxa"/>
            <w:vAlign w:val="center"/>
          </w:tcPr>
          <w:p>
            <w:pPr>
              <w:snapToGrid w:val="0"/>
              <w:spacing w:line="276" w:lineRule="auto"/>
              <w:rPr>
                <w:rFonts w:ascii="宋体" w:hAnsi="宋体" w:cs="宋体"/>
                <w:color w:val="auto"/>
                <w:sz w:val="18"/>
                <w:szCs w:val="18"/>
                <w:highlight w:val="none"/>
              </w:rPr>
            </w:pPr>
            <w:r>
              <w:rPr>
                <w:rFonts w:hint="eastAsia" w:ascii="宋体" w:hAnsi="宋体" w:cs="宋体"/>
                <w:color w:val="auto"/>
                <w:sz w:val="18"/>
                <w:szCs w:val="18"/>
                <w:highlight w:val="none"/>
              </w:rPr>
              <w:t>有基本描述且后续服务满足基本要求，计基本分3分；计划详细，措施科学、合理，满足工程实际要求，可酌情加满至4分。</w:t>
            </w:r>
          </w:p>
        </w:tc>
      </w:tr>
    </w:tbl>
    <w:p>
      <w:pPr>
        <w:rPr>
          <w:rFonts w:ascii="宋体" w:hAnsi="宋体" w:cs="宋体"/>
          <w:b/>
          <w:color w:val="auto"/>
          <w:sz w:val="24"/>
          <w:highlight w:val="none"/>
        </w:rPr>
      </w:pPr>
      <w:bookmarkStart w:id="75" w:name="_Toc531101249"/>
      <w:bookmarkStart w:id="76" w:name="_Toc532205014"/>
      <w:bookmarkStart w:id="77" w:name="_Toc362252822"/>
      <w:bookmarkStart w:id="78" w:name="_Toc531092827"/>
      <w:bookmarkStart w:id="79" w:name="_Toc531092991"/>
      <w:r>
        <w:rPr>
          <w:rFonts w:hint="eastAsia" w:ascii="宋体" w:hAnsi="宋体" w:cs="宋体"/>
          <w:b/>
          <w:color w:val="auto"/>
          <w:sz w:val="24"/>
          <w:highlight w:val="none"/>
        </w:rPr>
        <w:br w:type="page"/>
      </w:r>
    </w:p>
    <w:p>
      <w:pPr>
        <w:spacing w:before="156" w:beforeLines="50" w:after="156" w:afterLines="50" w:line="276" w:lineRule="auto"/>
        <w:jc w:val="center"/>
        <w:outlineLvl w:val="0"/>
        <w:rPr>
          <w:rFonts w:ascii="宋体" w:hAnsi="宋体" w:cs="宋体"/>
          <w:b/>
          <w:color w:val="auto"/>
          <w:sz w:val="24"/>
          <w:highlight w:val="none"/>
        </w:rPr>
      </w:pPr>
      <w:bookmarkStart w:id="80" w:name="_Toc88848838"/>
      <w:r>
        <w:rPr>
          <w:rFonts w:hint="eastAsia" w:ascii="宋体" w:hAnsi="宋体" w:cs="宋体"/>
          <w:b/>
          <w:color w:val="auto"/>
          <w:sz w:val="24"/>
          <w:highlight w:val="none"/>
        </w:rPr>
        <w:t>1．评标方法</w:t>
      </w:r>
      <w:bookmarkEnd w:id="75"/>
      <w:bookmarkEnd w:id="76"/>
      <w:bookmarkEnd w:id="77"/>
      <w:bookmarkEnd w:id="78"/>
      <w:bookmarkEnd w:id="79"/>
      <w:bookmarkEnd w:id="80"/>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本章第2.2条规定的评分标准进行打分，并按得分由高到低顺序推荐中标候选人，或根据招标人授权直接确定中标人，综合评分相等时，以</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部分得分高的优先，</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部分得分也相等的，以报价得分高的优先。</w:t>
      </w:r>
    </w:p>
    <w:p>
      <w:pPr>
        <w:spacing w:before="156" w:beforeLines="50" w:after="156" w:afterLines="50" w:line="276" w:lineRule="auto"/>
        <w:jc w:val="center"/>
        <w:outlineLvl w:val="0"/>
        <w:rPr>
          <w:rFonts w:ascii="宋体" w:hAnsi="宋体" w:cs="宋体"/>
          <w:b/>
          <w:color w:val="auto"/>
          <w:sz w:val="24"/>
          <w:highlight w:val="none"/>
        </w:rPr>
      </w:pPr>
      <w:bookmarkStart w:id="81" w:name="_Toc532205015"/>
      <w:bookmarkStart w:id="82" w:name="_Toc88848839"/>
      <w:bookmarkStart w:id="83" w:name="_Toc531101250"/>
      <w:bookmarkStart w:id="84" w:name="_Toc531092992"/>
      <w:bookmarkStart w:id="85" w:name="_Toc362252823"/>
      <w:bookmarkStart w:id="86" w:name="_Toc531092828"/>
      <w:r>
        <w:rPr>
          <w:rFonts w:hint="eastAsia" w:ascii="宋体" w:hAnsi="宋体" w:cs="宋体"/>
          <w:b/>
          <w:color w:val="auto"/>
          <w:sz w:val="24"/>
          <w:highlight w:val="none"/>
        </w:rPr>
        <w:t>2．评审标准</w:t>
      </w:r>
      <w:bookmarkEnd w:id="81"/>
      <w:bookmarkEnd w:id="82"/>
      <w:bookmarkEnd w:id="83"/>
      <w:bookmarkEnd w:id="84"/>
      <w:bookmarkEnd w:id="85"/>
      <w:bookmarkEnd w:id="86"/>
    </w:p>
    <w:p>
      <w:pPr>
        <w:spacing w:line="276" w:lineRule="auto"/>
        <w:outlineLvl w:val="0"/>
        <w:rPr>
          <w:rFonts w:ascii="宋体" w:hAnsi="宋体" w:cs="宋体"/>
          <w:b/>
          <w:color w:val="auto"/>
          <w:szCs w:val="21"/>
          <w:highlight w:val="none"/>
        </w:rPr>
      </w:pPr>
      <w:bookmarkStart w:id="87" w:name="_Toc362252824"/>
      <w:bookmarkStart w:id="88" w:name="_Toc358883436"/>
      <w:bookmarkStart w:id="89" w:name="_Toc531102403"/>
      <w:bookmarkStart w:id="90" w:name="_Toc531092829"/>
      <w:bookmarkStart w:id="91" w:name="_Toc532205016"/>
      <w:bookmarkStart w:id="92" w:name="_Toc358474640"/>
      <w:bookmarkStart w:id="93" w:name="_Toc465004152"/>
      <w:bookmarkStart w:id="94" w:name="_Toc358474791"/>
      <w:bookmarkStart w:id="95" w:name="_Toc531101251"/>
      <w:bookmarkStart w:id="96" w:name="_Toc531092993"/>
      <w:bookmarkStart w:id="97" w:name="_Toc88848840"/>
      <w:r>
        <w:rPr>
          <w:rFonts w:hint="eastAsia" w:ascii="宋体" w:hAnsi="宋体" w:cs="宋体"/>
          <w:b/>
          <w:color w:val="auto"/>
          <w:szCs w:val="21"/>
          <w:highlight w:val="none"/>
        </w:rPr>
        <w:t>2.1 初步评审标准</w:t>
      </w:r>
      <w:bookmarkEnd w:id="87"/>
      <w:bookmarkEnd w:id="88"/>
      <w:bookmarkEnd w:id="89"/>
      <w:bookmarkEnd w:id="90"/>
      <w:bookmarkEnd w:id="91"/>
      <w:bookmarkEnd w:id="92"/>
      <w:bookmarkEnd w:id="93"/>
      <w:bookmarkEnd w:id="94"/>
      <w:bookmarkEnd w:id="95"/>
      <w:bookmarkEnd w:id="96"/>
      <w:bookmarkEnd w:id="97"/>
    </w:p>
    <w:p>
      <w:pPr>
        <w:spacing w:line="276"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2.1.1形式评审标准：见本章评标办法前附表。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2.1.2资格评审标准：见本章评标办法前附表（适用于未进行资格预审的）。</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2.1.3响应性评审标准：见本章评标办法前附表。</w:t>
      </w:r>
    </w:p>
    <w:p>
      <w:pPr>
        <w:spacing w:line="276" w:lineRule="auto"/>
        <w:outlineLvl w:val="0"/>
        <w:rPr>
          <w:rFonts w:ascii="宋体" w:hAnsi="宋体" w:cs="宋体"/>
          <w:b/>
          <w:color w:val="auto"/>
          <w:szCs w:val="21"/>
          <w:highlight w:val="none"/>
        </w:rPr>
      </w:pPr>
      <w:bookmarkStart w:id="98" w:name="_Toc362252825"/>
      <w:bookmarkStart w:id="99" w:name="_Toc358474641"/>
      <w:bookmarkStart w:id="100" w:name="_Toc358883437"/>
      <w:bookmarkStart w:id="101" w:name="_Toc531102404"/>
      <w:bookmarkStart w:id="102" w:name="_Toc532205017"/>
      <w:bookmarkStart w:id="103" w:name="_Toc531092994"/>
      <w:bookmarkStart w:id="104" w:name="_Toc531092830"/>
      <w:bookmarkStart w:id="105" w:name="_Toc358474792"/>
      <w:bookmarkStart w:id="106" w:name="_Toc531101252"/>
      <w:bookmarkStart w:id="107" w:name="_Toc88848841"/>
      <w:bookmarkStart w:id="108" w:name="_Toc465004153"/>
      <w:r>
        <w:rPr>
          <w:rFonts w:hint="eastAsia" w:ascii="宋体" w:hAnsi="宋体" w:cs="宋体"/>
          <w:b/>
          <w:color w:val="auto"/>
          <w:szCs w:val="21"/>
          <w:highlight w:val="none"/>
        </w:rPr>
        <w:t>2.2 分值构成与评分标准</w:t>
      </w:r>
      <w:bookmarkEnd w:id="98"/>
      <w:bookmarkEnd w:id="99"/>
      <w:bookmarkEnd w:id="100"/>
      <w:bookmarkEnd w:id="101"/>
      <w:bookmarkEnd w:id="102"/>
      <w:bookmarkEnd w:id="103"/>
      <w:bookmarkEnd w:id="104"/>
      <w:bookmarkEnd w:id="105"/>
      <w:bookmarkEnd w:id="106"/>
      <w:bookmarkEnd w:id="107"/>
      <w:bookmarkEnd w:id="108"/>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2.2.1分值构成</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以下各项分值构成见本章评标办法前附表。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商务部分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（1）投标人与项目类似的具体业绩；</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（2）拟投入本项目的人员资格和能力；</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（3）投标人的信誉；</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（4）投标报价；</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技术部分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（5）勘察设计总体思路和组织管理；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（6）关键技术问题和难点及其解决办法；</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（7）质量、安全、环保与健康管理措施；</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（8）工程勘察纲要及设计方案（含工程造价测算）；</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（9）工期与进度计划；</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（10）后续服务计划及保证措施。</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2.2.2评标基准价计算</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评标基准价计算方法：见本章评标办法前附表。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2.2.3投标报价的偏差率计算</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投标报价的偏差率计算公式：见本章评标办法前附表。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2.2.4评分标准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以下项评分标准见评标办法前附表。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商务部分评分标准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（1）投标人与项目类似的具体业绩；</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（2）拟投入本项目的人员资格和能力；</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（3）投标人的信誉；</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（4）投标报价；</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技术部分评分标准</w:t>
      </w:r>
    </w:p>
    <w:p>
      <w:pPr>
        <w:spacing w:line="276" w:lineRule="auto"/>
        <w:ind w:firstLine="420" w:firstLineChars="200"/>
        <w:rPr>
          <w:rFonts w:ascii="宋体" w:hAnsi="宋体" w:cs="宋体"/>
          <w:color w:val="auto"/>
          <w:szCs w:val="21"/>
          <w:highlight w:val="none"/>
        </w:rPr>
      </w:pPr>
      <w:bookmarkStart w:id="109" w:name="_Toc362252826"/>
      <w:r>
        <w:rPr>
          <w:rFonts w:hint="eastAsia" w:ascii="宋体" w:hAnsi="宋体" w:cs="宋体"/>
          <w:color w:val="auto"/>
          <w:szCs w:val="21"/>
          <w:highlight w:val="none"/>
        </w:rPr>
        <w:t>（5）勘察设计总体思路和组织管理；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（6）关键技术问题和难点及其解决办法；</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（7）质量、安全、环保与健康管理措施；</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（8）工程勘察纲要及设计方案（含工程造价测算）；</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（9）工期与进度计划；</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（10）后续服务计划及保证措施。</w:t>
      </w:r>
    </w:p>
    <w:p>
      <w:pPr>
        <w:spacing w:before="156" w:beforeLines="50" w:after="156" w:afterLines="50" w:line="276" w:lineRule="auto"/>
        <w:jc w:val="center"/>
        <w:outlineLvl w:val="0"/>
        <w:rPr>
          <w:rFonts w:ascii="宋体" w:hAnsi="宋体" w:cs="宋体"/>
          <w:b/>
          <w:color w:val="auto"/>
          <w:sz w:val="24"/>
          <w:highlight w:val="none"/>
        </w:rPr>
      </w:pPr>
      <w:bookmarkStart w:id="110" w:name="_Toc88848842"/>
      <w:bookmarkStart w:id="111" w:name="_Toc532205018"/>
      <w:bookmarkStart w:id="112" w:name="_Toc531092831"/>
      <w:bookmarkStart w:id="113" w:name="_Toc531101253"/>
      <w:bookmarkStart w:id="114" w:name="_Toc531092995"/>
      <w:r>
        <w:rPr>
          <w:rFonts w:hint="eastAsia" w:ascii="宋体" w:hAnsi="宋体" w:cs="宋体"/>
          <w:b/>
          <w:color w:val="auto"/>
          <w:sz w:val="24"/>
          <w:highlight w:val="none"/>
        </w:rPr>
        <w:t>3．评标程序</w:t>
      </w:r>
      <w:bookmarkEnd w:id="109"/>
      <w:bookmarkEnd w:id="110"/>
      <w:bookmarkEnd w:id="111"/>
      <w:bookmarkEnd w:id="112"/>
      <w:bookmarkEnd w:id="113"/>
      <w:bookmarkEnd w:id="114"/>
    </w:p>
    <w:p>
      <w:pPr>
        <w:spacing w:line="276" w:lineRule="auto"/>
        <w:outlineLvl w:val="0"/>
        <w:rPr>
          <w:rFonts w:ascii="宋体" w:hAnsi="宋体" w:cs="宋体"/>
          <w:b/>
          <w:color w:val="auto"/>
          <w:szCs w:val="21"/>
          <w:highlight w:val="none"/>
        </w:rPr>
      </w:pPr>
      <w:bookmarkStart w:id="115" w:name="_Toc531092832"/>
      <w:bookmarkStart w:id="116" w:name="_Toc358883439"/>
      <w:bookmarkStart w:id="117" w:name="_Toc358474643"/>
      <w:bookmarkStart w:id="118" w:name="_Toc362252827"/>
      <w:bookmarkStart w:id="119" w:name="_Toc531102406"/>
      <w:bookmarkStart w:id="120" w:name="_Toc532205019"/>
      <w:bookmarkStart w:id="121" w:name="_Toc531092996"/>
      <w:bookmarkStart w:id="122" w:name="_Toc358474794"/>
      <w:bookmarkStart w:id="123" w:name="_Toc531101254"/>
      <w:bookmarkStart w:id="124" w:name="_Toc465004155"/>
      <w:bookmarkStart w:id="125" w:name="_Toc88848843"/>
      <w:r>
        <w:rPr>
          <w:rFonts w:hint="eastAsia" w:ascii="宋体" w:hAnsi="宋体" w:cs="宋体"/>
          <w:b/>
          <w:color w:val="auto"/>
          <w:szCs w:val="21"/>
          <w:highlight w:val="none"/>
        </w:rPr>
        <w:t>3.1 初步评审</w:t>
      </w:r>
      <w:bookmarkEnd w:id="115"/>
      <w:bookmarkEnd w:id="116"/>
      <w:bookmarkEnd w:id="117"/>
      <w:bookmarkEnd w:id="118"/>
      <w:bookmarkEnd w:id="119"/>
      <w:bookmarkEnd w:id="120"/>
      <w:bookmarkEnd w:id="121"/>
      <w:bookmarkEnd w:id="122"/>
      <w:bookmarkEnd w:id="123"/>
      <w:bookmarkEnd w:id="124"/>
      <w:bookmarkEnd w:id="125"/>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评标委员会可以要求投标人提交第二章“投标人须知”第1.4条规定的有关证明和证件的原件，以便核验。评标委员会依据本章第2.1条规定的标准对投标文件进行初步评审。有一项不符合评审标准的，作废标处理。（适用于未进行资格预审的）</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评标委员会依据本章第2.1.1款、第2.1.3款规定的评审标准对投标文件进行初步评审。有一项不符合评审标准的，作废标处理。当投标人资格预审申请文件的内容发生重大变化时，评标委员会依据本章第2.1.2款规定的标准对其更新资料进行评审。（适用于已进行资格预审的）</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3.1.3投标人有下列情形之一的，其投标作废标处理：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（1）第二章第1.12.1款规定的任何一种情形的：</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（2）不按评标委员会要求澄清、说明或补正的。 </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3.1.4投标报价有算术错误的，评标委员会按下列原则对投标报价进行修正，修正的价格经投标人书面确认后具有约束力。投标人不接受修正价格的，其投标作废标处理。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spacing w:line="276" w:lineRule="auto"/>
        <w:outlineLvl w:val="0"/>
        <w:rPr>
          <w:rFonts w:ascii="宋体" w:hAnsi="宋体" w:cs="宋体"/>
          <w:b/>
          <w:color w:val="auto"/>
          <w:szCs w:val="21"/>
          <w:highlight w:val="none"/>
        </w:rPr>
      </w:pPr>
      <w:bookmarkStart w:id="126" w:name="_Toc88848844"/>
      <w:bookmarkStart w:id="127" w:name="_Toc532205020"/>
      <w:bookmarkStart w:id="128" w:name="_Toc358883440"/>
      <w:bookmarkStart w:id="129" w:name="_Toc531102407"/>
      <w:bookmarkStart w:id="130" w:name="_Toc531101255"/>
      <w:bookmarkStart w:id="131" w:name="_Toc362252828"/>
      <w:bookmarkStart w:id="132" w:name="_Toc358474644"/>
      <w:bookmarkStart w:id="133" w:name="_Toc465004156"/>
      <w:bookmarkStart w:id="134" w:name="_Toc531092997"/>
      <w:bookmarkStart w:id="135" w:name="_Toc358474795"/>
      <w:bookmarkStart w:id="136" w:name="_Toc531092833"/>
      <w:r>
        <w:rPr>
          <w:rFonts w:hint="eastAsia" w:ascii="宋体" w:hAnsi="宋体" w:cs="宋体"/>
          <w:b/>
          <w:color w:val="auto"/>
          <w:szCs w:val="21"/>
          <w:highlight w:val="none"/>
        </w:rPr>
        <w:t>3.2 详细评审</w:t>
      </w:r>
      <w:bookmarkEnd w:id="126"/>
      <w:bookmarkEnd w:id="127"/>
      <w:bookmarkEnd w:id="128"/>
      <w:bookmarkEnd w:id="129"/>
      <w:bookmarkEnd w:id="130"/>
      <w:bookmarkEnd w:id="131"/>
      <w:bookmarkEnd w:id="132"/>
      <w:bookmarkEnd w:id="133"/>
      <w:bookmarkEnd w:id="134"/>
      <w:bookmarkEnd w:id="135"/>
      <w:bookmarkEnd w:id="136"/>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3.2.1评标委员会按本章第2.2条规定的评审因素和分值进行打分，并计算出综合评估得分。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（l）按本章第2.2.4款商务部分规定的评审因素和分值对商务部分计算出得分A；</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（2）按本章第2.2.4款技术部分规定的评审因素和分值对技术部分计算出得分B。</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3.2.2评分分值计算保留小数点后两位，小数点后第三位四舍五入。</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3.2.3投标人得分=A+B。</w:t>
      </w:r>
    </w:p>
    <w:p>
      <w:pPr>
        <w:spacing w:line="276" w:lineRule="auto"/>
        <w:outlineLvl w:val="0"/>
        <w:rPr>
          <w:rFonts w:ascii="宋体" w:hAnsi="宋体" w:cs="宋体"/>
          <w:b/>
          <w:color w:val="auto"/>
          <w:szCs w:val="21"/>
          <w:highlight w:val="none"/>
        </w:rPr>
      </w:pPr>
      <w:bookmarkStart w:id="137" w:name="_Toc531092834"/>
      <w:bookmarkStart w:id="138" w:name="_Toc532205021"/>
      <w:bookmarkStart w:id="139" w:name="_Toc358474796"/>
      <w:bookmarkStart w:id="140" w:name="_Toc531092998"/>
      <w:bookmarkStart w:id="141" w:name="_Toc531101256"/>
      <w:bookmarkStart w:id="142" w:name="_Toc358474645"/>
      <w:bookmarkStart w:id="143" w:name="_Toc531102408"/>
      <w:bookmarkStart w:id="144" w:name="_Toc358883441"/>
      <w:bookmarkStart w:id="145" w:name="_Toc465004157"/>
      <w:bookmarkStart w:id="146" w:name="_Toc362252829"/>
      <w:bookmarkStart w:id="147" w:name="_Toc88848845"/>
      <w:r>
        <w:rPr>
          <w:rFonts w:hint="eastAsia" w:ascii="宋体" w:hAnsi="宋体" w:cs="宋体"/>
          <w:b/>
          <w:color w:val="auto"/>
          <w:szCs w:val="21"/>
          <w:highlight w:val="none"/>
        </w:rPr>
        <w:t>3.3 投标文件的澄清、说明和补正</w:t>
      </w:r>
      <w:bookmarkEnd w:id="137"/>
      <w:bookmarkEnd w:id="138"/>
      <w:bookmarkEnd w:id="139"/>
      <w:bookmarkEnd w:id="140"/>
      <w:bookmarkEnd w:id="141"/>
      <w:bookmarkEnd w:id="142"/>
      <w:bookmarkEnd w:id="143"/>
      <w:bookmarkEnd w:id="144"/>
      <w:bookmarkEnd w:id="145"/>
      <w:bookmarkEnd w:id="146"/>
      <w:bookmarkEnd w:id="147"/>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3.3.1在评标过程中，评标委员会可以书面形式要求投标人对所提交投标文件中不明确的内容或细微偏差进行书面澄清、说明或补正。评标委员会不接受投标人主动提出的澄清、说明或补正。</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3.3.2澄清、说明和补正不得改变投标文件的实质性内容（算术性错误修正的除外），投标人的书面澄清、说明和补正属于投标文件的组成部分。</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3.3.3评标委员会对投标人提交的澄清、说明或补正有疑问的，可以要求投标人进一步澄清、说明或补正，直至满足评标委员会的要求。</w:t>
      </w:r>
    </w:p>
    <w:p>
      <w:pPr>
        <w:spacing w:line="276" w:lineRule="auto"/>
        <w:outlineLvl w:val="0"/>
        <w:rPr>
          <w:rFonts w:ascii="宋体" w:hAnsi="宋体" w:cs="宋体"/>
          <w:b/>
          <w:color w:val="auto"/>
          <w:szCs w:val="21"/>
          <w:highlight w:val="none"/>
        </w:rPr>
      </w:pPr>
      <w:bookmarkStart w:id="148" w:name="_Toc531092835"/>
      <w:bookmarkStart w:id="149" w:name="_Toc531092999"/>
      <w:bookmarkStart w:id="150" w:name="_Toc532205022"/>
      <w:bookmarkStart w:id="151" w:name="_Toc362252830"/>
      <w:bookmarkStart w:id="152" w:name="_Toc358474646"/>
      <w:bookmarkStart w:id="153" w:name="_Toc531102409"/>
      <w:bookmarkStart w:id="154" w:name="_Toc531101257"/>
      <w:bookmarkStart w:id="155" w:name="_Toc358474797"/>
      <w:bookmarkStart w:id="156" w:name="_Toc358883442"/>
      <w:bookmarkStart w:id="157" w:name="_Toc88848846"/>
      <w:bookmarkStart w:id="158" w:name="_Toc465004158"/>
      <w:r>
        <w:rPr>
          <w:rFonts w:hint="eastAsia" w:ascii="宋体" w:hAnsi="宋体" w:cs="宋体"/>
          <w:b/>
          <w:color w:val="auto"/>
          <w:szCs w:val="21"/>
          <w:highlight w:val="none"/>
        </w:rPr>
        <w:t>3.4 评标结果</w:t>
      </w:r>
      <w:bookmarkEnd w:id="148"/>
      <w:bookmarkEnd w:id="149"/>
      <w:bookmarkEnd w:id="150"/>
      <w:bookmarkEnd w:id="151"/>
      <w:bookmarkEnd w:id="152"/>
      <w:bookmarkEnd w:id="153"/>
      <w:bookmarkEnd w:id="154"/>
      <w:bookmarkEnd w:id="155"/>
      <w:bookmarkEnd w:id="156"/>
      <w:bookmarkEnd w:id="157"/>
      <w:bookmarkEnd w:id="158"/>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3.4.1除第二章“投标人须知”前附表授权直接确定中标人外，评标委员会按照得分由高到低的顺序推荐中标候选人。</w:t>
      </w:r>
    </w:p>
    <w:p>
      <w:pPr>
        <w:rPr>
          <w:rFonts w:hint="eastAsia" w:ascii="宋体" w:hAnsi="宋体" w:cs="宋体"/>
          <w:color w:val="auto"/>
          <w:kern w:val="0"/>
          <w:highlight w:val="none"/>
        </w:rPr>
      </w:pPr>
      <w:r>
        <w:rPr>
          <w:rFonts w:hint="eastAsia" w:ascii="宋体" w:hAnsi="宋体" w:cs="宋体"/>
          <w:color w:val="auto"/>
          <w:szCs w:val="21"/>
          <w:highlight w:val="none"/>
        </w:rPr>
        <w:t>3.4.2评标委员会完成评标后，应向招标人提交书面评标报告。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AC99E"/>
    <w:multiLevelType w:val="singleLevel"/>
    <w:tmpl w:val="D34AC9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C4D43"/>
    <w:rsid w:val="03014697"/>
    <w:rsid w:val="04A65A00"/>
    <w:rsid w:val="05B666F3"/>
    <w:rsid w:val="09252B3B"/>
    <w:rsid w:val="150C59E3"/>
    <w:rsid w:val="28AA4262"/>
    <w:rsid w:val="5CFF5053"/>
    <w:rsid w:val="7CEC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2021-12-04T09:44:00Z</dcterms:created>
  <dc:creator>小民的夏天</dc:creator>
  <cp:lastModifiedBy>小民的夏天</cp:lastModifiedBy>
  <cp:lastPrinted>2021-12-06T07:17:00Z</cp:lastPrinted>
  <dcterms:modified xsi:type="dcterms:W3CDTF">2021-12-08T01:09:37Z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749B4858438A4C1290756F5A89A633D6</vt:lpwstr>
  </property>
</Properties>
</file>