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40" w:lineRule="exact"/>
        <w:rPr>
          <w:rStyle w:val="9"/>
          <w:rFonts w:hint="eastAsia" w:ascii="微软雅黑" w:hAnsi="微软雅黑" w:eastAsia="微软雅黑"/>
          <w:sz w:val="28"/>
          <w:szCs w:val="28"/>
          <w:highlight w:val="none"/>
        </w:rPr>
      </w:pPr>
      <w:r>
        <w:rPr>
          <w:rStyle w:val="9"/>
          <w:rFonts w:hint="eastAsia" w:ascii="微软雅黑" w:hAnsi="微软雅黑" w:eastAsia="微软雅黑"/>
          <w:sz w:val="28"/>
          <w:szCs w:val="28"/>
          <w:highlight w:val="none"/>
        </w:rPr>
        <w:t>投标截止时间(开标时间)：2017/5/9  9:30:00</w:t>
      </w:r>
    </w:p>
    <w:p>
      <w:pPr>
        <w:pStyle w:val="7"/>
        <w:spacing w:line="440" w:lineRule="exact"/>
        <w:rPr>
          <w:rStyle w:val="9"/>
          <w:rFonts w:hint="eastAsia" w:ascii="微软雅黑" w:hAnsi="微软雅黑" w:eastAsia="微软雅黑"/>
          <w:sz w:val="28"/>
          <w:szCs w:val="28"/>
          <w:highlight w:val="none"/>
        </w:rPr>
      </w:pPr>
      <w:r>
        <w:rPr>
          <w:rStyle w:val="9"/>
          <w:rFonts w:hint="eastAsia" w:ascii="微软雅黑" w:hAnsi="微软雅黑" w:eastAsia="微软雅黑"/>
          <w:sz w:val="28"/>
          <w:szCs w:val="28"/>
          <w:highlight w:val="none"/>
        </w:rPr>
        <w:t>报名截止时间:</w:t>
      </w:r>
      <w:r>
        <w:rPr>
          <w:rStyle w:val="9"/>
          <w:rFonts w:ascii="微软雅黑" w:hAnsi="微软雅黑" w:eastAsia="微软雅黑"/>
          <w:sz w:val="28"/>
          <w:szCs w:val="28"/>
          <w:highlight w:val="none"/>
        </w:rPr>
        <w:t xml:space="preserve">           </w:t>
      </w:r>
      <w:r>
        <w:rPr>
          <w:rStyle w:val="9"/>
          <w:rFonts w:hint="eastAsia" w:ascii="微软雅黑" w:hAnsi="微软雅黑" w:eastAsia="微软雅黑"/>
          <w:sz w:val="28"/>
          <w:szCs w:val="28"/>
          <w:highlight w:val="none"/>
        </w:rPr>
        <w:t>2017/5/3  23:59:</w:t>
      </w:r>
      <w:r>
        <w:rPr>
          <w:rStyle w:val="9"/>
          <w:rFonts w:hint="eastAsia" w:ascii="微软雅黑" w:hAnsi="微软雅黑" w:eastAsia="微软雅黑"/>
          <w:sz w:val="28"/>
          <w:szCs w:val="28"/>
          <w:highlight w:val="none"/>
        </w:rPr>
        <w:t>59</w:t>
      </w:r>
    </w:p>
    <w:p>
      <w:pPr>
        <w:pStyle w:val="12"/>
        <w:jc w:val="center"/>
        <w:rPr>
          <w:rFonts w:hint="eastAsia" w:hAnsi="宋体" w:cs="黑体"/>
          <w:b/>
          <w:color w:val="auto"/>
          <w:sz w:val="30"/>
          <w:szCs w:val="30"/>
          <w:highlight w:val="none"/>
        </w:rPr>
      </w:pPr>
      <w:r>
        <w:rPr>
          <w:rFonts w:hint="eastAsia" w:ascii="黑体" w:hAnsi="黑体" w:eastAsia="黑体" w:cs="黑体"/>
          <w:b/>
          <w:color w:val="auto"/>
          <w:sz w:val="40"/>
          <w:szCs w:val="40"/>
          <w:highlight w:val="none"/>
        </w:rPr>
        <w:t xml:space="preserve"> </w:t>
      </w:r>
      <w:r>
        <w:rPr>
          <w:rFonts w:hint="eastAsia" w:hAnsi="宋体" w:cs="黑体"/>
          <w:b/>
          <w:color w:val="auto"/>
          <w:sz w:val="30"/>
          <w:szCs w:val="30"/>
          <w:highlight w:val="none"/>
          <w:u w:val="single"/>
        </w:rPr>
        <w:t>G5513长沙至益阳高速公路扩容工程项目土建工程第1、3</w:t>
      </w:r>
      <w:r>
        <w:rPr>
          <w:rFonts w:hint="eastAsia" w:hAnsi="宋体" w:cs="黑体"/>
          <w:b/>
          <w:color w:val="auto"/>
          <w:sz w:val="30"/>
          <w:szCs w:val="30"/>
          <w:highlight w:val="none"/>
        </w:rPr>
        <w:t>标段</w:t>
      </w:r>
    </w:p>
    <w:p>
      <w:pPr>
        <w:pStyle w:val="12"/>
        <w:jc w:val="center"/>
        <w:rPr>
          <w:rFonts w:hint="eastAsia" w:hAnsi="宋体" w:cs="黑体"/>
          <w:b/>
          <w:color w:val="auto"/>
          <w:sz w:val="28"/>
          <w:szCs w:val="28"/>
          <w:highlight w:val="none"/>
          <w:u w:val="single"/>
        </w:rPr>
      </w:pPr>
      <w:r>
        <w:rPr>
          <w:rFonts w:hint="eastAsia" w:hAnsi="宋体" w:cs="黑体"/>
          <w:b/>
          <w:color w:val="auto"/>
          <w:sz w:val="30"/>
          <w:szCs w:val="30"/>
          <w:highlight w:val="none"/>
        </w:rPr>
        <w:t>施工招标公告</w:t>
      </w:r>
      <w:bookmarkStart w:id="7" w:name="_GoBack"/>
      <w:bookmarkEnd w:id="7"/>
    </w:p>
    <w:p>
      <w:pPr>
        <w:pStyle w:val="12"/>
        <w:jc w:val="both"/>
        <w:rPr>
          <w:rFonts w:hint="eastAsia" w:hAnsi="宋体" w:cs="Times New Roman"/>
          <w:b/>
          <w:color w:val="auto"/>
          <w:highlight w:val="none"/>
        </w:rPr>
      </w:pPr>
      <w:r>
        <w:rPr>
          <w:rFonts w:hAnsi="宋体" w:cs="Times New Roman"/>
          <w:b/>
          <w:color w:val="auto"/>
          <w:highlight w:val="none"/>
        </w:rPr>
        <w:t>1</w:t>
      </w:r>
      <w:r>
        <w:rPr>
          <w:rFonts w:hint="eastAsia" w:hAnsi="宋体" w:cs="Times New Roman"/>
          <w:b/>
          <w:color w:val="auto"/>
          <w:highlight w:val="none"/>
        </w:rPr>
        <w:t>．招标条件</w:t>
      </w:r>
    </w:p>
    <w:p>
      <w:pPr>
        <w:spacing w:before="312" w:beforeLines="100" w:line="360" w:lineRule="auto"/>
        <w:ind w:firstLine="480" w:firstLineChars="200"/>
        <w:rPr>
          <w:rFonts w:hint="eastAsia" w:ascii="宋体" w:hAnsi="宋体"/>
          <w:sz w:val="24"/>
          <w:szCs w:val="24"/>
          <w:highlight w:val="none"/>
        </w:rPr>
      </w:pPr>
      <w:r>
        <w:rPr>
          <w:rFonts w:hint="eastAsia" w:ascii="宋体" w:hAnsi="宋体"/>
          <w:sz w:val="24"/>
          <w:highlight w:val="none"/>
        </w:rPr>
        <w:t>G5513长沙至益阳高速公路扩容工程((简称“长益扩容”)高速公路项目已由湖南省发展与改革委员会以湘发改基础【2016】217号文件批准建设，项目业主为湖南省高速公路建设开发总公司。建设资金来自交通运输部补助、湖南省自筹和国内银行贷款，项目出资比例为交通运输部补助、湖南省自筹25%；国内银行贷款75%，招标人为湖南省高速公路建设开发总公司。项目已具备招标条件，现进行公开招标，特邀请有兴趣的潜在投标人投标。</w:t>
      </w:r>
    </w:p>
    <w:p>
      <w:pPr>
        <w:pStyle w:val="12"/>
        <w:jc w:val="both"/>
        <w:rPr>
          <w:rFonts w:hint="eastAsia" w:hAnsi="宋体" w:cs="Times New Roman"/>
          <w:color w:val="auto"/>
          <w:highlight w:val="none"/>
        </w:rPr>
      </w:pPr>
    </w:p>
    <w:p>
      <w:pPr>
        <w:pStyle w:val="12"/>
        <w:jc w:val="both"/>
        <w:rPr>
          <w:rFonts w:hAnsi="宋体" w:cs="Times New Roman"/>
          <w:b/>
          <w:color w:val="auto"/>
          <w:highlight w:val="none"/>
        </w:rPr>
      </w:pPr>
      <w:r>
        <w:rPr>
          <w:rFonts w:hAnsi="宋体" w:cs="Times New Roman"/>
          <w:b/>
          <w:color w:val="auto"/>
          <w:highlight w:val="none"/>
        </w:rPr>
        <w:t>2</w:t>
      </w:r>
      <w:r>
        <w:rPr>
          <w:rFonts w:hint="eastAsia" w:hAnsi="宋体" w:cs="Times New Roman"/>
          <w:b/>
          <w:color w:val="auto"/>
          <w:highlight w:val="none"/>
        </w:rPr>
        <w:t>．项目概况与招标范围</w:t>
      </w:r>
    </w:p>
    <w:p>
      <w:pPr>
        <w:spacing w:line="440" w:lineRule="exact"/>
        <w:ind w:firstLine="480" w:firstLineChars="200"/>
        <w:rPr>
          <w:rFonts w:hint="eastAsia" w:ascii="宋体" w:hAnsi="宋体"/>
          <w:sz w:val="24"/>
          <w:highlight w:val="none"/>
        </w:rPr>
      </w:pPr>
      <w:r>
        <w:rPr>
          <w:rFonts w:hint="eastAsia" w:ascii="宋体" w:hAnsi="宋体"/>
          <w:sz w:val="24"/>
          <w:highlight w:val="none"/>
        </w:rPr>
        <w:t>本项目位于</w:t>
      </w:r>
      <w:r>
        <w:rPr>
          <w:rFonts w:hint="eastAsia" w:ascii="宋体" w:hAnsi="宋体"/>
          <w:sz w:val="24"/>
          <w:highlight w:val="none"/>
          <w:u w:val="single"/>
        </w:rPr>
        <w:t>长沙市望城区、宁乡县和益阳市赫山区</w:t>
      </w:r>
      <w:r>
        <w:rPr>
          <w:rFonts w:hint="eastAsia" w:ascii="宋体" w:hAnsi="宋体"/>
          <w:sz w:val="24"/>
          <w:highlight w:val="none"/>
        </w:rPr>
        <w:t>境内，主线采用</w:t>
      </w:r>
      <w:r>
        <w:rPr>
          <w:rFonts w:hint="eastAsia" w:ascii="宋体" w:hAnsi="宋体"/>
          <w:sz w:val="24"/>
          <w:highlight w:val="none"/>
          <w:u w:val="single"/>
        </w:rPr>
        <w:t>双向六车道</w:t>
      </w:r>
      <w:r>
        <w:rPr>
          <w:rFonts w:hint="eastAsia" w:ascii="宋体" w:hAnsi="宋体"/>
          <w:sz w:val="24"/>
          <w:highlight w:val="none"/>
        </w:rPr>
        <w:t>高速公路公路标准建设，全长</w:t>
      </w:r>
      <w:r>
        <w:rPr>
          <w:rFonts w:hint="eastAsia" w:ascii="宋体" w:hAnsi="宋体"/>
          <w:sz w:val="24"/>
          <w:highlight w:val="none"/>
          <w:u w:val="single"/>
        </w:rPr>
        <w:t>50.284</w:t>
      </w:r>
      <w:r>
        <w:rPr>
          <w:rFonts w:hint="eastAsia" w:ascii="宋体" w:hAnsi="宋体"/>
          <w:sz w:val="24"/>
          <w:highlight w:val="none"/>
        </w:rPr>
        <w:t>公里，设计速度为120公里/小时，路基宽度</w:t>
      </w:r>
      <w:r>
        <w:rPr>
          <w:rFonts w:hint="eastAsia" w:ascii="宋体" w:hAnsi="宋体"/>
          <w:sz w:val="24"/>
          <w:highlight w:val="none"/>
          <w:u w:val="single"/>
        </w:rPr>
        <w:t>33.5</w:t>
      </w:r>
      <w:r>
        <w:rPr>
          <w:rFonts w:hint="eastAsia" w:ascii="宋体" w:hAnsi="宋体"/>
          <w:sz w:val="24"/>
          <w:highlight w:val="none"/>
        </w:rPr>
        <w:t>米。本次招标范围为</w:t>
      </w:r>
      <w:r>
        <w:rPr>
          <w:rFonts w:hint="eastAsia" w:ascii="宋体" w:hAnsi="宋体"/>
          <w:sz w:val="24"/>
          <w:highlight w:val="none"/>
          <w:u w:val="single"/>
        </w:rPr>
        <w:t>长益高速</w:t>
      </w:r>
      <w:r>
        <w:rPr>
          <w:rFonts w:hint="eastAsia" w:ascii="宋体" w:hAnsi="宋体"/>
          <w:sz w:val="24"/>
          <w:highlight w:val="none"/>
        </w:rPr>
        <w:t>公路扩容工程项目土建工程施工，共2</w:t>
      </w:r>
      <w:r>
        <w:rPr>
          <w:rFonts w:hint="eastAsia" w:ascii="宋体" w:hAnsi="宋体"/>
          <w:sz w:val="24"/>
          <w:highlight w:val="none"/>
          <w:u w:val="single"/>
        </w:rPr>
        <w:t xml:space="preserve"> </w:t>
      </w:r>
      <w:r>
        <w:rPr>
          <w:rFonts w:hint="eastAsia" w:ascii="宋体" w:hAnsi="宋体"/>
          <w:sz w:val="24"/>
          <w:highlight w:val="none"/>
        </w:rPr>
        <w:t>个标段，</w:t>
      </w:r>
      <w:r>
        <w:rPr>
          <w:rFonts w:hint="eastAsia" w:ascii="宋体" w:hAnsi="宋体"/>
          <w:b/>
          <w:sz w:val="24"/>
          <w:highlight w:val="none"/>
        </w:rPr>
        <w:t>其类别划分、资质要求、业绩要求等见附表。</w:t>
      </w:r>
    </w:p>
    <w:p>
      <w:pPr>
        <w:spacing w:line="440" w:lineRule="exact"/>
        <w:ind w:firstLine="480" w:firstLineChars="200"/>
        <w:rPr>
          <w:rFonts w:hint="eastAsia" w:ascii="宋体" w:hAnsi="宋体"/>
          <w:sz w:val="24"/>
          <w:highlight w:val="none"/>
        </w:rPr>
      </w:pPr>
      <w:r>
        <w:rPr>
          <w:rFonts w:hint="eastAsia" w:ascii="宋体" w:hAnsi="宋体"/>
          <w:sz w:val="24"/>
          <w:highlight w:val="none"/>
        </w:rPr>
        <w:t xml:space="preserve"> 本项目计划总工期</w:t>
      </w:r>
      <w:r>
        <w:rPr>
          <w:rFonts w:hint="eastAsia" w:ascii="宋体" w:hAnsi="宋体"/>
          <w:sz w:val="24"/>
          <w:highlight w:val="none"/>
          <w:u w:val="single"/>
        </w:rPr>
        <w:t>36</w:t>
      </w:r>
      <w:r>
        <w:rPr>
          <w:rFonts w:hint="eastAsia" w:ascii="宋体" w:hAnsi="宋体"/>
          <w:sz w:val="24"/>
          <w:highlight w:val="none"/>
        </w:rPr>
        <w:t>个月，其中本次招标工程计划工期</w:t>
      </w:r>
      <w:r>
        <w:rPr>
          <w:rFonts w:hint="eastAsia" w:ascii="宋体" w:hAnsi="宋体"/>
          <w:sz w:val="24"/>
          <w:highlight w:val="none"/>
          <w:u w:val="single"/>
        </w:rPr>
        <w:t>24</w:t>
      </w:r>
      <w:r>
        <w:rPr>
          <w:rFonts w:hint="eastAsia" w:ascii="宋体" w:hAnsi="宋体"/>
          <w:sz w:val="24"/>
          <w:highlight w:val="none"/>
        </w:rPr>
        <w:t>个月。</w:t>
      </w:r>
    </w:p>
    <w:p>
      <w:pPr>
        <w:pStyle w:val="12"/>
        <w:spacing w:line="420" w:lineRule="exact"/>
        <w:jc w:val="both"/>
        <w:rPr>
          <w:rFonts w:hint="eastAsia" w:hAnsi="宋体" w:cs="Times New Roman"/>
          <w:color w:val="auto"/>
          <w:highlight w:val="none"/>
        </w:rPr>
      </w:pPr>
    </w:p>
    <w:p>
      <w:pPr>
        <w:pStyle w:val="12"/>
        <w:spacing w:line="420" w:lineRule="exact"/>
        <w:jc w:val="both"/>
        <w:rPr>
          <w:rFonts w:hint="eastAsia" w:hAnsi="宋体" w:cs="Times New Roman"/>
          <w:b/>
          <w:color w:val="auto"/>
          <w:highlight w:val="none"/>
        </w:rPr>
      </w:pPr>
      <w:r>
        <w:rPr>
          <w:rFonts w:hAnsi="宋体" w:cs="Times New Roman"/>
          <w:b/>
          <w:color w:val="auto"/>
          <w:highlight w:val="none"/>
        </w:rPr>
        <w:t>3</w:t>
      </w:r>
      <w:r>
        <w:rPr>
          <w:rFonts w:hint="eastAsia" w:hAnsi="宋体" w:cs="Times New Roman"/>
          <w:b/>
          <w:color w:val="auto"/>
          <w:highlight w:val="none"/>
        </w:rPr>
        <w:t>．投标人资格要求</w:t>
      </w:r>
    </w:p>
    <w:p>
      <w:pPr>
        <w:pStyle w:val="12"/>
        <w:spacing w:line="420" w:lineRule="exact"/>
        <w:ind w:firstLine="480" w:firstLineChars="200"/>
        <w:jc w:val="both"/>
        <w:rPr>
          <w:rFonts w:hint="eastAsia" w:hAnsi="宋体"/>
          <w:b/>
          <w:color w:val="auto"/>
          <w:highlight w:val="none"/>
        </w:rPr>
      </w:pPr>
      <w:r>
        <w:rPr>
          <w:rFonts w:hint="eastAsia" w:hAnsi="宋体"/>
          <w:color w:val="auto"/>
          <w:highlight w:val="none"/>
        </w:rPr>
        <w:t>3.1本次招标要求投标人属于记录在湖南省公路水路建设与运输市场信用信息服务网站（http://218.76.40.80:9000/hnxyfw）中的从业单位，已申领湖南省交通电子招投标CA证书，具备</w:t>
      </w:r>
      <w:r>
        <w:rPr>
          <w:rFonts w:hint="eastAsia" w:hAnsi="宋体"/>
          <w:color w:val="auto"/>
          <w:highlight w:val="none"/>
          <w:u w:val="single"/>
        </w:rPr>
        <w:t>独立法人资格，</w:t>
      </w:r>
      <w:r>
        <w:rPr>
          <w:rFonts w:hint="eastAsia" w:hAnsi="宋体"/>
          <w:b/>
          <w:color w:val="auto"/>
          <w:highlight w:val="none"/>
          <w:u w:val="single"/>
          <w:bdr w:val="single" w:color="auto" w:sz="4" w:space="0"/>
          <w:shd w:val="pct10" w:color="auto" w:fill="FFFFFF"/>
        </w:rPr>
        <w:t>持有</w:t>
      </w:r>
      <w:r>
        <w:rPr>
          <w:rFonts w:hint="eastAsia" w:hAnsi="宋体"/>
          <w:color w:val="auto"/>
          <w:highlight w:val="none"/>
          <w:u w:val="single"/>
        </w:rPr>
        <w:t>有效的营业执照，安全生产许可证，</w:t>
      </w:r>
      <w:r>
        <w:rPr>
          <w:rFonts w:hint="eastAsia"/>
          <w:color w:val="auto"/>
          <w:highlight w:val="none"/>
          <w:u w:val="single"/>
        </w:rPr>
        <w:t>住房与城乡建设部颁发</w:t>
      </w:r>
      <w:r>
        <w:rPr>
          <w:rFonts w:hint="eastAsia"/>
          <w:color w:val="auto"/>
          <w:highlight w:val="none"/>
        </w:rPr>
        <w:t>的</w:t>
      </w:r>
      <w:r>
        <w:rPr>
          <w:rFonts w:hint="eastAsia" w:hAnsi="宋体"/>
          <w:color w:val="auto"/>
          <w:highlight w:val="none"/>
          <w:u w:val="single"/>
        </w:rPr>
        <w:t>相应</w:t>
      </w:r>
      <w:r>
        <w:rPr>
          <w:rFonts w:hint="eastAsia" w:hAnsi="宋体"/>
          <w:color w:val="auto"/>
          <w:highlight w:val="none"/>
        </w:rPr>
        <w:t>资质，具有附件1要求的资格审查条件要求 （评标委员会在评审时将通过查询湖南省公路水路建设与运输市场信用信息服务网站（http://218.76.40.80:9000/hnxyfw），对投标人的资质、业绩、主要人员资历和目前在岗情况、信用等级等信息进行核实确认，具体有关要求详见交通运输部令2015年第24号）。</w:t>
      </w:r>
    </w:p>
    <w:p>
      <w:pPr>
        <w:spacing w:line="400" w:lineRule="exact"/>
        <w:ind w:firstLine="480" w:firstLineChars="200"/>
        <w:rPr>
          <w:rFonts w:hint="eastAsia"/>
          <w:sz w:val="24"/>
          <w:szCs w:val="24"/>
          <w:highlight w:val="none"/>
        </w:rPr>
      </w:pPr>
      <w:r>
        <w:rPr>
          <w:rFonts w:ascii="宋体"/>
          <w:sz w:val="24"/>
          <w:highlight w:val="none"/>
        </w:rPr>
        <w:t xml:space="preserve">3.2  </w:t>
      </w:r>
      <w:r>
        <w:rPr>
          <w:rFonts w:hint="eastAsia"/>
          <w:sz w:val="24"/>
          <w:szCs w:val="24"/>
          <w:highlight w:val="none"/>
        </w:rPr>
        <w:t>本次招标</w:t>
      </w:r>
      <w:r>
        <w:rPr>
          <w:rFonts w:hint="eastAsia"/>
          <w:sz w:val="24"/>
          <w:szCs w:val="24"/>
          <w:highlight w:val="none"/>
          <w:u w:val="single"/>
        </w:rPr>
        <w:t>不接受</w:t>
      </w:r>
      <w:r>
        <w:rPr>
          <w:rFonts w:hint="eastAsia"/>
          <w:sz w:val="24"/>
          <w:szCs w:val="24"/>
          <w:highlight w:val="none"/>
        </w:rPr>
        <w:t>联合体投标申请。</w:t>
      </w:r>
    </w:p>
    <w:p>
      <w:pPr>
        <w:spacing w:line="400" w:lineRule="exact"/>
        <w:ind w:firstLine="480" w:firstLineChars="200"/>
        <w:rPr>
          <w:rFonts w:hint="eastAsia" w:ascii="宋体" w:hAnsi="宋体"/>
          <w:sz w:val="24"/>
          <w:szCs w:val="24"/>
          <w:highlight w:val="none"/>
        </w:rPr>
      </w:pPr>
      <w:r>
        <w:rPr>
          <w:rFonts w:ascii="宋体" w:hAnsi="宋体"/>
          <w:sz w:val="24"/>
          <w:szCs w:val="24"/>
          <w:highlight w:val="none"/>
        </w:rPr>
        <w:t xml:space="preserve">3.3  </w:t>
      </w:r>
      <w:r>
        <w:rPr>
          <w:rFonts w:hint="eastAsia" w:ascii="宋体" w:hAnsi="宋体"/>
          <w:sz w:val="24"/>
          <w:szCs w:val="24"/>
          <w:highlight w:val="none"/>
        </w:rPr>
        <w:t>投标人</w:t>
      </w:r>
      <w:r>
        <w:rPr>
          <w:rFonts w:hint="eastAsia" w:ascii="宋体" w:hAnsi="宋体"/>
          <w:b/>
          <w:sz w:val="24"/>
          <w:szCs w:val="24"/>
          <w:highlight w:val="none"/>
          <w:shd w:val="pct10" w:color="auto" w:fill="FFFFFF"/>
        </w:rPr>
        <w:t>可在本次招标中</w:t>
      </w:r>
      <w:r>
        <w:rPr>
          <w:rFonts w:hint="eastAsia" w:ascii="宋体" w:hAnsi="宋体"/>
          <w:sz w:val="24"/>
          <w:szCs w:val="24"/>
          <w:highlight w:val="none"/>
        </w:rPr>
        <w:t>获得一个标段的投标机会，对被湖南省交通运输厅评为最近第一年AA级的投标人，可在本次招标中给予增加一个标段的投标机会的奖励；对最近3年（最近第三年、最近第二年、最近第一年）连续被湖南省交通运输厅评为A级的投标人，可在下一信用评价期限内给予一次投标中增加一个标段的投标机会的奖励，不重复奖励。奖励后的可投标段总数量不得超过本次招标工程类别的标段总数。</w:t>
      </w:r>
    </w:p>
    <w:p>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3.4单位负责人为同一人或者存在控股、管理关系的不同单位，或具有直接管理和被管理关系的母子（分）公司，或同一母公司的子（分）公司</w:t>
      </w:r>
      <w:r>
        <w:rPr>
          <w:rStyle w:val="10"/>
          <w:rFonts w:ascii="宋体" w:hAnsi="宋体"/>
          <w:sz w:val="24"/>
          <w:szCs w:val="24"/>
          <w:highlight w:val="none"/>
        </w:rPr>
        <w:footnoteReference w:id="0"/>
      </w:r>
      <w:r>
        <w:rPr>
          <w:rFonts w:hint="eastAsia" w:ascii="宋体" w:hAnsi="宋体"/>
          <w:sz w:val="24"/>
          <w:szCs w:val="24"/>
          <w:highlight w:val="none"/>
        </w:rPr>
        <w:t>（即利益相关企业），</w:t>
      </w:r>
      <w:r>
        <w:rPr>
          <w:rFonts w:hint="eastAsia"/>
          <w:b/>
          <w:sz w:val="24"/>
          <w:szCs w:val="24"/>
          <w:highlight w:val="none"/>
        </w:rPr>
        <w:t>所有利益相关企业的投标人参与同一招标工程类别可投标段的总数量（含奖励增加数量）不得超过该招标工程类别的标段总数，否则其投标均将被否决。</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3.5招标人不接受存在《公路工程标准施工招标文件》（2009年版）“投标人须知”第1.4.3项情形之一的投标人或</w:t>
      </w:r>
      <w:r>
        <w:rPr>
          <w:rFonts w:hint="eastAsia" w:ascii="宋体" w:hAnsi="宋体"/>
          <w:b/>
          <w:sz w:val="24"/>
          <w:szCs w:val="24"/>
          <w:highlight w:val="none"/>
        </w:rPr>
        <w:t>被湖南省交通运输厅评为最近第一年度D级、连续两年（最近第二年和最近第一年）评为C级、连续三年（最近第三年～最近第一年）评为B级及以下信用等级的投标人</w:t>
      </w:r>
      <w:r>
        <w:rPr>
          <w:rFonts w:hint="eastAsia" w:ascii="宋体" w:hAnsi="宋体"/>
          <w:sz w:val="24"/>
          <w:szCs w:val="24"/>
          <w:highlight w:val="none"/>
        </w:rPr>
        <w:t>报名。</w:t>
      </w:r>
    </w:p>
    <w:p>
      <w:pPr>
        <w:pStyle w:val="12"/>
        <w:spacing w:line="400" w:lineRule="exact"/>
        <w:ind w:firstLine="480"/>
        <w:jc w:val="both"/>
        <w:rPr>
          <w:rFonts w:hint="eastAsia" w:ascii="仿宋" w:hAnsi="仿宋" w:eastAsia="仿宋" w:cs="Times New Roman"/>
          <w:b/>
          <w:color w:val="auto"/>
          <w:highlight w:val="none"/>
        </w:rPr>
      </w:pPr>
      <w:r>
        <w:rPr>
          <w:rFonts w:hint="eastAsia" w:ascii="仿宋" w:hAnsi="仿宋" w:eastAsia="仿宋" w:cs="Times New Roman"/>
          <w:b/>
          <w:color w:val="auto"/>
          <w:highlight w:val="none"/>
        </w:rPr>
        <w:t>3.6与招标人存在利害关系可能影响招标公正性的法人、其他组织或者个人，不得参加投标。</w:t>
      </w:r>
    </w:p>
    <w:p>
      <w:pPr>
        <w:pStyle w:val="12"/>
        <w:spacing w:line="400" w:lineRule="exact"/>
        <w:ind w:firstLine="480"/>
        <w:jc w:val="both"/>
        <w:rPr>
          <w:rFonts w:hint="eastAsia" w:ascii="仿宋" w:hAnsi="仿宋" w:eastAsia="仿宋" w:cs="Times New Roman"/>
          <w:b/>
          <w:color w:val="auto"/>
          <w:highlight w:val="none"/>
        </w:rPr>
      </w:pPr>
    </w:p>
    <w:p>
      <w:pPr>
        <w:pStyle w:val="12"/>
        <w:spacing w:line="400" w:lineRule="exact"/>
        <w:jc w:val="both"/>
        <w:rPr>
          <w:rFonts w:ascii="仿宋" w:hAnsi="仿宋" w:eastAsia="仿宋" w:cs="Times New Roman"/>
          <w:b/>
          <w:color w:val="auto"/>
          <w:highlight w:val="none"/>
        </w:rPr>
      </w:pPr>
      <w:r>
        <w:rPr>
          <w:rFonts w:ascii="仿宋" w:hAnsi="仿宋" w:eastAsia="仿宋" w:cs="Times New Roman"/>
          <w:b/>
          <w:color w:val="auto"/>
          <w:highlight w:val="none"/>
        </w:rPr>
        <w:t>4</w:t>
      </w:r>
      <w:r>
        <w:rPr>
          <w:rFonts w:hint="eastAsia" w:ascii="仿宋" w:hAnsi="仿宋" w:eastAsia="仿宋" w:cs="Times New Roman"/>
          <w:b/>
          <w:color w:val="auto"/>
          <w:highlight w:val="none"/>
        </w:rPr>
        <w:t>．评标办法</w:t>
      </w:r>
    </w:p>
    <w:p>
      <w:pPr>
        <w:spacing w:line="400" w:lineRule="exact"/>
        <w:ind w:firstLine="480" w:firstLineChars="200"/>
        <w:rPr>
          <w:rFonts w:hint="eastAsia"/>
          <w:sz w:val="24"/>
          <w:szCs w:val="24"/>
          <w:highlight w:val="none"/>
        </w:rPr>
      </w:pPr>
      <w:r>
        <w:rPr>
          <w:sz w:val="24"/>
          <w:szCs w:val="24"/>
          <w:highlight w:val="none"/>
        </w:rPr>
        <w:t>本次</w:t>
      </w:r>
      <w:r>
        <w:rPr>
          <w:rFonts w:hint="eastAsia"/>
          <w:sz w:val="24"/>
          <w:szCs w:val="24"/>
          <w:highlight w:val="none"/>
        </w:rPr>
        <w:t>招标</w:t>
      </w:r>
      <w:r>
        <w:rPr>
          <w:sz w:val="24"/>
          <w:szCs w:val="24"/>
          <w:highlight w:val="none"/>
        </w:rPr>
        <w:t>采用</w:t>
      </w:r>
      <w:r>
        <w:rPr>
          <w:rFonts w:hint="eastAsia"/>
          <w:sz w:val="24"/>
          <w:szCs w:val="24"/>
          <w:highlight w:val="none"/>
        </w:rPr>
        <w:t>分类资审随机分配合理低价法评标，详见附件3评标办法。</w:t>
      </w:r>
    </w:p>
    <w:p>
      <w:pPr>
        <w:pStyle w:val="12"/>
        <w:spacing w:line="420" w:lineRule="exact"/>
        <w:jc w:val="both"/>
        <w:rPr>
          <w:rFonts w:hint="eastAsia" w:hAnsi="宋体" w:cs="Times New Roman"/>
          <w:b/>
          <w:color w:val="auto"/>
          <w:highlight w:val="none"/>
        </w:rPr>
      </w:pPr>
    </w:p>
    <w:p>
      <w:pPr>
        <w:pStyle w:val="12"/>
        <w:spacing w:line="400" w:lineRule="exact"/>
        <w:jc w:val="both"/>
        <w:rPr>
          <w:rFonts w:ascii="仿宋" w:hAnsi="仿宋" w:eastAsia="仿宋" w:cs="Times New Roman"/>
          <w:b/>
          <w:color w:val="auto"/>
          <w:highlight w:val="none"/>
        </w:rPr>
      </w:pPr>
      <w:r>
        <w:rPr>
          <w:rFonts w:ascii="仿宋" w:hAnsi="仿宋" w:eastAsia="仿宋" w:cs="Times New Roman"/>
          <w:b/>
          <w:color w:val="auto"/>
          <w:highlight w:val="none"/>
        </w:rPr>
        <w:t>5</w:t>
      </w:r>
      <w:r>
        <w:rPr>
          <w:rFonts w:hint="eastAsia" w:ascii="仿宋" w:hAnsi="仿宋" w:eastAsia="仿宋" w:cs="Times New Roman"/>
          <w:b/>
          <w:color w:val="auto"/>
          <w:highlight w:val="none"/>
        </w:rPr>
        <w:t>．招标文件的获取</w:t>
      </w:r>
    </w:p>
    <w:p>
      <w:pPr>
        <w:autoSpaceDE w:val="0"/>
        <w:autoSpaceDN w:val="0"/>
        <w:adjustRightInd w:val="0"/>
        <w:ind w:firstLine="480" w:firstLineChars="200"/>
        <w:rPr>
          <w:rFonts w:hint="eastAsia"/>
          <w:sz w:val="24"/>
          <w:szCs w:val="24"/>
          <w:highlight w:val="none"/>
        </w:rPr>
      </w:pPr>
      <w:r>
        <w:rPr>
          <w:rFonts w:hint="eastAsia"/>
          <w:sz w:val="24"/>
          <w:szCs w:val="24"/>
          <w:highlight w:val="none"/>
        </w:rPr>
        <w:t>5.1投标人请于招标文件规定的报名时间</w:t>
      </w:r>
      <w:r>
        <w:rPr>
          <w:sz w:val="24"/>
          <w:szCs w:val="24"/>
          <w:highlight w:val="none"/>
        </w:rPr>
        <w:t xml:space="preserve"> (</w:t>
      </w:r>
      <w:r>
        <w:rPr>
          <w:rFonts w:hint="eastAsia"/>
          <w:sz w:val="24"/>
          <w:szCs w:val="24"/>
          <w:highlight w:val="none"/>
        </w:rPr>
        <w:t>见本招标公告正文上方</w:t>
      </w:r>
      <w:r>
        <w:rPr>
          <w:sz w:val="24"/>
          <w:szCs w:val="24"/>
          <w:highlight w:val="none"/>
        </w:rPr>
        <w:t>)</w:t>
      </w:r>
      <w:r>
        <w:rPr>
          <w:rFonts w:hint="eastAsia"/>
          <w:sz w:val="24"/>
          <w:szCs w:val="24"/>
          <w:highlight w:val="none"/>
        </w:rPr>
        <w:t>内通过互联网使用</w:t>
      </w:r>
      <w:r>
        <w:rPr>
          <w:sz w:val="24"/>
          <w:szCs w:val="24"/>
          <w:highlight w:val="none"/>
        </w:rPr>
        <w:t xml:space="preserve">CA </w:t>
      </w:r>
      <w:r>
        <w:rPr>
          <w:rFonts w:hint="eastAsia"/>
          <w:sz w:val="24"/>
          <w:szCs w:val="24"/>
          <w:highlight w:val="none"/>
        </w:rPr>
        <w:t>数字证书登录湖南省交通建设电子招投标系统（http://dzztb.hnjt.gov.cn/）中,按类别报名，并在投标报名截止时间前支付费用（该类别中具备多个标段投标资格的投标人，应在其可投标标段资格数范围内一次性购买）后，在交易系统下载招标文件,在IE中打开此网页 (</w:t>
      </w:r>
      <w:bookmarkStart w:id="0" w:name="_Hlt472191188"/>
      <w:bookmarkStart w:id="1" w:name="_Hlt472191189"/>
      <w:r>
        <w:rPr>
          <w:rFonts w:hint="eastAsia"/>
          <w:sz w:val="24"/>
          <w:szCs w:val="24"/>
          <w:highlight w:val="none"/>
        </w:rPr>
        <w:t>http://dzztb.hnjt.gov.cn/hnjthy/Download/G5513长益高速公路扩容工程项目土建工程施工第1、3标段图纸.rar)</w:t>
      </w:r>
      <w:bookmarkEnd w:id="0"/>
      <w:bookmarkEnd w:id="1"/>
      <w:r>
        <w:rPr>
          <w:rFonts w:hint="eastAsia"/>
          <w:sz w:val="24"/>
          <w:szCs w:val="24"/>
          <w:highlight w:val="none"/>
        </w:rPr>
        <w:t xml:space="preserve"> 下载招标图纸及相关资料。联合体投标的，由联合体牵头人完成网上支付、招标文件等资料下载。</w:t>
      </w:r>
    </w:p>
    <w:p>
      <w:pPr>
        <w:spacing w:line="400" w:lineRule="exact"/>
        <w:ind w:firstLine="480" w:firstLineChars="200"/>
        <w:rPr>
          <w:rFonts w:hint="eastAsia"/>
          <w:sz w:val="24"/>
          <w:szCs w:val="24"/>
          <w:highlight w:val="none"/>
        </w:rPr>
      </w:pPr>
      <w:r>
        <w:rPr>
          <w:rFonts w:hint="eastAsia"/>
          <w:sz w:val="24"/>
          <w:szCs w:val="24"/>
          <w:highlight w:val="none"/>
        </w:rPr>
        <w:t>5.3招标文件每套售价人民币1000元，电子版图纸每个类别售价人民币3000元（工本费），具有2个标段投标资格的投标人必须分别购买相应套数的招标文件和图纸，售后不退。</w:t>
      </w:r>
      <w:r>
        <w:rPr>
          <w:rFonts w:hint="eastAsia" w:ascii="宋体" w:hAnsi="宋体"/>
          <w:sz w:val="24"/>
          <w:szCs w:val="24"/>
          <w:highlight w:val="none"/>
        </w:rPr>
        <w:t>投标人请在报名截止时间前将报名费用一次性转账</w:t>
      </w:r>
      <w:r>
        <w:rPr>
          <w:rFonts w:hint="eastAsia" w:ascii="宋体" w:hAnsi="宋体"/>
          <w:b/>
          <w:bCs/>
          <w:sz w:val="24"/>
          <w:szCs w:val="24"/>
          <w:highlight w:val="none"/>
          <w:u w:val="single"/>
        </w:rPr>
        <w:t>（</w:t>
      </w:r>
      <w:r>
        <w:rPr>
          <w:rFonts w:hint="eastAsia" w:ascii="宋体" w:hAnsi="宋体"/>
          <w:b/>
          <w:sz w:val="24"/>
          <w:highlight w:val="none"/>
          <w:u w:val="single"/>
        </w:rPr>
        <w:t>必须从投标人基本</w:t>
      </w:r>
      <w:r>
        <w:rPr>
          <w:rFonts w:hint="eastAsia" w:ascii="宋体" w:hAnsi="宋体"/>
          <w:b/>
          <w:bCs/>
          <w:sz w:val="24"/>
          <w:szCs w:val="24"/>
          <w:highlight w:val="none"/>
          <w:u w:val="single"/>
        </w:rPr>
        <w:t>帐户转出,以招标执行机构指定帐号到帐时间为准）</w:t>
      </w:r>
      <w:r>
        <w:rPr>
          <w:rFonts w:hint="eastAsia" w:ascii="宋体" w:hAnsi="宋体"/>
          <w:sz w:val="24"/>
          <w:szCs w:val="24"/>
          <w:highlight w:val="none"/>
        </w:rPr>
        <w:t>至</w:t>
      </w:r>
      <w:r>
        <w:rPr>
          <w:rFonts w:hint="eastAsia" w:ascii="宋体" w:hAnsi="宋体"/>
          <w:bCs/>
          <w:sz w:val="24"/>
          <w:szCs w:val="24"/>
          <w:highlight w:val="none"/>
        </w:rPr>
        <w:t>招标执行机构账户，收款账户信息如下：</w:t>
      </w:r>
    </w:p>
    <w:p>
      <w:pPr>
        <w:rPr>
          <w:rFonts w:hint="eastAsia" w:ascii="宋体" w:hAnsi="宋体"/>
          <w:bCs/>
          <w:sz w:val="24"/>
          <w:szCs w:val="24"/>
          <w:highlight w:val="none"/>
          <w:u w:val="single"/>
        </w:rPr>
      </w:pPr>
      <w:r>
        <w:rPr>
          <w:rFonts w:hint="eastAsia" w:ascii="宋体" w:hAnsi="宋体"/>
          <w:bCs/>
          <w:sz w:val="24"/>
          <w:szCs w:val="24"/>
          <w:highlight w:val="none"/>
        </w:rPr>
        <w:t>开 户 名：</w:t>
      </w:r>
      <w:r>
        <w:rPr>
          <w:rFonts w:hint="eastAsia" w:ascii="宋体" w:hAnsi="宋体" w:cs="宋体"/>
          <w:sz w:val="24"/>
          <w:szCs w:val="24"/>
          <w:highlight w:val="none"/>
          <w:u w:val="single"/>
        </w:rPr>
        <w:t>湖南省高速公路建设开发总公司长益高速公路扩容工程项目部</w:t>
      </w:r>
    </w:p>
    <w:p>
      <w:pPr>
        <w:spacing w:line="400" w:lineRule="exact"/>
        <w:jc w:val="left"/>
        <w:rPr>
          <w:rFonts w:hint="eastAsia" w:ascii="宋体" w:hAnsi="宋体"/>
          <w:bCs/>
          <w:sz w:val="24"/>
          <w:szCs w:val="24"/>
          <w:highlight w:val="none"/>
        </w:rPr>
      </w:pPr>
      <w:r>
        <w:rPr>
          <w:rFonts w:hint="eastAsia" w:ascii="宋体" w:hAnsi="宋体"/>
          <w:bCs/>
          <w:sz w:val="24"/>
          <w:szCs w:val="24"/>
          <w:highlight w:val="none"/>
        </w:rPr>
        <w:t>开户银行：</w:t>
      </w:r>
      <w:r>
        <w:rPr>
          <w:rFonts w:hint="eastAsia" w:ascii="宋体" w:hAnsi="宋体" w:cs="宋体"/>
          <w:sz w:val="24"/>
          <w:szCs w:val="24"/>
          <w:highlight w:val="none"/>
          <w:u w:val="single"/>
        </w:rPr>
        <w:t>长沙农村商业银行股份有限公司开福支行（行号402551089005）</w:t>
      </w:r>
    </w:p>
    <w:p>
      <w:pPr>
        <w:spacing w:line="400" w:lineRule="exact"/>
        <w:rPr>
          <w:rFonts w:hint="eastAsia" w:ascii="宋体" w:hAnsi="宋体"/>
          <w:bCs/>
          <w:sz w:val="24"/>
          <w:szCs w:val="24"/>
          <w:highlight w:val="none"/>
        </w:rPr>
      </w:pPr>
      <w:r>
        <w:rPr>
          <w:rFonts w:hint="eastAsia" w:ascii="宋体" w:hAnsi="宋体"/>
          <w:bCs/>
          <w:sz w:val="24"/>
          <w:szCs w:val="24"/>
          <w:highlight w:val="none"/>
        </w:rPr>
        <w:t>账    号：</w:t>
      </w:r>
      <w:r>
        <w:rPr>
          <w:rFonts w:hint="eastAsia" w:ascii="宋体" w:hAnsi="宋体" w:cs="宋体"/>
          <w:sz w:val="24"/>
          <w:szCs w:val="24"/>
          <w:highlight w:val="none"/>
          <w:u w:val="single"/>
        </w:rPr>
        <w:t>800811100117741000120002</w:t>
      </w:r>
    </w:p>
    <w:p>
      <w:pPr>
        <w:spacing w:line="400" w:lineRule="exact"/>
        <w:jc w:val="left"/>
        <w:rPr>
          <w:rFonts w:hint="eastAsia" w:ascii="宋体" w:hAnsi="宋体"/>
          <w:bCs/>
          <w:sz w:val="24"/>
          <w:szCs w:val="24"/>
          <w:highlight w:val="none"/>
        </w:rPr>
      </w:pPr>
      <w:r>
        <w:rPr>
          <w:rFonts w:hint="eastAsia" w:ascii="宋体" w:hAnsi="宋体"/>
          <w:bCs/>
          <w:sz w:val="24"/>
          <w:szCs w:val="24"/>
          <w:highlight w:val="none"/>
        </w:rPr>
        <w:t>开户行电话：</w:t>
      </w:r>
      <w:r>
        <w:rPr>
          <w:rFonts w:hint="eastAsia" w:ascii="宋体" w:hAnsi="宋体" w:cs="宋体"/>
          <w:sz w:val="24"/>
          <w:szCs w:val="24"/>
          <w:highlight w:val="none"/>
          <w:u w:val="single"/>
        </w:rPr>
        <w:t>0731-89776900 （</w:t>
      </w:r>
      <w:r>
        <w:rPr>
          <w:rFonts w:hint="eastAsia" w:hAnsi="宋体"/>
          <w:sz w:val="24"/>
          <w:highlight w:val="none"/>
          <w:u w:val="single"/>
        </w:rPr>
        <w:t>13875875377）</w:t>
      </w:r>
      <w:r>
        <w:rPr>
          <w:rFonts w:hint="eastAsia" w:ascii="宋体" w:hAnsi="宋体"/>
          <w:bCs/>
          <w:sz w:val="24"/>
          <w:szCs w:val="24"/>
          <w:highlight w:val="none"/>
        </w:rPr>
        <w:t xml:space="preserve">       联系人：</w:t>
      </w:r>
      <w:r>
        <w:rPr>
          <w:rFonts w:hint="eastAsia" w:ascii="宋体" w:hAnsi="宋体" w:cs="宋体"/>
          <w:sz w:val="24"/>
          <w:szCs w:val="24"/>
          <w:highlight w:val="none"/>
          <w:u w:val="single"/>
        </w:rPr>
        <w:t>蔡 璐</w:t>
      </w:r>
    </w:p>
    <w:p>
      <w:pPr>
        <w:spacing w:line="360" w:lineRule="exact"/>
        <w:ind w:firstLine="500" w:firstLineChars="200"/>
        <w:rPr>
          <w:rFonts w:hint="eastAsia"/>
          <w:sz w:val="28"/>
          <w:szCs w:val="24"/>
          <w:highlight w:val="none"/>
        </w:rPr>
      </w:pPr>
      <w:r>
        <w:rPr>
          <w:rFonts w:hint="eastAsia"/>
          <w:sz w:val="25"/>
          <w:szCs w:val="21"/>
          <w:highlight w:val="none"/>
        </w:rPr>
        <w:t>5.4投标人应及时在</w:t>
      </w:r>
      <w:r>
        <w:rPr>
          <w:rFonts w:hint="eastAsia"/>
          <w:sz w:val="24"/>
          <w:szCs w:val="24"/>
          <w:highlight w:val="none"/>
        </w:rPr>
        <w:t>湖南省公路水路建设与运输市场信用信息服务网站（http://218.76.40.80:9000/hnxyfw）（以下简称“信用信息系统”）中填报、完善、公开本单位信用信息。</w:t>
      </w:r>
    </w:p>
    <w:p>
      <w:pPr>
        <w:pStyle w:val="12"/>
        <w:spacing w:line="400" w:lineRule="exact"/>
        <w:jc w:val="both"/>
        <w:rPr>
          <w:rFonts w:hint="eastAsia" w:ascii="仿宋" w:hAnsi="仿宋" w:eastAsia="仿宋" w:cs="Times New Roman"/>
          <w:color w:val="auto"/>
          <w:highlight w:val="none"/>
        </w:rPr>
      </w:pPr>
    </w:p>
    <w:p>
      <w:pPr>
        <w:pStyle w:val="12"/>
        <w:spacing w:line="400" w:lineRule="exact"/>
        <w:jc w:val="both"/>
        <w:rPr>
          <w:b/>
          <w:color w:val="auto"/>
          <w:highlight w:val="none"/>
        </w:rPr>
      </w:pPr>
      <w:r>
        <w:rPr>
          <w:rFonts w:ascii="仿宋" w:hAnsi="仿宋" w:eastAsia="仿宋" w:cs="Times New Roman"/>
          <w:b/>
          <w:color w:val="auto"/>
          <w:highlight w:val="none"/>
        </w:rPr>
        <w:t>6</w:t>
      </w:r>
      <w:r>
        <w:rPr>
          <w:rFonts w:hint="eastAsia" w:ascii="仿宋" w:hAnsi="仿宋" w:eastAsia="仿宋" w:cs="Times New Roman"/>
          <w:b/>
          <w:color w:val="auto"/>
          <w:highlight w:val="none"/>
        </w:rPr>
        <w:t>．投标文件的递交及相关事宜</w:t>
      </w:r>
    </w:p>
    <w:p>
      <w:pPr>
        <w:spacing w:line="400" w:lineRule="exact"/>
        <w:ind w:firstLine="480" w:firstLineChars="200"/>
        <w:rPr>
          <w:rFonts w:hint="eastAsia"/>
          <w:sz w:val="24"/>
          <w:szCs w:val="24"/>
          <w:highlight w:val="none"/>
        </w:rPr>
      </w:pPr>
      <w:r>
        <w:rPr>
          <w:sz w:val="24"/>
          <w:szCs w:val="24"/>
          <w:highlight w:val="none"/>
        </w:rPr>
        <w:t>6.1</w:t>
      </w:r>
      <w:r>
        <w:rPr>
          <w:rFonts w:hint="eastAsia"/>
          <w:sz w:val="24"/>
          <w:szCs w:val="24"/>
          <w:highlight w:val="none"/>
        </w:rPr>
        <w:t>招标人不组织进行工程现场踏勘，不召开投标预备会。</w:t>
      </w:r>
    </w:p>
    <w:p>
      <w:pPr>
        <w:autoSpaceDE w:val="0"/>
        <w:autoSpaceDN w:val="0"/>
        <w:adjustRightInd w:val="0"/>
        <w:jc w:val="left"/>
        <w:rPr>
          <w:rFonts w:ascii="宋体" w:hAnsi="TimesNewRomanPSMT" w:cs="宋体"/>
          <w:kern w:val="0"/>
          <w:sz w:val="24"/>
          <w:szCs w:val="24"/>
          <w:highlight w:val="none"/>
        </w:rPr>
      </w:pPr>
      <w:r>
        <w:rPr>
          <w:rFonts w:hint="eastAsia" w:ascii="TimesNewRomanPSMT" w:hAnsi="TimesNewRomanPSMT" w:cs="TimesNewRomanPSMT"/>
          <w:kern w:val="0"/>
          <w:sz w:val="24"/>
          <w:szCs w:val="24"/>
          <w:highlight w:val="none"/>
        </w:rPr>
        <w:t xml:space="preserve">    6</w:t>
      </w:r>
      <w:r>
        <w:rPr>
          <w:rFonts w:ascii="TimesNewRomanPSMT" w:hAnsi="TimesNewRomanPSMT" w:cs="TimesNewRomanPSMT"/>
          <w:kern w:val="0"/>
          <w:sz w:val="24"/>
          <w:szCs w:val="24"/>
          <w:highlight w:val="none"/>
        </w:rPr>
        <w:t xml:space="preserve">.2 </w:t>
      </w:r>
      <w:r>
        <w:rPr>
          <w:rFonts w:hint="eastAsia" w:ascii="宋体" w:hAnsi="TimesNewRomanPSMT" w:cs="宋体"/>
          <w:kern w:val="0"/>
          <w:sz w:val="24"/>
          <w:szCs w:val="24"/>
          <w:highlight w:val="none"/>
        </w:rPr>
        <w:t>投标文件包括加密的投标文件和不加密的投标文件（U 盘形式）。投标文件递交的截止时间</w:t>
      </w:r>
      <w:r>
        <w:rPr>
          <w:rFonts w:ascii="TimesNewRomanPSMT" w:hAnsi="TimesNewRomanPSMT" w:cs="TimesNewRomanPSMT"/>
          <w:kern w:val="0"/>
          <w:sz w:val="24"/>
          <w:szCs w:val="24"/>
          <w:highlight w:val="none"/>
        </w:rPr>
        <w:t>(</w:t>
      </w:r>
      <w:r>
        <w:rPr>
          <w:rFonts w:hint="eastAsia" w:ascii="宋体" w:hAnsi="TimesNewRomanPSMT" w:cs="宋体"/>
          <w:kern w:val="0"/>
          <w:sz w:val="24"/>
          <w:szCs w:val="24"/>
          <w:highlight w:val="none"/>
        </w:rPr>
        <w:t>投标截止时间，下同</w:t>
      </w:r>
      <w:r>
        <w:rPr>
          <w:rFonts w:ascii="TimesNewRomanPSMT" w:hAnsi="TimesNewRomanPSMT" w:cs="TimesNewRomanPSMT"/>
          <w:kern w:val="0"/>
          <w:sz w:val="24"/>
          <w:szCs w:val="24"/>
          <w:highlight w:val="none"/>
        </w:rPr>
        <w:t>)</w:t>
      </w:r>
      <w:r>
        <w:rPr>
          <w:rFonts w:hint="eastAsia" w:ascii="宋体" w:hAnsi="TimesNewRomanPSMT" w:cs="宋体"/>
          <w:kern w:val="0"/>
          <w:sz w:val="24"/>
          <w:szCs w:val="24"/>
          <w:highlight w:val="none"/>
        </w:rPr>
        <w:t>见</w:t>
      </w:r>
      <w:r>
        <w:rPr>
          <w:rFonts w:hint="eastAsia"/>
          <w:sz w:val="24"/>
          <w:szCs w:val="24"/>
          <w:highlight w:val="none"/>
        </w:rPr>
        <w:t>湖南省交通建设电子招投标系统</w:t>
      </w:r>
      <w:r>
        <w:rPr>
          <w:sz w:val="24"/>
          <w:szCs w:val="24"/>
          <w:highlight w:val="none"/>
        </w:rPr>
        <w:t>本招标公告</w:t>
      </w:r>
      <w:r>
        <w:rPr>
          <w:rFonts w:hint="eastAsia"/>
          <w:sz w:val="24"/>
          <w:szCs w:val="24"/>
          <w:highlight w:val="none"/>
        </w:rPr>
        <w:t>正文上方</w:t>
      </w:r>
      <w:r>
        <w:rPr>
          <w:rFonts w:hint="eastAsia" w:ascii="宋体" w:hAnsi="TimesNewRomanPSMT" w:cs="宋体"/>
          <w:kern w:val="0"/>
          <w:sz w:val="24"/>
          <w:szCs w:val="24"/>
          <w:highlight w:val="none"/>
        </w:rPr>
        <w:t>，投标人应当在投标截止时间前，以下列两种方式同时递交投标文件：</w:t>
      </w:r>
    </w:p>
    <w:p>
      <w:pPr>
        <w:autoSpaceDE w:val="0"/>
        <w:autoSpaceDN w:val="0"/>
        <w:adjustRightInd w:val="0"/>
        <w:jc w:val="left"/>
        <w:rPr>
          <w:rFonts w:ascii="宋体" w:hAnsi="TimesNewRomanPSMT" w:cs="宋体"/>
          <w:kern w:val="0"/>
          <w:sz w:val="24"/>
          <w:szCs w:val="24"/>
          <w:highlight w:val="none"/>
        </w:rPr>
      </w:pPr>
      <w:r>
        <w:rPr>
          <w:rFonts w:hint="eastAsia" w:ascii="宋体" w:hAnsi="TimesNewRomanPSMT" w:cs="宋体"/>
          <w:kern w:val="0"/>
          <w:sz w:val="24"/>
          <w:szCs w:val="24"/>
          <w:highlight w:val="none"/>
        </w:rPr>
        <w:t>（</w:t>
      </w:r>
      <w:r>
        <w:rPr>
          <w:rFonts w:ascii="TimesNewRomanPSMT" w:hAnsi="TimesNewRomanPSMT" w:cs="TimesNewRomanPSMT"/>
          <w:kern w:val="0"/>
          <w:sz w:val="24"/>
          <w:szCs w:val="24"/>
          <w:highlight w:val="none"/>
        </w:rPr>
        <w:t>1</w:t>
      </w:r>
      <w:r>
        <w:rPr>
          <w:rFonts w:hint="eastAsia" w:ascii="宋体" w:hAnsi="TimesNewRomanPSMT" w:cs="宋体"/>
          <w:kern w:val="0"/>
          <w:sz w:val="24"/>
          <w:szCs w:val="24"/>
          <w:highlight w:val="none"/>
        </w:rPr>
        <w:t>）网上递交：投标人应当在投标截止时间前，通过互联网使用</w:t>
      </w:r>
      <w:r>
        <w:rPr>
          <w:rFonts w:ascii="TimesNewRomanPSMT" w:hAnsi="TimesNewRomanPSMT" w:cs="TimesNewRomanPSMT"/>
          <w:kern w:val="0"/>
          <w:sz w:val="24"/>
          <w:szCs w:val="24"/>
          <w:highlight w:val="none"/>
        </w:rPr>
        <w:t xml:space="preserve">CA </w:t>
      </w:r>
      <w:r>
        <w:rPr>
          <w:rFonts w:hint="eastAsia" w:ascii="宋体" w:hAnsi="TimesNewRomanPSMT" w:cs="宋体"/>
          <w:kern w:val="0"/>
          <w:sz w:val="24"/>
          <w:szCs w:val="24"/>
          <w:highlight w:val="none"/>
        </w:rPr>
        <w:t>数字证书</w:t>
      </w:r>
    </w:p>
    <w:p>
      <w:pPr>
        <w:autoSpaceDE w:val="0"/>
        <w:autoSpaceDN w:val="0"/>
        <w:adjustRightInd w:val="0"/>
        <w:jc w:val="left"/>
        <w:rPr>
          <w:rFonts w:ascii="宋体" w:hAnsi="TimesNewRomanPSMT" w:cs="宋体"/>
          <w:kern w:val="0"/>
          <w:sz w:val="24"/>
          <w:szCs w:val="24"/>
          <w:highlight w:val="none"/>
        </w:rPr>
      </w:pPr>
      <w:r>
        <w:rPr>
          <w:rFonts w:hint="eastAsia" w:ascii="宋体" w:hAnsi="TimesNewRomanPSMT" w:cs="宋体"/>
          <w:kern w:val="0"/>
          <w:sz w:val="24"/>
          <w:szCs w:val="24"/>
          <w:highlight w:val="none"/>
        </w:rPr>
        <w:t>登录“交易系统”，将加密的投标文件(</w:t>
      </w:r>
      <w:r>
        <w:rPr>
          <w:rFonts w:hint="eastAsia"/>
          <w:sz w:val="24"/>
          <w:szCs w:val="24"/>
          <w:highlight w:val="none"/>
        </w:rPr>
        <w:t>投标文件第一信封（商务;和技术文件）和投标文件第二信封（投标报价和工程量清单）</w:t>
      </w:r>
      <w:r>
        <w:rPr>
          <w:rFonts w:hint="eastAsia" w:ascii="宋体" w:hAnsi="TimesNewRomanPSMT" w:cs="宋体"/>
          <w:kern w:val="0"/>
          <w:sz w:val="24"/>
          <w:szCs w:val="24"/>
          <w:highlight w:val="none"/>
        </w:rPr>
        <w:t>)上传，并保存上传成功后系统自动生成的电子签收凭证，递交时间即为电子签收凭证时间。逾期未完成上传或未按规定加密的投标文件，招标人不予接收。</w:t>
      </w:r>
    </w:p>
    <w:p>
      <w:pPr>
        <w:autoSpaceDE w:val="0"/>
        <w:autoSpaceDN w:val="0"/>
        <w:adjustRightInd w:val="0"/>
        <w:jc w:val="left"/>
        <w:rPr>
          <w:rFonts w:ascii="宋体" w:hAnsi="TimesNewRomanPSMT" w:cs="宋体"/>
          <w:kern w:val="0"/>
          <w:sz w:val="24"/>
          <w:szCs w:val="24"/>
          <w:highlight w:val="none"/>
        </w:rPr>
      </w:pPr>
      <w:r>
        <w:rPr>
          <w:rFonts w:hint="eastAsia" w:ascii="宋体" w:hAnsi="TimesNewRomanPSMT" w:cs="宋体"/>
          <w:kern w:val="0"/>
          <w:sz w:val="24"/>
          <w:szCs w:val="24"/>
          <w:highlight w:val="none"/>
        </w:rPr>
        <w:t>（</w:t>
      </w:r>
      <w:r>
        <w:rPr>
          <w:rFonts w:ascii="TimesNewRomanPSMT" w:hAnsi="TimesNewRomanPSMT" w:cs="TimesNewRomanPSMT"/>
          <w:kern w:val="0"/>
          <w:sz w:val="24"/>
          <w:szCs w:val="24"/>
          <w:highlight w:val="none"/>
        </w:rPr>
        <w:t>2</w:t>
      </w:r>
      <w:r>
        <w:rPr>
          <w:rFonts w:hint="eastAsia" w:ascii="宋体" w:hAnsi="TimesNewRomanPSMT" w:cs="宋体"/>
          <w:kern w:val="0"/>
          <w:sz w:val="24"/>
          <w:szCs w:val="24"/>
          <w:highlight w:val="none"/>
        </w:rPr>
        <w:t>）现场递交：投标人应当在投标截止时间当日8时30分至9时30分，将不加密的投标文件（</w:t>
      </w:r>
      <w:r>
        <w:rPr>
          <w:rFonts w:ascii="TimesNewRomanPSMT" w:hAnsi="TimesNewRomanPSMT" w:cs="TimesNewRomanPSMT"/>
          <w:kern w:val="0"/>
          <w:sz w:val="24"/>
          <w:szCs w:val="24"/>
          <w:highlight w:val="none"/>
        </w:rPr>
        <w:t>U</w:t>
      </w:r>
      <w:r>
        <w:rPr>
          <w:rFonts w:hint="eastAsia" w:ascii="宋体" w:hAnsi="TimesNewRomanPSMT" w:cs="宋体"/>
          <w:kern w:val="0"/>
          <w:sz w:val="24"/>
          <w:szCs w:val="24"/>
          <w:highlight w:val="none"/>
        </w:rPr>
        <w:t>盘备份）</w:t>
      </w:r>
      <w:r>
        <w:rPr>
          <w:rFonts w:ascii="宋体" w:hAnsi="TimesNewRomanPSMT" w:cs="宋体"/>
          <w:kern w:val="0"/>
          <w:sz w:val="24"/>
          <w:szCs w:val="24"/>
          <w:highlight w:val="none"/>
        </w:rPr>
        <w:t xml:space="preserve"> </w:t>
      </w:r>
      <w:r>
        <w:rPr>
          <w:rFonts w:hint="eastAsia" w:ascii="宋体" w:hAnsi="TimesNewRomanPSMT" w:cs="宋体"/>
          <w:kern w:val="0"/>
          <w:sz w:val="24"/>
          <w:szCs w:val="24"/>
          <w:highlight w:val="none"/>
        </w:rPr>
        <w:t>按照招标文件要求密封后，递交至</w:t>
      </w:r>
      <w:r>
        <w:rPr>
          <w:rFonts w:hint="eastAsia"/>
          <w:sz w:val="24"/>
          <w:szCs w:val="24"/>
          <w:highlight w:val="none"/>
        </w:rPr>
        <w:t>长沙市万家丽南路2段29号湖南省公共资源交易中心开标室</w:t>
      </w:r>
      <w:r>
        <w:rPr>
          <w:rFonts w:hint="eastAsia" w:ascii="宋体" w:hAnsi="TimesNewRomanPSMT" w:cs="宋体"/>
          <w:kern w:val="0"/>
          <w:sz w:val="24"/>
          <w:szCs w:val="24"/>
          <w:highlight w:val="none"/>
        </w:rPr>
        <w:t>。逾期送达的或者未送达指定地点的或者不按照招标文件要求密封的投标文件，招标人不予接收。</w:t>
      </w:r>
    </w:p>
    <w:p>
      <w:pPr>
        <w:pStyle w:val="12"/>
        <w:spacing w:line="360" w:lineRule="exact"/>
        <w:jc w:val="both"/>
        <w:rPr>
          <w:rFonts w:hint="eastAsia" w:hAnsi="宋体" w:cs="Times New Roman"/>
          <w:b/>
          <w:color w:val="auto"/>
          <w:highlight w:val="none"/>
        </w:rPr>
      </w:pPr>
    </w:p>
    <w:p>
      <w:pPr>
        <w:pStyle w:val="12"/>
        <w:spacing w:line="360" w:lineRule="exact"/>
        <w:jc w:val="both"/>
        <w:rPr>
          <w:rFonts w:hint="eastAsia" w:hAnsi="宋体" w:cs="Times New Roman"/>
          <w:b/>
          <w:color w:val="auto"/>
          <w:highlight w:val="none"/>
        </w:rPr>
      </w:pPr>
      <w:r>
        <w:rPr>
          <w:rFonts w:hint="eastAsia" w:hAnsi="宋体" w:cs="Times New Roman"/>
          <w:b/>
          <w:color w:val="auto"/>
          <w:highlight w:val="none"/>
        </w:rPr>
        <w:t>7.随机分配标段和投标文件第二信封（投标报价和工程量清单）开标事宜</w:t>
      </w:r>
    </w:p>
    <w:p>
      <w:pPr>
        <w:spacing w:line="360" w:lineRule="exact"/>
        <w:ind w:firstLine="480" w:firstLineChars="200"/>
        <w:rPr>
          <w:rFonts w:hint="eastAsia"/>
          <w:kern w:val="0"/>
          <w:sz w:val="24"/>
          <w:highlight w:val="none"/>
        </w:rPr>
      </w:pPr>
      <w:r>
        <w:rPr>
          <w:rFonts w:hint="eastAsia"/>
          <w:kern w:val="0"/>
          <w:sz w:val="24"/>
          <w:highlight w:val="none"/>
        </w:rPr>
        <w:t>7.1在投标文件第一信封（商务及技术文件）评审完成后，招标人将及时通知未通过评审的投标人未通过审查的理由。投标人对评审结果有异议的，应当在自收到评审结果3日内在交易系统中提出。招标人自收到异议之日起3日内作出答复，招标人未收到异议或者收到异议并已作出答复的，将及时通知投标人投标文件第二信封（投标报价和工程量清单）开标时间。</w:t>
      </w:r>
    </w:p>
    <w:p>
      <w:pPr>
        <w:spacing w:line="360" w:lineRule="exact"/>
        <w:ind w:firstLine="480" w:firstLineChars="200"/>
        <w:rPr>
          <w:rFonts w:hint="eastAsia"/>
          <w:kern w:val="0"/>
          <w:sz w:val="24"/>
          <w:highlight w:val="none"/>
        </w:rPr>
      </w:pPr>
      <w:r>
        <w:rPr>
          <w:rFonts w:hint="eastAsia"/>
          <w:kern w:val="0"/>
          <w:sz w:val="24"/>
          <w:highlight w:val="none"/>
        </w:rPr>
        <w:t>7.2招标人将在现场监督人员的监督下，先采取随机摇号的方式，根据平均分配的原则，随机分配具有随机分配标段资格的投标人的标段号，再按程序对投标文件第二信封（投标报价和工程量清单）开标。</w:t>
      </w:r>
    </w:p>
    <w:p>
      <w:pPr>
        <w:spacing w:line="360" w:lineRule="exact"/>
        <w:ind w:firstLine="422" w:firstLineChars="200"/>
        <w:rPr>
          <w:rFonts w:hint="eastAsia"/>
          <w:b/>
          <w:highlight w:val="none"/>
          <w:shd w:val="pct10" w:color="auto" w:fill="FFFFFF"/>
        </w:rPr>
      </w:pPr>
    </w:p>
    <w:p>
      <w:pPr>
        <w:spacing w:line="360" w:lineRule="exact"/>
        <w:ind w:firstLine="422" w:firstLineChars="200"/>
        <w:rPr>
          <w:rFonts w:hint="eastAsia"/>
          <w:b/>
          <w:highlight w:val="none"/>
          <w:shd w:val="pct10" w:color="auto" w:fill="FFFFFF"/>
        </w:rPr>
      </w:pPr>
    </w:p>
    <w:p>
      <w:pPr>
        <w:pStyle w:val="12"/>
        <w:spacing w:line="360" w:lineRule="exact"/>
        <w:jc w:val="both"/>
        <w:rPr>
          <w:rFonts w:hint="eastAsia" w:ascii="仿宋" w:hAnsi="仿宋" w:eastAsia="仿宋" w:cs="Times New Roman"/>
          <w:b/>
          <w:color w:val="auto"/>
          <w:highlight w:val="none"/>
        </w:rPr>
      </w:pPr>
      <w:r>
        <w:rPr>
          <w:rFonts w:hint="eastAsia" w:ascii="仿宋" w:hAnsi="仿宋" w:eastAsia="仿宋" w:cs="Times New Roman"/>
          <w:b/>
          <w:color w:val="auto"/>
          <w:highlight w:val="none"/>
        </w:rPr>
        <w:t>8.发布公告的媒介</w:t>
      </w:r>
    </w:p>
    <w:p>
      <w:pPr>
        <w:spacing w:line="360" w:lineRule="exact"/>
        <w:ind w:firstLine="480" w:firstLineChars="200"/>
        <w:rPr>
          <w:rFonts w:hint="eastAsia"/>
          <w:sz w:val="24"/>
          <w:szCs w:val="24"/>
          <w:highlight w:val="none"/>
        </w:rPr>
      </w:pPr>
      <w:r>
        <w:rPr>
          <w:rFonts w:hint="eastAsia"/>
          <w:sz w:val="24"/>
          <w:szCs w:val="24"/>
          <w:highlight w:val="none"/>
        </w:rPr>
        <w:t>本次招标公告同时在中国采购与招标网（www.chinabidding.com.cn）、湖南省交通运输厅网（</w:t>
      </w:r>
      <w:r>
        <w:rPr>
          <w:rFonts w:ascii="宋体" w:hAnsi="宋体"/>
          <w:sz w:val="24"/>
          <w:szCs w:val="24"/>
          <w:highlight w:val="none"/>
        </w:rPr>
        <w:t>www.hnjt.gov.cn</w:t>
      </w:r>
      <w:r>
        <w:rPr>
          <w:rFonts w:hint="eastAsia"/>
          <w:sz w:val="24"/>
          <w:szCs w:val="24"/>
          <w:highlight w:val="none"/>
        </w:rPr>
        <w:t>）、湖南省招标投标监管网（</w:t>
      </w:r>
      <w:r>
        <w:rPr>
          <w:rFonts w:ascii="宋体" w:hAnsi="宋体"/>
          <w:sz w:val="24"/>
          <w:szCs w:val="24"/>
          <w:highlight w:val="none"/>
        </w:rPr>
        <w:t>www.</w:t>
      </w:r>
      <w:bookmarkStart w:id="2" w:name="_Hlt346440195"/>
      <w:bookmarkStart w:id="3" w:name="_Hlt346440196"/>
      <w:r>
        <w:rPr>
          <w:rFonts w:ascii="宋体" w:hAnsi="宋体"/>
          <w:sz w:val="24"/>
          <w:szCs w:val="24"/>
          <w:highlight w:val="none"/>
        </w:rPr>
        <w:t>b</w:t>
      </w:r>
      <w:bookmarkEnd w:id="2"/>
      <w:bookmarkEnd w:id="3"/>
      <w:r>
        <w:rPr>
          <w:rFonts w:ascii="宋体" w:hAnsi="宋体"/>
          <w:sz w:val="24"/>
          <w:szCs w:val="24"/>
          <w:highlight w:val="none"/>
        </w:rPr>
        <w:t>idding.hunan.gov.cn</w:t>
      </w:r>
      <w:r>
        <w:rPr>
          <w:rFonts w:hint="eastAsia" w:ascii="宋体" w:hAnsi="宋体"/>
          <w:sz w:val="24"/>
          <w:szCs w:val="24"/>
          <w:highlight w:val="none"/>
        </w:rPr>
        <w:t>）、湖南省公共资源交易服务平台（www.hnsggzy.com）</w:t>
      </w:r>
      <w:r>
        <w:rPr>
          <w:rFonts w:hint="eastAsia"/>
          <w:sz w:val="24"/>
          <w:szCs w:val="24"/>
          <w:highlight w:val="none"/>
        </w:rPr>
        <w:t>上发布，公布时间至投标截止时间十天前结束。</w:t>
      </w:r>
    </w:p>
    <w:p>
      <w:pPr>
        <w:pStyle w:val="12"/>
        <w:spacing w:line="360" w:lineRule="exact"/>
        <w:jc w:val="both"/>
        <w:rPr>
          <w:rFonts w:hint="eastAsia" w:hAnsi="宋体" w:cs="Times New Roman"/>
          <w:b/>
          <w:color w:val="auto"/>
          <w:highlight w:val="none"/>
        </w:rPr>
      </w:pPr>
    </w:p>
    <w:p>
      <w:pPr>
        <w:pStyle w:val="12"/>
        <w:spacing w:line="360" w:lineRule="exact"/>
        <w:jc w:val="both"/>
        <w:rPr>
          <w:rFonts w:hint="eastAsia" w:hAnsi="宋体" w:cs="Times New Roman"/>
          <w:b/>
          <w:color w:val="auto"/>
          <w:highlight w:val="none"/>
        </w:rPr>
      </w:pPr>
      <w:r>
        <w:rPr>
          <w:rFonts w:hint="eastAsia" w:hAnsi="宋体" w:cs="Times New Roman"/>
          <w:b/>
          <w:color w:val="auto"/>
          <w:highlight w:val="none"/>
        </w:rPr>
        <w:t>9.附件</w:t>
      </w:r>
    </w:p>
    <w:p>
      <w:pPr>
        <w:pStyle w:val="12"/>
        <w:spacing w:line="360" w:lineRule="exact"/>
        <w:ind w:firstLine="480" w:firstLineChars="200"/>
        <w:jc w:val="both"/>
        <w:rPr>
          <w:rFonts w:hint="eastAsia" w:hAnsi="宋体" w:cs="Times New Roman"/>
          <w:color w:val="auto"/>
          <w:kern w:val="2"/>
          <w:highlight w:val="none"/>
        </w:rPr>
      </w:pPr>
      <w:r>
        <w:rPr>
          <w:rFonts w:hint="eastAsia" w:hAnsi="宋体" w:cs="Times New Roman"/>
          <w:color w:val="auto"/>
          <w:kern w:val="2"/>
          <w:highlight w:val="none"/>
        </w:rPr>
        <w:t>附件1：资格审查条件要求</w:t>
      </w:r>
    </w:p>
    <w:p>
      <w:pPr>
        <w:pStyle w:val="12"/>
        <w:spacing w:line="360" w:lineRule="exact"/>
        <w:ind w:firstLine="480" w:firstLineChars="200"/>
        <w:jc w:val="both"/>
        <w:rPr>
          <w:rFonts w:hint="eastAsia" w:hAnsi="宋体" w:cs="Times New Roman"/>
          <w:color w:val="auto"/>
          <w:kern w:val="2"/>
          <w:highlight w:val="none"/>
        </w:rPr>
      </w:pPr>
      <w:r>
        <w:rPr>
          <w:rFonts w:hint="eastAsia" w:hAnsi="宋体" w:cs="Times New Roman"/>
          <w:color w:val="auto"/>
          <w:kern w:val="2"/>
          <w:highlight w:val="none"/>
        </w:rPr>
        <w:t>附件2：评标办法</w:t>
      </w:r>
    </w:p>
    <w:p>
      <w:pPr>
        <w:pStyle w:val="12"/>
        <w:spacing w:line="360" w:lineRule="exact"/>
        <w:ind w:firstLine="480" w:firstLineChars="200"/>
        <w:jc w:val="both"/>
        <w:rPr>
          <w:rFonts w:hint="eastAsia" w:hAnsi="宋体" w:cs="Times New Roman"/>
          <w:color w:val="auto"/>
          <w:kern w:val="2"/>
          <w:highlight w:val="none"/>
        </w:rPr>
      </w:pPr>
      <w:r>
        <w:rPr>
          <w:rFonts w:hint="eastAsia" w:hAnsi="宋体" w:cs="Times New Roman"/>
          <w:color w:val="auto"/>
          <w:kern w:val="2"/>
          <w:highlight w:val="none"/>
        </w:rPr>
        <w:t>附件3：随机分配标段办法</w:t>
      </w:r>
    </w:p>
    <w:p>
      <w:pPr>
        <w:pStyle w:val="12"/>
        <w:spacing w:line="360" w:lineRule="exact"/>
        <w:ind w:firstLine="480" w:firstLineChars="200"/>
        <w:jc w:val="both"/>
        <w:rPr>
          <w:rFonts w:hint="eastAsia" w:hAnsi="宋体" w:cs="Times New Roman"/>
          <w:color w:val="auto"/>
          <w:kern w:val="2"/>
          <w:highlight w:val="none"/>
        </w:rPr>
      </w:pPr>
      <w:r>
        <w:rPr>
          <w:rFonts w:hint="eastAsia" w:hAnsi="宋体" w:cs="Times New Roman"/>
          <w:color w:val="auto"/>
          <w:kern w:val="2"/>
          <w:highlight w:val="none"/>
        </w:rPr>
        <w:t>附件4：项目建设概况</w:t>
      </w:r>
    </w:p>
    <w:p>
      <w:pPr>
        <w:pStyle w:val="12"/>
        <w:spacing w:line="360" w:lineRule="exact"/>
        <w:jc w:val="both"/>
        <w:rPr>
          <w:rFonts w:hint="eastAsia" w:hAnsi="宋体" w:cs="Times New Roman"/>
          <w:b/>
          <w:color w:val="auto"/>
          <w:highlight w:val="none"/>
        </w:rPr>
      </w:pPr>
      <w:r>
        <w:rPr>
          <w:rFonts w:hint="eastAsia" w:hAnsi="宋体" w:cs="Times New Roman"/>
          <w:b/>
          <w:color w:val="auto"/>
          <w:highlight w:val="none"/>
        </w:rPr>
        <w:t xml:space="preserve">   </w:t>
      </w:r>
    </w:p>
    <w:p>
      <w:pPr>
        <w:pStyle w:val="12"/>
        <w:spacing w:line="360" w:lineRule="exact"/>
        <w:jc w:val="both"/>
        <w:rPr>
          <w:rFonts w:hint="eastAsia" w:hAnsi="宋体" w:cs="Times New Roman"/>
          <w:b/>
          <w:color w:val="auto"/>
          <w:highlight w:val="none"/>
        </w:rPr>
      </w:pPr>
      <w:r>
        <w:rPr>
          <w:rFonts w:hint="eastAsia" w:hAnsi="宋体" w:cs="Times New Roman"/>
          <w:b/>
          <w:color w:val="auto"/>
          <w:highlight w:val="none"/>
        </w:rPr>
        <w:t>10.联系方式</w:t>
      </w:r>
    </w:p>
    <w:p>
      <w:pPr>
        <w:spacing w:line="360" w:lineRule="exact"/>
        <w:ind w:firstLine="480" w:firstLineChars="200"/>
        <w:rPr>
          <w:rFonts w:hint="eastAsia" w:ascii="宋体" w:hAnsi="宋体"/>
          <w:sz w:val="24"/>
          <w:highlight w:val="none"/>
          <w:u w:val="single"/>
        </w:rPr>
      </w:pPr>
      <w:r>
        <w:rPr>
          <w:rFonts w:hint="eastAsia" w:ascii="宋体" w:hAnsi="宋体"/>
          <w:sz w:val="24"/>
          <w:highlight w:val="none"/>
        </w:rPr>
        <w:t xml:space="preserve">招 </w:t>
      </w:r>
      <w:r>
        <w:rPr>
          <w:rFonts w:ascii="宋体" w:hAnsi="宋体"/>
          <w:sz w:val="24"/>
          <w:highlight w:val="none"/>
        </w:rPr>
        <w:t xml:space="preserve"> </w:t>
      </w:r>
      <w:r>
        <w:rPr>
          <w:rFonts w:hint="eastAsia" w:ascii="宋体" w:hAnsi="宋体"/>
          <w:sz w:val="24"/>
          <w:highlight w:val="none"/>
        </w:rPr>
        <w:t xml:space="preserve">   标   </w:t>
      </w:r>
      <w:r>
        <w:rPr>
          <w:rFonts w:ascii="宋体" w:hAnsi="宋体"/>
          <w:sz w:val="24"/>
          <w:highlight w:val="none"/>
        </w:rPr>
        <w:t xml:space="preserve"> </w:t>
      </w:r>
      <w:r>
        <w:rPr>
          <w:rFonts w:hint="eastAsia" w:ascii="宋体" w:hAnsi="宋体"/>
          <w:sz w:val="24"/>
          <w:highlight w:val="none"/>
        </w:rPr>
        <w:t xml:space="preserve"> 人：</w:t>
      </w:r>
      <w:r>
        <w:rPr>
          <w:rFonts w:hint="eastAsia" w:ascii="宋体" w:hAnsi="宋体"/>
          <w:sz w:val="24"/>
          <w:highlight w:val="none"/>
          <w:u w:val="single"/>
        </w:rPr>
        <w:t xml:space="preserve">湖南省高速公路建设开发总公司 </w:t>
      </w:r>
    </w:p>
    <w:p>
      <w:pPr>
        <w:spacing w:line="360" w:lineRule="exact"/>
        <w:ind w:firstLine="480" w:firstLineChars="200"/>
        <w:rPr>
          <w:rFonts w:hint="eastAsia" w:ascii="宋体" w:hAnsi="宋体"/>
          <w:sz w:val="24"/>
          <w:highlight w:val="none"/>
        </w:rPr>
      </w:pPr>
      <w:bookmarkStart w:id="4" w:name="OLE_LINK13"/>
      <w:r>
        <w:rPr>
          <w:rFonts w:hint="eastAsia" w:ascii="宋体" w:hAnsi="宋体"/>
          <w:sz w:val="24"/>
          <w:highlight w:val="none"/>
        </w:rPr>
        <w:t>招  标  人 地 址</w:t>
      </w:r>
      <w:bookmarkEnd w:id="4"/>
      <w:r>
        <w:rPr>
          <w:rFonts w:hint="eastAsia" w:ascii="宋体" w:hAnsi="宋体"/>
          <w:sz w:val="24"/>
          <w:highlight w:val="none"/>
        </w:rPr>
        <w:t>：</w:t>
      </w:r>
      <w:r>
        <w:rPr>
          <w:rFonts w:hint="eastAsia" w:ascii="宋体" w:hAnsi="宋体"/>
          <w:sz w:val="24"/>
          <w:highlight w:val="none"/>
          <w:u w:val="single"/>
        </w:rPr>
        <w:t>湖南省长沙市三一大道500号</w:t>
      </w:r>
      <w:r>
        <w:rPr>
          <w:rFonts w:hint="eastAsia" w:ascii="宋体" w:hAnsi="宋体"/>
          <w:sz w:val="24"/>
          <w:highlight w:val="none"/>
        </w:rPr>
        <w:t xml:space="preserve">        </w:t>
      </w:r>
    </w:p>
    <w:p>
      <w:pPr>
        <w:spacing w:line="360" w:lineRule="exact"/>
        <w:ind w:firstLine="480" w:firstLineChars="200"/>
        <w:rPr>
          <w:rFonts w:hint="eastAsia" w:ascii="宋体" w:hAnsi="宋体"/>
          <w:sz w:val="24"/>
          <w:highlight w:val="none"/>
        </w:rPr>
      </w:pPr>
      <w:r>
        <w:rPr>
          <w:rFonts w:hint="eastAsia" w:ascii="宋体" w:hAnsi="宋体"/>
          <w:sz w:val="24"/>
          <w:highlight w:val="none"/>
        </w:rPr>
        <w:t>招 标 执 行 机构：</w:t>
      </w:r>
      <w:r>
        <w:rPr>
          <w:rFonts w:hint="eastAsia" w:ascii="宋体" w:hAnsi="宋体"/>
          <w:sz w:val="24"/>
          <w:highlight w:val="none"/>
          <w:u w:val="single"/>
        </w:rPr>
        <w:t>湖南省长益高速公路扩容工程建设开发有限公司</w:t>
      </w:r>
    </w:p>
    <w:p>
      <w:pPr>
        <w:spacing w:line="360" w:lineRule="exact"/>
        <w:ind w:firstLine="480" w:firstLineChars="200"/>
        <w:rPr>
          <w:rFonts w:hint="eastAsia" w:ascii="宋体" w:hAnsi="宋体"/>
          <w:sz w:val="24"/>
          <w:highlight w:val="none"/>
        </w:rPr>
      </w:pPr>
      <w:r>
        <w:rPr>
          <w:rFonts w:hint="eastAsia" w:ascii="宋体" w:hAnsi="宋体"/>
          <w:sz w:val="24"/>
          <w:highlight w:val="none"/>
        </w:rPr>
        <w:t>招标执行机构地址：</w:t>
      </w:r>
      <w:r>
        <w:rPr>
          <w:rFonts w:hint="eastAsia" w:ascii="宋体" w:hAnsi="宋体"/>
          <w:sz w:val="24"/>
          <w:highlight w:val="none"/>
          <w:u w:val="single"/>
        </w:rPr>
        <w:t xml:space="preserve">湖南省长沙市望城区雷锋大道168号 </w:t>
      </w:r>
      <w:r>
        <w:rPr>
          <w:rFonts w:hint="eastAsia" w:ascii="宋体" w:hAnsi="宋体"/>
          <w:sz w:val="24"/>
          <w:highlight w:val="none"/>
        </w:rPr>
        <w:t xml:space="preserve"> </w:t>
      </w:r>
    </w:p>
    <w:p>
      <w:pPr>
        <w:spacing w:line="360" w:lineRule="exact"/>
        <w:ind w:firstLine="480" w:firstLineChars="200"/>
        <w:rPr>
          <w:rFonts w:hint="eastAsia" w:ascii="宋体" w:hAnsi="宋体"/>
          <w:sz w:val="24"/>
          <w:highlight w:val="none"/>
        </w:rPr>
      </w:pPr>
      <w:r>
        <w:rPr>
          <w:rFonts w:hint="eastAsia" w:ascii="宋体" w:hAnsi="宋体"/>
          <w:sz w:val="24"/>
          <w:highlight w:val="none"/>
        </w:rPr>
        <w:t>邮            编：</w:t>
      </w:r>
      <w:r>
        <w:rPr>
          <w:rFonts w:hint="eastAsia" w:ascii="宋体" w:hAnsi="宋体"/>
          <w:sz w:val="24"/>
          <w:highlight w:val="none"/>
          <w:u w:val="single"/>
        </w:rPr>
        <w:t xml:space="preserve">         410217                         </w:t>
      </w:r>
    </w:p>
    <w:p>
      <w:pPr>
        <w:spacing w:line="360" w:lineRule="exact"/>
        <w:ind w:firstLine="480" w:firstLineChars="200"/>
        <w:rPr>
          <w:rFonts w:hint="eastAsia"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13786260618     0731-89808352       </w:t>
      </w:r>
    </w:p>
    <w:p>
      <w:pPr>
        <w:spacing w:line="360" w:lineRule="exact"/>
        <w:ind w:firstLine="480" w:firstLineChars="200"/>
        <w:rPr>
          <w:rFonts w:hint="eastAsia" w:ascii="宋体" w:hAnsi="宋体"/>
          <w:sz w:val="24"/>
          <w:highlight w:val="none"/>
        </w:rPr>
      </w:pPr>
      <w:r>
        <w:rPr>
          <w:rFonts w:hint="eastAsia" w:ascii="宋体" w:hAnsi="宋体"/>
          <w:sz w:val="24"/>
          <w:highlight w:val="none"/>
        </w:rPr>
        <w:t>传            真：</w:t>
      </w:r>
      <w:r>
        <w:rPr>
          <w:rFonts w:hint="eastAsia" w:ascii="宋体" w:hAnsi="宋体"/>
          <w:sz w:val="24"/>
          <w:highlight w:val="none"/>
          <w:u w:val="single"/>
        </w:rPr>
        <w:t xml:space="preserve">       0731-89808352                    </w:t>
      </w:r>
    </w:p>
    <w:p>
      <w:pPr>
        <w:spacing w:line="360" w:lineRule="exact"/>
        <w:ind w:firstLine="480" w:firstLineChars="200"/>
        <w:rPr>
          <w:rFonts w:hint="eastAsia" w:ascii="宋体" w:hAnsi="宋体"/>
          <w:sz w:val="24"/>
          <w:highlight w:val="none"/>
        </w:rPr>
      </w:pPr>
      <w:r>
        <w:rPr>
          <w:rFonts w:hint="eastAsia" w:ascii="宋体" w:hAnsi="宋体"/>
          <w:sz w:val="24"/>
          <w:highlight w:val="none"/>
        </w:rPr>
        <w:t>联     系     人：</w:t>
      </w:r>
      <w:r>
        <w:rPr>
          <w:rFonts w:hint="eastAsia" w:ascii="宋体" w:hAnsi="宋体"/>
          <w:sz w:val="24"/>
          <w:highlight w:val="none"/>
          <w:u w:val="single"/>
        </w:rPr>
        <w:t xml:space="preserve">         王先生                         </w:t>
      </w:r>
    </w:p>
    <w:p>
      <w:pPr>
        <w:spacing w:line="420" w:lineRule="exact"/>
        <w:ind w:firstLine="480" w:firstLineChars="200"/>
        <w:rPr>
          <w:rFonts w:hint="eastAsia" w:ascii="宋体" w:hAnsi="宋体"/>
          <w:sz w:val="24"/>
          <w:highlight w:val="none"/>
        </w:rPr>
      </w:pPr>
    </w:p>
    <w:p>
      <w:pPr>
        <w:spacing w:line="420" w:lineRule="exact"/>
        <w:jc w:val="right"/>
        <w:rPr>
          <w:rFonts w:ascii="宋体" w:hAnsi="宋体"/>
          <w:sz w:val="24"/>
          <w:highlight w:val="none"/>
        </w:rPr>
      </w:pPr>
      <w:r>
        <w:rPr>
          <w:rFonts w:hint="eastAsia" w:ascii="宋体" w:hAnsi="宋体"/>
          <w:highlight w:val="none"/>
        </w:rPr>
        <w:t xml:space="preserve">                                           </w:t>
      </w:r>
      <w:r>
        <w:rPr>
          <w:rFonts w:hint="eastAsia" w:ascii="宋体" w:hAnsi="宋体"/>
          <w:sz w:val="24"/>
          <w:highlight w:val="none"/>
          <w:u w:val="single"/>
        </w:rPr>
        <w:t xml:space="preserve"> 2017</w:t>
      </w:r>
      <w:r>
        <w:rPr>
          <w:rFonts w:hint="eastAsia" w:ascii="宋体" w:hAnsi="宋体"/>
          <w:sz w:val="24"/>
          <w:highlight w:val="none"/>
        </w:rPr>
        <w:t>年</w:t>
      </w:r>
      <w:r>
        <w:rPr>
          <w:rFonts w:hint="eastAsia" w:ascii="宋体" w:hAnsi="宋体"/>
          <w:sz w:val="24"/>
          <w:highlight w:val="none"/>
          <w:u w:val="single"/>
        </w:rPr>
        <w:t xml:space="preserve"> 3 </w:t>
      </w:r>
      <w:r>
        <w:rPr>
          <w:rFonts w:hint="eastAsia" w:ascii="宋体" w:hAnsi="宋体"/>
          <w:sz w:val="24"/>
          <w:highlight w:val="none"/>
        </w:rPr>
        <w:t>月</w:t>
      </w:r>
      <w:r>
        <w:rPr>
          <w:rFonts w:hint="eastAsia" w:ascii="宋体" w:hAnsi="宋体"/>
          <w:sz w:val="24"/>
          <w:highlight w:val="none"/>
          <w:u w:val="single"/>
        </w:rPr>
        <w:t xml:space="preserve"> 30 </w:t>
      </w:r>
      <w:r>
        <w:rPr>
          <w:rFonts w:hint="eastAsia" w:ascii="宋体" w:hAnsi="宋体"/>
          <w:sz w:val="24"/>
          <w:highlight w:val="none"/>
        </w:rPr>
        <w:t>日</w:t>
      </w:r>
    </w:p>
    <w:p>
      <w:pPr>
        <w:pStyle w:val="12"/>
        <w:spacing w:line="560" w:lineRule="exact"/>
        <w:rPr>
          <w:rFonts w:ascii="黑体" w:eastAsia="黑体"/>
          <w:color w:val="auto"/>
          <w:sz w:val="36"/>
          <w:szCs w:val="36"/>
          <w:highlight w:val="none"/>
        </w:rPr>
      </w:pPr>
      <w:r>
        <w:rPr>
          <w:rFonts w:hAnsi="宋体"/>
          <w:color w:val="auto"/>
          <w:highlight w:val="none"/>
        </w:rPr>
        <w:br w:type="page"/>
      </w:r>
      <w:r>
        <w:rPr>
          <w:rFonts w:hint="eastAsia" w:ascii="黑体" w:eastAsia="黑体"/>
          <w:color w:val="auto"/>
          <w:sz w:val="36"/>
          <w:szCs w:val="36"/>
          <w:highlight w:val="none"/>
        </w:rPr>
        <w:t xml:space="preserve">附件1  资格审查条件要求 </w:t>
      </w:r>
    </w:p>
    <w:p>
      <w:pPr>
        <w:spacing w:after="156" w:afterLines="50"/>
        <w:jc w:val="center"/>
        <w:rPr>
          <w:rStyle w:val="13"/>
          <w:rFonts w:hint="eastAsia" w:ascii="宋体" w:hAnsi="宋体"/>
          <w:bCs/>
          <w:spacing w:val="20"/>
          <w:sz w:val="24"/>
          <w:szCs w:val="24"/>
          <w:highlight w:val="none"/>
        </w:rPr>
      </w:pPr>
    </w:p>
    <w:p>
      <w:pPr>
        <w:spacing w:after="156" w:afterLines="50"/>
        <w:jc w:val="center"/>
        <w:rPr>
          <w:rStyle w:val="13"/>
          <w:rFonts w:hint="eastAsia" w:ascii="宋体" w:hAnsi="宋体"/>
          <w:bCs/>
          <w:spacing w:val="20"/>
          <w:sz w:val="24"/>
          <w:szCs w:val="24"/>
          <w:highlight w:val="none"/>
        </w:rPr>
      </w:pPr>
      <w:r>
        <w:rPr>
          <w:rStyle w:val="13"/>
          <w:rFonts w:hint="eastAsia" w:ascii="宋体" w:hAnsi="宋体"/>
          <w:bCs/>
          <w:spacing w:val="20"/>
          <w:sz w:val="24"/>
          <w:szCs w:val="24"/>
          <w:highlight w:val="none"/>
        </w:rPr>
        <w:t>表1  资质最低条件</w:t>
      </w:r>
    </w:p>
    <w:tbl>
      <w:tblPr>
        <w:tblStyle w:val="11"/>
        <w:tblW w:w="82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0" w:hRule="atLeast"/>
          <w:jc w:val="center"/>
        </w:trPr>
        <w:tc>
          <w:tcPr>
            <w:tcW w:w="8244" w:type="dxa"/>
            <w:vAlign w:val="center"/>
          </w:tcPr>
          <w:p>
            <w:pPr>
              <w:spacing w:line="400" w:lineRule="atLeast"/>
              <w:jc w:val="center"/>
              <w:rPr>
                <w:rFonts w:hint="eastAsia" w:ascii="宋体" w:hAnsi="宋体"/>
                <w:sz w:val="24"/>
                <w:highlight w:val="none"/>
              </w:rPr>
            </w:pPr>
            <w:r>
              <w:rPr>
                <w:rFonts w:hint="eastAsia" w:ascii="宋体" w:hAnsi="宋体"/>
                <w:sz w:val="24"/>
                <w:highlight w:val="none"/>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5" w:hRule="atLeast"/>
          <w:jc w:val="center"/>
        </w:trPr>
        <w:tc>
          <w:tcPr>
            <w:tcW w:w="8244" w:type="dxa"/>
            <w:vAlign w:val="center"/>
          </w:tcPr>
          <w:p>
            <w:pPr>
              <w:spacing w:line="360" w:lineRule="auto"/>
              <w:ind w:left="399" w:leftChars="190" w:firstLine="482" w:firstLineChars="200"/>
              <w:rPr>
                <w:rFonts w:hint="eastAsia" w:ascii="宋体" w:hAnsi="宋体"/>
                <w:b/>
                <w:iCs/>
                <w:sz w:val="24"/>
                <w:szCs w:val="24"/>
                <w:highlight w:val="none"/>
              </w:rPr>
            </w:pPr>
          </w:p>
          <w:p>
            <w:pPr>
              <w:pStyle w:val="4"/>
              <w:spacing w:line="360" w:lineRule="exact"/>
              <w:ind w:firstLine="600" w:firstLineChars="250"/>
              <w:rPr>
                <w:rFonts w:hint="eastAsia" w:hAnsi="宋体"/>
                <w:iCs/>
                <w:sz w:val="24"/>
                <w:szCs w:val="24"/>
                <w:highlight w:val="none"/>
              </w:rPr>
            </w:pPr>
            <w:r>
              <w:rPr>
                <w:rFonts w:hint="eastAsia"/>
                <w:sz w:val="24"/>
                <w:szCs w:val="24"/>
                <w:highlight w:val="none"/>
              </w:rPr>
              <w:t>具备独立法人资格、持有有效的营业执照，安全生产许可证、住房和城乡建设部颁发的公路工程施工总承包一级及以上资质。</w:t>
            </w:r>
          </w:p>
          <w:p>
            <w:pPr>
              <w:spacing w:line="360" w:lineRule="auto"/>
              <w:ind w:left="399" w:leftChars="190" w:firstLine="482" w:firstLineChars="200"/>
              <w:rPr>
                <w:rFonts w:hint="eastAsia" w:ascii="宋体" w:hAnsi="宋体"/>
                <w:b/>
                <w:iCs/>
                <w:sz w:val="24"/>
                <w:szCs w:val="24"/>
                <w:highlight w:val="none"/>
              </w:rPr>
            </w:pPr>
          </w:p>
          <w:p>
            <w:pPr>
              <w:spacing w:line="360" w:lineRule="auto"/>
              <w:ind w:left="399" w:leftChars="190" w:firstLine="422" w:firstLineChars="200"/>
              <w:rPr>
                <w:rFonts w:hint="eastAsia" w:ascii="黑体" w:hAnsi="黑体" w:eastAsia="黑体"/>
                <w:b/>
                <w:iCs/>
                <w:szCs w:val="21"/>
                <w:highlight w:val="none"/>
              </w:rPr>
            </w:pPr>
          </w:p>
        </w:tc>
      </w:tr>
    </w:tbl>
    <w:p>
      <w:pPr>
        <w:spacing w:line="320" w:lineRule="exact"/>
        <w:ind w:firstLine="472" w:firstLineChars="196"/>
        <w:jc w:val="left"/>
        <w:rPr>
          <w:rFonts w:ascii="宋体" w:hAnsi="宋体"/>
          <w:b/>
          <w:sz w:val="24"/>
          <w:highlight w:val="none"/>
          <w:u w:val="single"/>
        </w:rPr>
      </w:pPr>
    </w:p>
    <w:p>
      <w:pPr>
        <w:spacing w:line="440" w:lineRule="exact"/>
        <w:rPr>
          <w:rFonts w:hint="eastAsia" w:ascii="黑体" w:hAnsi="宋体" w:eastAsia="黑体"/>
          <w:b/>
          <w:sz w:val="24"/>
          <w:szCs w:val="24"/>
          <w:highlight w:val="none"/>
        </w:rPr>
      </w:pPr>
      <w:r>
        <w:rPr>
          <w:rFonts w:hint="eastAsia" w:ascii="黑体" w:hAnsi="宋体" w:eastAsia="黑体"/>
          <w:b/>
          <w:sz w:val="24"/>
          <w:szCs w:val="24"/>
          <w:highlight w:val="none"/>
        </w:rPr>
        <w:t>注：</w:t>
      </w:r>
    </w:p>
    <w:p>
      <w:pPr>
        <w:spacing w:line="440" w:lineRule="exact"/>
        <w:ind w:firstLine="472"/>
        <w:rPr>
          <w:rFonts w:hint="eastAsia" w:ascii="黑体" w:hAnsi="宋体" w:eastAsia="黑体"/>
          <w:b/>
          <w:sz w:val="24"/>
          <w:szCs w:val="24"/>
          <w:highlight w:val="none"/>
        </w:rPr>
      </w:pPr>
      <w:r>
        <w:rPr>
          <w:rFonts w:hint="eastAsia" w:ascii="黑体" w:hAnsi="宋体" w:eastAsia="黑体"/>
          <w:b/>
          <w:sz w:val="24"/>
          <w:szCs w:val="24"/>
          <w:highlight w:val="none"/>
        </w:rPr>
        <w:t>1、投标文件相应位置应附企业法人营业执照副本彩色扫描件、企业施工资质证书副本（全本）彩色扫描件、企业安全生产许可证副本（全本）彩色扫描件、企业基本账户开户许可证彩色扫描件。</w:t>
      </w:r>
    </w:p>
    <w:p>
      <w:pPr>
        <w:pStyle w:val="4"/>
        <w:spacing w:line="360" w:lineRule="exact"/>
        <w:ind w:firstLine="482" w:firstLineChars="200"/>
        <w:rPr>
          <w:rFonts w:hint="eastAsia" w:hAnsi="宋体"/>
          <w:b/>
          <w:iCs/>
          <w:sz w:val="24"/>
          <w:szCs w:val="24"/>
          <w:highlight w:val="none"/>
        </w:rPr>
      </w:pPr>
      <w:r>
        <w:rPr>
          <w:rFonts w:hint="eastAsia" w:hAnsi="宋体"/>
          <w:b/>
          <w:iCs/>
          <w:sz w:val="24"/>
          <w:szCs w:val="24"/>
          <w:highlight w:val="none"/>
        </w:rPr>
        <w:t>2、若投标人不具备公路安全设施分项一级资质，则必须进行专业分包。</w:t>
      </w:r>
    </w:p>
    <w:p>
      <w:pPr>
        <w:spacing w:line="440" w:lineRule="exact"/>
        <w:ind w:firstLine="472" w:firstLineChars="196"/>
        <w:rPr>
          <w:rFonts w:ascii="黑体" w:hAnsi="黑体" w:eastAsia="黑体"/>
          <w:b/>
          <w:iCs/>
          <w:sz w:val="24"/>
          <w:szCs w:val="24"/>
          <w:highlight w:val="none"/>
        </w:rPr>
      </w:pPr>
      <w:r>
        <w:rPr>
          <w:rFonts w:hint="eastAsia" w:ascii="黑体" w:hAnsi="宋体" w:eastAsia="黑体"/>
          <w:b/>
          <w:sz w:val="24"/>
          <w:szCs w:val="24"/>
          <w:highlight w:val="none"/>
        </w:rPr>
        <w:t>3、</w:t>
      </w:r>
      <w:r>
        <w:rPr>
          <w:rFonts w:hint="eastAsia" w:ascii="黑体" w:hAnsi="黑体" w:eastAsia="黑体"/>
          <w:b/>
          <w:iCs/>
          <w:sz w:val="24"/>
          <w:szCs w:val="24"/>
          <w:highlight w:val="none"/>
        </w:rPr>
        <w:t>评标委员会在评审时将通过查询湖南省公路水路建设与运输市场信用信息服务网站（http://218.76.40.80:9000/hnxyfw），对投标人</w:t>
      </w:r>
      <w:r>
        <w:rPr>
          <w:rFonts w:hint="eastAsia" w:ascii="黑体" w:hAnsi="黑体" w:eastAsia="黑体"/>
          <w:b/>
          <w:iCs/>
          <w:sz w:val="24"/>
          <w:szCs w:val="24"/>
          <w:highlight w:val="none"/>
        </w:rPr>
        <w:t>（分包人）</w:t>
      </w:r>
      <w:r>
        <w:rPr>
          <w:rFonts w:hint="eastAsia" w:ascii="黑体" w:hAnsi="黑体" w:eastAsia="黑体"/>
          <w:b/>
          <w:iCs/>
          <w:sz w:val="24"/>
          <w:szCs w:val="24"/>
          <w:highlight w:val="none"/>
        </w:rPr>
        <w:t>的资质、业绩、主要人员资历和目前在岗情况、信用等级等信息进行核实确认，具体有关要求详见交通运输部令2015年第24号。</w:t>
      </w:r>
    </w:p>
    <w:p>
      <w:pPr>
        <w:spacing w:line="360" w:lineRule="auto"/>
        <w:ind w:firstLine="401" w:firstLineChars="190"/>
        <w:rPr>
          <w:rFonts w:ascii="宋体" w:hAnsi="宋体"/>
          <w:b/>
          <w:iCs/>
          <w:szCs w:val="21"/>
          <w:highlight w:val="none"/>
        </w:rPr>
      </w:pPr>
    </w:p>
    <w:p>
      <w:pPr>
        <w:spacing w:line="360" w:lineRule="auto"/>
        <w:ind w:firstLine="401" w:firstLineChars="190"/>
        <w:jc w:val="center"/>
        <w:rPr>
          <w:rFonts w:hint="eastAsia" w:ascii="宋体" w:hAnsi="宋体"/>
          <w:b/>
          <w:iCs/>
          <w:szCs w:val="21"/>
          <w:highlight w:val="none"/>
        </w:rPr>
      </w:pPr>
      <w:r>
        <w:rPr>
          <w:rFonts w:ascii="宋体" w:hAnsi="宋体"/>
          <w:b/>
          <w:iCs/>
          <w:szCs w:val="21"/>
          <w:highlight w:val="none"/>
        </w:rPr>
        <w:br w:type="page"/>
      </w:r>
    </w:p>
    <w:p>
      <w:pPr>
        <w:spacing w:line="360" w:lineRule="auto"/>
        <w:ind w:firstLine="534" w:firstLineChars="190"/>
        <w:jc w:val="center"/>
        <w:rPr>
          <w:rStyle w:val="13"/>
          <w:rFonts w:hint="eastAsia" w:ascii="宋体" w:hAnsi="宋体"/>
          <w:bCs/>
          <w:spacing w:val="20"/>
          <w:sz w:val="24"/>
          <w:szCs w:val="24"/>
          <w:highlight w:val="none"/>
        </w:rPr>
      </w:pPr>
      <w:r>
        <w:rPr>
          <w:rStyle w:val="13"/>
          <w:rFonts w:hint="eastAsia" w:ascii="宋体" w:hAnsi="宋体"/>
          <w:bCs/>
          <w:spacing w:val="20"/>
          <w:sz w:val="24"/>
          <w:szCs w:val="24"/>
          <w:highlight w:val="none"/>
        </w:rPr>
        <w:t>表2  财务最低要求</w:t>
      </w:r>
    </w:p>
    <w:tbl>
      <w:tblPr>
        <w:tblStyle w:val="11"/>
        <w:tblpPr w:leftFromText="180" w:rightFromText="180" w:vertAnchor="text" w:horzAnchor="margin" w:tblpY="71"/>
        <w:tblW w:w="805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trPr>
        <w:tc>
          <w:tcPr>
            <w:tcW w:w="8053" w:type="dxa"/>
            <w:vAlign w:val="center"/>
          </w:tcPr>
          <w:p>
            <w:pPr>
              <w:spacing w:line="400" w:lineRule="atLeast"/>
              <w:jc w:val="center"/>
              <w:rPr>
                <w:rFonts w:hint="eastAsia" w:ascii="宋体" w:hAnsi="宋体"/>
                <w:sz w:val="24"/>
                <w:highlight w:val="none"/>
              </w:rPr>
            </w:pPr>
            <w:r>
              <w:rPr>
                <w:rFonts w:hint="eastAsia" w:ascii="宋体" w:hAnsi="宋体"/>
                <w:sz w:val="24"/>
                <w:highlight w:val="none"/>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5" w:hRule="atLeast"/>
        </w:trPr>
        <w:tc>
          <w:tcPr>
            <w:tcW w:w="8053" w:type="dxa"/>
            <w:vAlign w:val="center"/>
          </w:tcPr>
          <w:p>
            <w:pPr>
              <w:spacing w:line="600" w:lineRule="exact"/>
              <w:jc w:val="center"/>
              <w:rPr>
                <w:rFonts w:hint="eastAsia" w:ascii="宋体" w:hAnsi="宋体"/>
                <w:b/>
                <w:iCs/>
                <w:sz w:val="24"/>
                <w:szCs w:val="24"/>
                <w:highlight w:val="none"/>
              </w:rPr>
            </w:pPr>
            <w:r>
              <w:rPr>
                <w:rFonts w:hint="eastAsia" w:ascii="宋体" w:hAnsi="宋体"/>
                <w:bCs/>
                <w:iCs/>
                <w:sz w:val="24"/>
                <w:szCs w:val="24"/>
                <w:highlight w:val="none"/>
              </w:rPr>
              <w:t>注册资本金不</w:t>
            </w:r>
            <w:r>
              <w:rPr>
                <w:rFonts w:hint="eastAsia" w:ascii="宋体" w:hAnsi="宋体"/>
                <w:bCs/>
                <w:sz w:val="24"/>
                <w:highlight w:val="none"/>
              </w:rPr>
              <w:t>少于</w:t>
            </w:r>
            <w:r>
              <w:rPr>
                <w:rFonts w:hint="eastAsia" w:ascii="宋体" w:hAnsi="宋体"/>
                <w:bCs/>
                <w:sz w:val="24"/>
                <w:highlight w:val="none"/>
                <w:u w:val="single"/>
              </w:rPr>
              <w:t>6000</w:t>
            </w:r>
            <w:r>
              <w:rPr>
                <w:rFonts w:hint="eastAsia" w:ascii="宋体" w:hAnsi="宋体"/>
                <w:bCs/>
                <w:sz w:val="24"/>
                <w:highlight w:val="none"/>
              </w:rPr>
              <w:t>万元</w:t>
            </w:r>
          </w:p>
        </w:tc>
      </w:tr>
    </w:tbl>
    <w:p>
      <w:pPr>
        <w:spacing w:line="360" w:lineRule="auto"/>
        <w:ind w:firstLine="401" w:firstLineChars="190"/>
        <w:jc w:val="center"/>
        <w:rPr>
          <w:rFonts w:hint="eastAsia" w:ascii="宋体" w:hAnsi="宋体"/>
          <w:b/>
          <w:iCs/>
          <w:szCs w:val="21"/>
          <w:highlight w:val="none"/>
        </w:rPr>
      </w:pPr>
    </w:p>
    <w:p>
      <w:pPr>
        <w:spacing w:line="440" w:lineRule="exact"/>
        <w:ind w:firstLine="472" w:firstLineChars="196"/>
        <w:rPr>
          <w:rFonts w:ascii="黑体" w:hAnsi="黑体" w:eastAsia="黑体"/>
          <w:b/>
          <w:iCs/>
          <w:sz w:val="24"/>
          <w:szCs w:val="24"/>
          <w:highlight w:val="none"/>
        </w:rPr>
      </w:pPr>
      <w:r>
        <w:rPr>
          <w:rFonts w:hint="eastAsia" w:ascii="黑体" w:hAnsi="黑体" w:eastAsia="黑体"/>
          <w:b/>
          <w:iCs/>
          <w:sz w:val="24"/>
          <w:szCs w:val="24"/>
          <w:highlight w:val="none"/>
        </w:rPr>
        <w:t>注：评标委员会在评审时将通过查询湖南省公路水路建设与运输市场信用信息服务网站（http://218.76.40.80:9000/hnxyfw），对投标人的资质、业绩、主要人员资历和目前在岗情况、信用等级等信息进行核实确认，具体有关要求详见交通运输部令2015年第24号。</w:t>
      </w:r>
    </w:p>
    <w:p>
      <w:pPr>
        <w:spacing w:line="360" w:lineRule="auto"/>
        <w:ind w:firstLine="401" w:firstLineChars="190"/>
        <w:jc w:val="center"/>
        <w:rPr>
          <w:rFonts w:hint="eastAsia" w:ascii="宋体" w:hAnsi="宋体"/>
          <w:b/>
          <w:iCs/>
          <w:szCs w:val="21"/>
          <w:highlight w:val="none"/>
        </w:rPr>
      </w:pPr>
    </w:p>
    <w:p>
      <w:pPr>
        <w:spacing w:line="360" w:lineRule="auto"/>
        <w:ind w:firstLine="401" w:firstLineChars="190"/>
        <w:jc w:val="center"/>
        <w:rPr>
          <w:rFonts w:hint="eastAsia" w:ascii="宋体" w:hAnsi="宋体"/>
          <w:b/>
          <w:iCs/>
          <w:szCs w:val="21"/>
          <w:highlight w:val="none"/>
        </w:rPr>
      </w:pPr>
    </w:p>
    <w:p>
      <w:pPr>
        <w:spacing w:line="360" w:lineRule="auto"/>
        <w:ind w:firstLine="401" w:firstLineChars="190"/>
        <w:jc w:val="center"/>
        <w:rPr>
          <w:rFonts w:hint="eastAsia" w:ascii="宋体" w:hAnsi="宋体"/>
          <w:b/>
          <w:iCs/>
          <w:szCs w:val="21"/>
          <w:highlight w:val="none"/>
        </w:rPr>
      </w:pPr>
    </w:p>
    <w:p>
      <w:pPr>
        <w:spacing w:line="360" w:lineRule="auto"/>
        <w:ind w:firstLine="401" w:firstLineChars="190"/>
        <w:jc w:val="center"/>
        <w:rPr>
          <w:rFonts w:hint="eastAsia" w:ascii="宋体" w:hAnsi="宋体"/>
          <w:b/>
          <w:iCs/>
          <w:szCs w:val="21"/>
          <w:highlight w:val="none"/>
        </w:rPr>
      </w:pPr>
    </w:p>
    <w:p>
      <w:pPr>
        <w:spacing w:line="360" w:lineRule="auto"/>
        <w:ind w:firstLine="401" w:firstLineChars="190"/>
        <w:jc w:val="center"/>
        <w:rPr>
          <w:rFonts w:hint="eastAsia" w:ascii="宋体" w:hAnsi="宋体"/>
          <w:b/>
          <w:iCs/>
          <w:szCs w:val="21"/>
          <w:highlight w:val="none"/>
        </w:rPr>
      </w:pPr>
    </w:p>
    <w:p>
      <w:pPr>
        <w:spacing w:line="360" w:lineRule="auto"/>
        <w:ind w:firstLine="401" w:firstLineChars="190"/>
        <w:jc w:val="center"/>
        <w:rPr>
          <w:rFonts w:hint="eastAsia" w:ascii="宋体" w:hAnsi="宋体"/>
          <w:b/>
          <w:iCs/>
          <w:szCs w:val="21"/>
          <w:highlight w:val="none"/>
        </w:rPr>
      </w:pPr>
    </w:p>
    <w:p>
      <w:pPr>
        <w:spacing w:line="360" w:lineRule="auto"/>
        <w:ind w:firstLine="401" w:firstLineChars="190"/>
        <w:jc w:val="center"/>
        <w:rPr>
          <w:rFonts w:hint="eastAsia" w:ascii="宋体" w:hAnsi="宋体"/>
          <w:b/>
          <w:iCs/>
          <w:szCs w:val="21"/>
          <w:highlight w:val="none"/>
        </w:rPr>
      </w:pPr>
    </w:p>
    <w:p>
      <w:pPr>
        <w:spacing w:line="360" w:lineRule="auto"/>
        <w:ind w:firstLine="401" w:firstLineChars="190"/>
        <w:jc w:val="center"/>
        <w:rPr>
          <w:rFonts w:hint="eastAsia" w:ascii="宋体" w:hAnsi="宋体"/>
          <w:b/>
          <w:iCs/>
          <w:szCs w:val="21"/>
          <w:highlight w:val="none"/>
        </w:rPr>
      </w:pPr>
    </w:p>
    <w:p>
      <w:pPr>
        <w:spacing w:line="440" w:lineRule="exact"/>
        <w:rPr>
          <w:rStyle w:val="13"/>
          <w:rFonts w:ascii="宋体" w:hAnsi="宋体"/>
          <w:bCs/>
          <w:spacing w:val="20"/>
          <w:sz w:val="24"/>
          <w:szCs w:val="24"/>
          <w:highlight w:val="none"/>
        </w:rPr>
        <w:sectPr>
          <w:pgSz w:w="11906" w:h="16838"/>
          <w:pgMar w:top="1440" w:right="1797" w:bottom="1440" w:left="1797" w:header="851" w:footer="992" w:gutter="0"/>
          <w:cols w:space="720" w:num="1"/>
          <w:docGrid w:type="lines" w:linePitch="312" w:charSpace="0"/>
        </w:sectPr>
      </w:pPr>
      <w:bookmarkStart w:id="5" w:name="_Toc222796607"/>
    </w:p>
    <w:p>
      <w:pPr>
        <w:spacing w:line="360" w:lineRule="auto"/>
        <w:jc w:val="center"/>
        <w:rPr>
          <w:rStyle w:val="13"/>
          <w:rFonts w:hint="eastAsia" w:ascii="宋体" w:hAnsi="宋体"/>
          <w:bCs/>
          <w:spacing w:val="20"/>
          <w:sz w:val="24"/>
          <w:szCs w:val="24"/>
          <w:highlight w:val="none"/>
        </w:rPr>
      </w:pPr>
      <w:r>
        <w:rPr>
          <w:rStyle w:val="13"/>
          <w:rFonts w:hint="eastAsia" w:ascii="宋体" w:hAnsi="宋体"/>
          <w:bCs/>
          <w:spacing w:val="20"/>
          <w:sz w:val="24"/>
          <w:szCs w:val="24"/>
          <w:highlight w:val="none"/>
        </w:rPr>
        <w:t xml:space="preserve">表3  </w:t>
      </w:r>
      <w:bookmarkEnd w:id="5"/>
      <w:r>
        <w:rPr>
          <w:rStyle w:val="13"/>
          <w:rFonts w:hint="eastAsia" w:ascii="宋体" w:hAnsi="宋体"/>
          <w:bCs/>
          <w:spacing w:val="20"/>
          <w:sz w:val="24"/>
          <w:szCs w:val="24"/>
          <w:highlight w:val="none"/>
        </w:rPr>
        <w:t>业绩最低要求</w:t>
      </w: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98"/>
        <w:gridCol w:w="820"/>
        <w:gridCol w:w="1363"/>
        <w:gridCol w:w="950"/>
        <w:gridCol w:w="2437"/>
        <w:gridCol w:w="2091"/>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438" w:type="dxa"/>
            <w:vAlign w:val="center"/>
          </w:tcPr>
          <w:p>
            <w:pPr>
              <w:spacing w:line="240" w:lineRule="exact"/>
              <w:jc w:val="center"/>
              <w:rPr>
                <w:rFonts w:hint="eastAsia" w:ascii="仿宋" w:hAnsi="仿宋" w:eastAsia="仿宋" w:cs="仿宋"/>
                <w:b/>
                <w:iCs/>
                <w:sz w:val="18"/>
                <w:szCs w:val="18"/>
                <w:highlight w:val="none"/>
              </w:rPr>
            </w:pPr>
            <w:bookmarkStart w:id="6" w:name="_Toc222796608"/>
            <w:r>
              <w:rPr>
                <w:rFonts w:hint="eastAsia" w:ascii="仿宋" w:hAnsi="仿宋" w:eastAsia="仿宋" w:cs="仿宋"/>
                <w:b/>
                <w:iCs/>
                <w:sz w:val="18"/>
                <w:szCs w:val="18"/>
                <w:highlight w:val="none"/>
              </w:rPr>
              <w:t>工程类别</w:t>
            </w:r>
          </w:p>
        </w:tc>
        <w:tc>
          <w:tcPr>
            <w:tcW w:w="998"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招标工程</w:t>
            </w:r>
          </w:p>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类别</w:t>
            </w:r>
          </w:p>
        </w:tc>
        <w:tc>
          <w:tcPr>
            <w:tcW w:w="820"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标段号</w:t>
            </w:r>
          </w:p>
        </w:tc>
        <w:tc>
          <w:tcPr>
            <w:tcW w:w="1363"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桩号</w:t>
            </w:r>
          </w:p>
        </w:tc>
        <w:tc>
          <w:tcPr>
            <w:tcW w:w="950"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长度</w:t>
            </w:r>
          </w:p>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（Km）</w:t>
            </w:r>
          </w:p>
        </w:tc>
        <w:tc>
          <w:tcPr>
            <w:tcW w:w="2437"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工程内容</w:t>
            </w:r>
          </w:p>
        </w:tc>
        <w:tc>
          <w:tcPr>
            <w:tcW w:w="2091"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资质要求</w:t>
            </w:r>
          </w:p>
        </w:tc>
        <w:tc>
          <w:tcPr>
            <w:tcW w:w="4077" w:type="dxa"/>
            <w:vAlign w:val="center"/>
          </w:tcPr>
          <w:p>
            <w:pPr>
              <w:spacing w:line="240" w:lineRule="exact"/>
              <w:jc w:val="center"/>
              <w:rPr>
                <w:rFonts w:hint="eastAsia" w:ascii="仿宋" w:hAnsi="仿宋" w:eastAsia="仿宋" w:cs="仿宋"/>
                <w:iCs/>
                <w:sz w:val="18"/>
                <w:szCs w:val="18"/>
                <w:highlight w:val="none"/>
              </w:rPr>
            </w:pPr>
            <w:r>
              <w:rPr>
                <w:rFonts w:hint="eastAsia" w:ascii="仿宋" w:hAnsi="仿宋" w:eastAsia="仿宋" w:cs="仿宋"/>
                <w:b/>
                <w:iCs/>
                <w:sz w:val="18"/>
                <w:szCs w:val="18"/>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trPr>
        <w:tc>
          <w:tcPr>
            <w:tcW w:w="1438" w:type="dxa"/>
            <w:vMerge w:val="restart"/>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土建工程</w:t>
            </w:r>
          </w:p>
          <w:p>
            <w:pPr>
              <w:spacing w:line="240" w:lineRule="exact"/>
              <w:jc w:val="center"/>
              <w:rPr>
                <w:rFonts w:hint="eastAsia" w:ascii="仿宋" w:hAnsi="仿宋" w:eastAsia="仿宋" w:cs="仿宋"/>
                <w:b/>
                <w:iCs/>
                <w:sz w:val="24"/>
                <w:szCs w:val="24"/>
                <w:highlight w:val="none"/>
              </w:rPr>
            </w:pPr>
            <w:r>
              <w:rPr>
                <w:rFonts w:hint="eastAsia" w:ascii="仿宋" w:hAnsi="仿宋" w:eastAsia="仿宋" w:cs="仿宋"/>
                <w:b/>
                <w:iCs/>
                <w:sz w:val="18"/>
                <w:szCs w:val="18"/>
                <w:highlight w:val="none"/>
              </w:rPr>
              <w:t>（路基、桥梁）</w:t>
            </w:r>
          </w:p>
        </w:tc>
        <w:tc>
          <w:tcPr>
            <w:tcW w:w="998" w:type="dxa"/>
            <w:vMerge w:val="restart"/>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土建Ⅰ类</w:t>
            </w:r>
          </w:p>
        </w:tc>
        <w:tc>
          <w:tcPr>
            <w:tcW w:w="820"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1</w:t>
            </w:r>
          </w:p>
        </w:tc>
        <w:tc>
          <w:tcPr>
            <w:tcW w:w="1363"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K0+000～K4+300</w:t>
            </w:r>
          </w:p>
        </w:tc>
        <w:tc>
          <w:tcPr>
            <w:tcW w:w="950"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4.3KM</w:t>
            </w:r>
          </w:p>
        </w:tc>
        <w:tc>
          <w:tcPr>
            <w:tcW w:w="2437" w:type="dxa"/>
            <w:vMerge w:val="restart"/>
            <w:vAlign w:val="center"/>
          </w:tcPr>
          <w:p>
            <w:pPr>
              <w:pStyle w:val="4"/>
              <w:spacing w:line="240" w:lineRule="exact"/>
              <w:jc w:val="left"/>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路基工程、路面工程（改线）、桥梁工程（特大桥、一般大中小桥梁、钢混组合结构梁）、交安工程等</w:t>
            </w:r>
          </w:p>
        </w:tc>
        <w:tc>
          <w:tcPr>
            <w:tcW w:w="2091" w:type="dxa"/>
            <w:vMerge w:val="restart"/>
            <w:vAlign w:val="center"/>
          </w:tcPr>
          <w:p>
            <w:pPr>
              <w:pStyle w:val="4"/>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公路工程施工总承包</w:t>
            </w:r>
          </w:p>
          <w:p>
            <w:pPr>
              <w:pStyle w:val="4"/>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一级及以上</w:t>
            </w:r>
          </w:p>
        </w:tc>
        <w:tc>
          <w:tcPr>
            <w:tcW w:w="4077" w:type="dxa"/>
            <w:vMerge w:val="restart"/>
            <w:vAlign w:val="center"/>
          </w:tcPr>
          <w:p>
            <w:pPr>
              <w:jc w:val="left"/>
              <w:rPr>
                <w:rFonts w:hint="eastAsia" w:ascii="仿宋" w:hAnsi="仿宋" w:eastAsia="仿宋" w:cs="仿宋"/>
                <w:b/>
                <w:iCs/>
                <w:sz w:val="20"/>
                <w:szCs w:val="18"/>
                <w:highlight w:val="none"/>
              </w:rPr>
            </w:pPr>
            <w:r>
              <w:rPr>
                <w:rFonts w:hint="eastAsia" w:ascii="仿宋" w:hAnsi="仿宋" w:eastAsia="仿宋" w:cs="仿宋"/>
                <w:b/>
                <w:iCs/>
                <w:sz w:val="18"/>
                <w:szCs w:val="18"/>
                <w:highlight w:val="none"/>
              </w:rPr>
              <w:t xml:space="preserve"> </w:t>
            </w:r>
            <w:r>
              <w:rPr>
                <w:rFonts w:hint="eastAsia" w:ascii="仿宋" w:hAnsi="仿宋" w:eastAsia="仿宋" w:cs="仿宋"/>
                <w:b/>
                <w:iCs/>
                <w:sz w:val="20"/>
                <w:szCs w:val="18"/>
                <w:highlight w:val="none"/>
              </w:rPr>
              <w:t>1、最近5年（递交投标文件截止之日前一日回溯5年):交工1个</w:t>
            </w:r>
            <w:r>
              <w:rPr>
                <w:rFonts w:hint="eastAsia" w:ascii="仿宋" w:hAnsi="仿宋" w:eastAsia="仿宋" w:cs="仿宋"/>
                <w:b/>
                <w:iCs/>
                <w:sz w:val="20"/>
                <w:szCs w:val="18"/>
                <w:highlight w:val="none"/>
                <w:u w:val="single"/>
              </w:rPr>
              <w:t>5</w:t>
            </w:r>
            <w:r>
              <w:rPr>
                <w:rFonts w:hint="eastAsia" w:ascii="仿宋" w:hAnsi="仿宋" w:eastAsia="仿宋" w:cs="仿宋"/>
                <w:b/>
                <w:iCs/>
                <w:sz w:val="20"/>
                <w:szCs w:val="18"/>
                <w:highlight w:val="none"/>
              </w:rPr>
              <w:t>公里高速公路施工总承包工程（指路基、桥梁工程一起招标的工程）合同段；</w:t>
            </w:r>
          </w:p>
          <w:p>
            <w:pPr>
              <w:jc w:val="left"/>
              <w:rPr>
                <w:rFonts w:hint="eastAsia" w:ascii="仿宋" w:hAnsi="仿宋" w:eastAsia="仿宋" w:cs="仿宋"/>
                <w:iCs/>
                <w:sz w:val="18"/>
                <w:szCs w:val="18"/>
                <w:highlight w:val="none"/>
              </w:rPr>
            </w:pPr>
            <w:r>
              <w:rPr>
                <w:rFonts w:hint="eastAsia" w:ascii="仿宋" w:hAnsi="仿宋" w:eastAsia="仿宋" w:cs="仿宋"/>
                <w:b/>
                <w:iCs/>
                <w:sz w:val="20"/>
                <w:szCs w:val="18"/>
                <w:highlight w:val="none"/>
              </w:rPr>
              <w:t>2、最近10年（递交投标文件截止之日前一日回溯10年)： 交工过1座公路钢混组合结构桥梁(不含人行天桥)或1座公路钢结构桥梁的施工(不含人行天桥)。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trPr>
        <w:tc>
          <w:tcPr>
            <w:tcW w:w="1438" w:type="dxa"/>
            <w:vMerge w:val="continue"/>
            <w:vAlign w:val="center"/>
          </w:tcPr>
          <w:p>
            <w:pPr>
              <w:spacing w:line="240" w:lineRule="exact"/>
              <w:jc w:val="center"/>
              <w:rPr>
                <w:rFonts w:hint="eastAsia" w:ascii="仿宋" w:hAnsi="仿宋" w:eastAsia="仿宋" w:cs="仿宋"/>
                <w:b/>
                <w:iCs/>
                <w:sz w:val="24"/>
                <w:szCs w:val="24"/>
                <w:highlight w:val="none"/>
              </w:rPr>
            </w:pPr>
          </w:p>
        </w:tc>
        <w:tc>
          <w:tcPr>
            <w:tcW w:w="998" w:type="dxa"/>
            <w:vMerge w:val="continue"/>
            <w:vAlign w:val="center"/>
          </w:tcPr>
          <w:p>
            <w:pPr>
              <w:spacing w:line="240" w:lineRule="exact"/>
              <w:jc w:val="center"/>
              <w:rPr>
                <w:rFonts w:hint="eastAsia" w:ascii="仿宋" w:hAnsi="仿宋" w:eastAsia="仿宋" w:cs="仿宋"/>
                <w:b/>
                <w:iCs/>
                <w:sz w:val="18"/>
                <w:szCs w:val="18"/>
                <w:highlight w:val="none"/>
              </w:rPr>
            </w:pPr>
          </w:p>
        </w:tc>
        <w:tc>
          <w:tcPr>
            <w:tcW w:w="820"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3</w:t>
            </w:r>
          </w:p>
        </w:tc>
        <w:tc>
          <w:tcPr>
            <w:tcW w:w="1363"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K10+909.5～K20+299</w:t>
            </w:r>
          </w:p>
        </w:tc>
        <w:tc>
          <w:tcPr>
            <w:tcW w:w="950" w:type="dxa"/>
            <w:vAlign w:val="center"/>
          </w:tcPr>
          <w:p>
            <w:pPr>
              <w:spacing w:line="240" w:lineRule="exact"/>
              <w:jc w:val="center"/>
              <w:rPr>
                <w:rFonts w:hint="eastAsia" w:ascii="仿宋" w:hAnsi="仿宋" w:eastAsia="仿宋" w:cs="仿宋"/>
                <w:b/>
                <w:iCs/>
                <w:sz w:val="18"/>
                <w:szCs w:val="18"/>
                <w:highlight w:val="none"/>
              </w:rPr>
            </w:pPr>
            <w:r>
              <w:rPr>
                <w:rFonts w:hint="eastAsia" w:ascii="仿宋" w:hAnsi="仿宋" w:eastAsia="仿宋" w:cs="仿宋"/>
                <w:b/>
                <w:iCs/>
                <w:sz w:val="18"/>
                <w:szCs w:val="18"/>
                <w:highlight w:val="none"/>
              </w:rPr>
              <w:t>9.39km</w:t>
            </w:r>
          </w:p>
        </w:tc>
        <w:tc>
          <w:tcPr>
            <w:tcW w:w="2437" w:type="dxa"/>
            <w:vMerge w:val="continue"/>
            <w:vAlign w:val="top"/>
          </w:tcPr>
          <w:p>
            <w:pPr>
              <w:pStyle w:val="4"/>
              <w:spacing w:line="240" w:lineRule="exact"/>
              <w:jc w:val="left"/>
              <w:rPr>
                <w:rFonts w:hint="eastAsia" w:ascii="仿宋" w:hAnsi="仿宋" w:eastAsia="仿宋" w:cs="仿宋"/>
                <w:b/>
                <w:iCs/>
                <w:sz w:val="18"/>
                <w:szCs w:val="18"/>
                <w:highlight w:val="none"/>
              </w:rPr>
            </w:pPr>
          </w:p>
        </w:tc>
        <w:tc>
          <w:tcPr>
            <w:tcW w:w="2091" w:type="dxa"/>
            <w:vMerge w:val="continue"/>
            <w:vAlign w:val="center"/>
          </w:tcPr>
          <w:p>
            <w:pPr>
              <w:pStyle w:val="4"/>
              <w:spacing w:line="240" w:lineRule="exact"/>
              <w:jc w:val="center"/>
              <w:rPr>
                <w:rFonts w:hint="eastAsia" w:ascii="仿宋" w:hAnsi="仿宋" w:eastAsia="仿宋" w:cs="仿宋"/>
                <w:b/>
                <w:iCs/>
                <w:sz w:val="18"/>
                <w:szCs w:val="18"/>
                <w:highlight w:val="none"/>
              </w:rPr>
            </w:pPr>
          </w:p>
        </w:tc>
        <w:tc>
          <w:tcPr>
            <w:tcW w:w="4077" w:type="dxa"/>
            <w:vMerge w:val="continue"/>
            <w:vAlign w:val="center"/>
          </w:tcPr>
          <w:p>
            <w:pPr>
              <w:pStyle w:val="4"/>
              <w:spacing w:line="240" w:lineRule="exact"/>
              <w:rPr>
                <w:rFonts w:hint="eastAsia" w:ascii="仿宋" w:hAnsi="仿宋" w:eastAsia="仿宋" w:cs="仿宋"/>
                <w:iCs/>
                <w:sz w:val="18"/>
                <w:szCs w:val="18"/>
                <w:highlight w:val="none"/>
              </w:rPr>
            </w:pPr>
          </w:p>
        </w:tc>
      </w:tr>
    </w:tbl>
    <w:p>
      <w:pPr>
        <w:spacing w:line="320" w:lineRule="atLeast"/>
        <w:ind w:firstLine="445" w:firstLineChars="211"/>
        <w:rPr>
          <w:rFonts w:hint="eastAsia" w:ascii="黑体" w:hAnsi="黑体" w:eastAsia="黑体"/>
          <w:b/>
          <w:iCs/>
          <w:szCs w:val="21"/>
          <w:highlight w:val="none"/>
        </w:rPr>
      </w:pPr>
    </w:p>
    <w:p>
      <w:pPr>
        <w:spacing w:line="320" w:lineRule="atLeast"/>
        <w:ind w:firstLine="508" w:firstLineChars="211"/>
        <w:rPr>
          <w:rFonts w:hint="eastAsia" w:ascii="黑体" w:hAnsi="黑体" w:eastAsia="黑体"/>
          <w:b/>
          <w:iCs/>
          <w:sz w:val="24"/>
          <w:szCs w:val="24"/>
          <w:highlight w:val="none"/>
        </w:rPr>
      </w:pPr>
      <w:r>
        <w:rPr>
          <w:rFonts w:hint="eastAsia" w:ascii="黑体" w:hAnsi="黑体" w:eastAsia="黑体"/>
          <w:b/>
          <w:iCs/>
          <w:sz w:val="24"/>
          <w:szCs w:val="24"/>
          <w:highlight w:val="none"/>
        </w:rPr>
        <w:t>注：</w:t>
      </w:r>
    </w:p>
    <w:p>
      <w:pPr>
        <w:tabs>
          <w:tab w:val="left" w:pos="2940"/>
        </w:tabs>
        <w:spacing w:line="400" w:lineRule="exact"/>
        <w:ind w:firstLine="508" w:firstLineChars="211"/>
        <w:rPr>
          <w:rFonts w:hint="eastAsia" w:ascii="黑体" w:hAnsi="黑体" w:eastAsia="黑体"/>
          <w:b/>
          <w:iCs/>
          <w:sz w:val="24"/>
          <w:szCs w:val="24"/>
          <w:highlight w:val="none"/>
        </w:rPr>
      </w:pPr>
      <w:r>
        <w:rPr>
          <w:rFonts w:hint="eastAsia" w:ascii="黑体" w:hAnsi="黑体" w:eastAsia="黑体"/>
          <w:b/>
          <w:iCs/>
          <w:sz w:val="24"/>
          <w:szCs w:val="24"/>
          <w:highlight w:val="none"/>
        </w:rPr>
        <w:t>1、招标人特别提醒：投标人应认真对照其所投招标工程类别的业绩要求予以填报，确保相关信息资料真实、完整、准确。</w:t>
      </w:r>
    </w:p>
    <w:p>
      <w:pPr>
        <w:tabs>
          <w:tab w:val="left" w:pos="2940"/>
        </w:tabs>
        <w:spacing w:line="400" w:lineRule="exact"/>
        <w:ind w:firstLine="508" w:firstLineChars="211"/>
        <w:rPr>
          <w:rFonts w:hint="eastAsia" w:ascii="黑体" w:hAnsi="黑体" w:eastAsia="黑体"/>
          <w:b/>
          <w:iCs/>
          <w:sz w:val="24"/>
          <w:szCs w:val="24"/>
          <w:highlight w:val="none"/>
        </w:rPr>
      </w:pPr>
      <w:r>
        <w:rPr>
          <w:rFonts w:hint="eastAsia" w:ascii="黑体" w:hAnsi="黑体" w:eastAsia="黑体"/>
          <w:b/>
          <w:iCs/>
          <w:sz w:val="24"/>
          <w:szCs w:val="24"/>
          <w:highlight w:val="none"/>
        </w:rPr>
        <w:t>2、投标人必须填写《近年完成类似项目情况表》，表格应填写具体工程量信息满足上表要求的若干类似工程项目，并标明序号（未在投标文件中填报或多报的业绩不作为评审依据）。评标委员会仅对满足投标人须知附录3要求的类似工程项目序号前2位进行评审。</w:t>
      </w:r>
    </w:p>
    <w:p>
      <w:pPr>
        <w:spacing w:line="400" w:lineRule="exact"/>
        <w:ind w:firstLine="472" w:firstLineChars="196"/>
        <w:rPr>
          <w:rFonts w:hint="eastAsia" w:ascii="黑体" w:hAnsi="黑体" w:eastAsia="黑体"/>
          <w:b/>
          <w:iCs/>
          <w:sz w:val="24"/>
          <w:szCs w:val="24"/>
          <w:highlight w:val="none"/>
        </w:rPr>
      </w:pPr>
      <w:r>
        <w:rPr>
          <w:rFonts w:hint="eastAsia" w:ascii="黑体" w:hAnsi="黑体" w:eastAsia="黑体"/>
          <w:b/>
          <w:iCs/>
          <w:sz w:val="24"/>
          <w:szCs w:val="24"/>
          <w:highlight w:val="none"/>
        </w:rPr>
        <w:t>3、投标人发布在湖南省公路水路建设与运输市场信用信息服务网站（http://218.76.40.80:9000/hnxyfw）的投标人的相关信息符合投标人须知附录3（招标公告附件表3业绩最低要求）的规定。</w:t>
      </w:r>
    </w:p>
    <w:p>
      <w:pPr>
        <w:spacing w:line="400" w:lineRule="exact"/>
        <w:ind w:firstLine="482" w:firstLineChars="200"/>
        <w:rPr>
          <w:rFonts w:hint="eastAsia" w:ascii="黑体" w:hAnsi="黑体" w:eastAsia="黑体"/>
          <w:b/>
          <w:iCs/>
          <w:sz w:val="24"/>
          <w:szCs w:val="24"/>
          <w:highlight w:val="none"/>
        </w:rPr>
      </w:pPr>
      <w:r>
        <w:rPr>
          <w:rFonts w:hint="eastAsia" w:ascii="黑体" w:hAnsi="黑体" w:eastAsia="黑体"/>
          <w:b/>
          <w:iCs/>
          <w:sz w:val="24"/>
          <w:szCs w:val="24"/>
          <w:highlight w:val="none"/>
        </w:rPr>
        <w:t>投标文件相应位置必须附与项目业主签订的合同协议书，由发包人出具的公路工程（标段）交工验收证书或质量监督机构对各参建单位签发的工作综合评价等级证书作为证明材料（若交工验收证书的主要工程量信息不能满足投标人须知附录3要求的信息时，必须提供项目业主出具的证明材料）。分包业绩证明由承包人和发包人共同出具。</w:t>
      </w:r>
    </w:p>
    <w:p>
      <w:pPr>
        <w:spacing w:line="400" w:lineRule="exact"/>
        <w:ind w:firstLine="482" w:firstLineChars="200"/>
        <w:rPr>
          <w:rFonts w:hint="eastAsia" w:ascii="黑体" w:hAnsi="黑体" w:eastAsia="黑体"/>
          <w:b/>
          <w:iCs/>
          <w:sz w:val="24"/>
          <w:szCs w:val="24"/>
          <w:highlight w:val="none"/>
        </w:rPr>
      </w:pPr>
      <w:r>
        <w:rPr>
          <w:rFonts w:hint="eastAsia" w:ascii="黑体" w:hAnsi="黑体" w:eastAsia="黑体"/>
          <w:b/>
          <w:iCs/>
          <w:sz w:val="24"/>
          <w:szCs w:val="24"/>
          <w:highlight w:val="none"/>
        </w:rPr>
        <w:t>4、如近年来，投标人法人机构发生合法变更或重组或法人名称变更时，应提供相关部门的合法批件或其他相关证明材料来证明其所附业绩的继承性。</w:t>
      </w:r>
    </w:p>
    <w:p>
      <w:pPr>
        <w:spacing w:line="400" w:lineRule="exact"/>
        <w:ind w:firstLine="482" w:firstLineChars="200"/>
        <w:rPr>
          <w:rFonts w:hint="eastAsia" w:ascii="黑体" w:hAnsi="黑体" w:eastAsia="黑体"/>
          <w:b/>
          <w:iCs/>
          <w:sz w:val="24"/>
          <w:szCs w:val="24"/>
          <w:highlight w:val="none"/>
        </w:rPr>
      </w:pPr>
      <w:r>
        <w:rPr>
          <w:rFonts w:hint="eastAsia" w:ascii="黑体" w:hAnsi="黑体" w:eastAsia="黑体"/>
          <w:b/>
          <w:iCs/>
          <w:sz w:val="24"/>
          <w:szCs w:val="24"/>
          <w:highlight w:val="none"/>
        </w:rPr>
        <w:t>5、投标人须在《近年完成类似项目情况表》备注中说明投标人承担的具体施工任务，是独立施工还是作为联合体的牵头人或成员单位、或分包人施工。</w:t>
      </w:r>
    </w:p>
    <w:p>
      <w:pPr>
        <w:spacing w:line="400" w:lineRule="exact"/>
        <w:ind w:firstLine="482" w:firstLineChars="200"/>
        <w:rPr>
          <w:rFonts w:hint="eastAsia" w:ascii="黑体" w:hAnsi="黑体" w:eastAsia="黑体"/>
          <w:b/>
          <w:iCs/>
          <w:sz w:val="24"/>
          <w:szCs w:val="24"/>
          <w:highlight w:val="none"/>
        </w:rPr>
      </w:pPr>
      <w:r>
        <w:rPr>
          <w:rFonts w:hint="eastAsia" w:ascii="黑体" w:hAnsi="黑体" w:eastAsia="黑体"/>
          <w:b/>
          <w:iCs/>
          <w:sz w:val="24"/>
          <w:szCs w:val="24"/>
          <w:highlight w:val="none"/>
        </w:rPr>
        <w:t>6、业绩计算以项目交工验收之日为截止日，具体日期按《公路工程标准施工招标文件范本》（2009年版）合同专用条款第18.3款规定。</w:t>
      </w:r>
    </w:p>
    <w:p>
      <w:pPr>
        <w:spacing w:line="400" w:lineRule="exact"/>
        <w:ind w:firstLine="482" w:firstLineChars="200"/>
        <w:rPr>
          <w:rFonts w:hint="eastAsia" w:ascii="黑体" w:hAnsi="黑体" w:eastAsia="黑体"/>
          <w:b/>
          <w:iCs/>
          <w:sz w:val="24"/>
          <w:szCs w:val="24"/>
          <w:highlight w:val="none"/>
        </w:rPr>
      </w:pPr>
      <w:r>
        <w:rPr>
          <w:rFonts w:hint="eastAsia" w:ascii="黑体" w:hAnsi="黑体" w:eastAsia="黑体"/>
          <w:b/>
          <w:iCs/>
          <w:sz w:val="24"/>
          <w:szCs w:val="24"/>
          <w:highlight w:val="none"/>
        </w:rPr>
        <w:t>7、业绩以合同结算价为准。合同结算价格指承包人按合同约定完成了包括缺陷责任期内的全部承包工作后，发包人应付给承包人的金额，包括在履行合同过程中按合同约定进行的变更和调整。</w:t>
      </w:r>
    </w:p>
    <w:p>
      <w:pPr>
        <w:spacing w:line="400" w:lineRule="exact"/>
        <w:ind w:firstLine="482" w:firstLineChars="200"/>
        <w:rPr>
          <w:rFonts w:hint="eastAsia" w:ascii="黑体" w:hAnsi="黑体" w:eastAsia="黑体"/>
          <w:b/>
          <w:iCs/>
          <w:sz w:val="24"/>
          <w:szCs w:val="24"/>
          <w:highlight w:val="none"/>
        </w:rPr>
      </w:pPr>
      <w:r>
        <w:rPr>
          <w:rFonts w:hint="eastAsia" w:ascii="黑体" w:hAnsi="黑体" w:eastAsia="黑体"/>
          <w:b/>
          <w:iCs/>
          <w:sz w:val="24"/>
          <w:szCs w:val="24"/>
          <w:highlight w:val="none"/>
        </w:rPr>
        <w:t>8、</w:t>
      </w:r>
      <w:r>
        <w:rPr>
          <w:highlight w:val="none"/>
        </w:rPr>
        <w:t xml:space="preserve"> </w:t>
      </w:r>
      <w:r>
        <w:rPr>
          <w:rFonts w:ascii="黑体" w:hAnsi="黑体" w:eastAsia="黑体"/>
          <w:b/>
          <w:iCs/>
          <w:sz w:val="24"/>
          <w:szCs w:val="24"/>
          <w:highlight w:val="none"/>
        </w:rPr>
        <w:t>若</w:t>
      </w:r>
      <w:r>
        <w:rPr>
          <w:rFonts w:hint="eastAsia" w:ascii="黑体" w:hAnsi="黑体" w:eastAsia="黑体"/>
          <w:b/>
          <w:iCs/>
          <w:sz w:val="24"/>
          <w:szCs w:val="24"/>
          <w:highlight w:val="none"/>
        </w:rPr>
        <w:t>投标</w:t>
      </w:r>
      <w:r>
        <w:rPr>
          <w:rFonts w:ascii="黑体" w:hAnsi="黑体" w:eastAsia="黑体"/>
          <w:b/>
          <w:iCs/>
          <w:sz w:val="24"/>
          <w:szCs w:val="24"/>
          <w:highlight w:val="none"/>
        </w:rPr>
        <w:t>人提供国外业绩，则必须提供中华人民共和国商务部或所属省级商务厅（局）颁发的《对外承包工程项目投（议）标许可证》、中华人民共和国商务部或中国驻项目所在国大使馆具有相应职责的部门报备登记的有关业绩证明材料。</w:t>
      </w:r>
    </w:p>
    <w:p>
      <w:pPr>
        <w:pStyle w:val="4"/>
        <w:spacing w:line="400" w:lineRule="exact"/>
        <w:ind w:firstLine="472" w:firstLineChars="196"/>
        <w:rPr>
          <w:rStyle w:val="13"/>
          <w:rFonts w:hAnsi="宋体"/>
          <w:bCs/>
          <w:spacing w:val="20"/>
          <w:sz w:val="24"/>
          <w:szCs w:val="24"/>
          <w:highlight w:val="none"/>
        </w:rPr>
        <w:sectPr>
          <w:footnotePr>
            <w:numFmt w:val="decimalEnclosedCircleChinese"/>
            <w:numRestart w:val="eachPage"/>
          </w:footnotePr>
          <w:pgSz w:w="16838" w:h="11906" w:orient="landscape"/>
          <w:pgMar w:top="1361" w:right="1440" w:bottom="1361" w:left="1440" w:header="851" w:footer="992" w:gutter="0"/>
          <w:cols w:space="720" w:num="1"/>
          <w:titlePg/>
          <w:docGrid w:linePitch="312" w:charSpace="0"/>
        </w:sectPr>
      </w:pPr>
      <w:r>
        <w:rPr>
          <w:rFonts w:hint="eastAsia" w:ascii="黑体" w:hAnsi="黑体" w:eastAsia="黑体"/>
          <w:b/>
          <w:sz w:val="24"/>
          <w:szCs w:val="24"/>
          <w:highlight w:val="none"/>
        </w:rPr>
        <w:t>9、 投标人若具备公路安全设施分项一级资质，还必须满足最近5年（递交投标文件截止之日前一日回溯5年），交工过1个高速公路交通安全设施工程合同段的业绩要求</w:t>
      </w:r>
      <w:r>
        <w:rPr>
          <w:rFonts w:hint="eastAsia" w:ascii="黑体" w:hAnsi="黑体" w:eastAsia="黑体"/>
          <w:b/>
          <w:iCs/>
          <w:sz w:val="24"/>
          <w:szCs w:val="24"/>
          <w:highlight w:val="none"/>
        </w:rPr>
        <w:t>（在《近年完成的类似项目情况表》后附相应的业绩证明材料），且投标人在湖南省公路水路建设与运输市场信用信息服务网站（http://218.76.40.80:9000/hnxyfw）填报的</w:t>
      </w:r>
      <w:r>
        <w:rPr>
          <w:rFonts w:hint="eastAsia" w:ascii="黑体" w:hAnsi="黑体" w:eastAsia="黑体"/>
          <w:b/>
          <w:sz w:val="24"/>
          <w:szCs w:val="24"/>
          <w:highlight w:val="none"/>
        </w:rPr>
        <w:t>具体工程量信息必须按上述的业绩要求予以明确体现。否则投标人在投标文件中必须提供具备相应资质的分包人，且分包人也须满足上述业绩要求（在《拟分包项目情况表》后附相应的业绩证明材料），分包人在湖南省公路水路建设与运输市场信用信息服务网站（http://218.76.40.80:9000/hnxyfw）填报的具体工程量信息必须按上述的业绩要求予以明确体现。</w:t>
      </w:r>
    </w:p>
    <w:p>
      <w:pPr>
        <w:spacing w:line="360" w:lineRule="auto"/>
        <w:jc w:val="center"/>
        <w:rPr>
          <w:rStyle w:val="13"/>
          <w:rFonts w:hint="eastAsia" w:ascii="宋体" w:hAnsi="宋体"/>
          <w:bCs/>
          <w:spacing w:val="20"/>
          <w:sz w:val="24"/>
          <w:szCs w:val="24"/>
          <w:highlight w:val="none"/>
        </w:rPr>
      </w:pPr>
      <w:r>
        <w:rPr>
          <w:rStyle w:val="13"/>
          <w:rFonts w:hint="eastAsia" w:ascii="宋体" w:hAnsi="宋体"/>
          <w:bCs/>
          <w:spacing w:val="20"/>
          <w:sz w:val="24"/>
          <w:szCs w:val="24"/>
          <w:highlight w:val="none"/>
        </w:rPr>
        <w:t>表4  信誉最低要求</w:t>
      </w:r>
    </w:p>
    <w:tbl>
      <w:tblPr>
        <w:tblStyle w:val="11"/>
        <w:tblW w:w="88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55" w:hRule="atLeast"/>
          <w:jc w:val="center"/>
        </w:trPr>
        <w:tc>
          <w:tcPr>
            <w:tcW w:w="8880" w:type="dxa"/>
            <w:vAlign w:val="center"/>
          </w:tcPr>
          <w:p>
            <w:pPr>
              <w:pStyle w:val="14"/>
              <w:adjustRightInd/>
              <w:spacing w:line="240" w:lineRule="auto"/>
              <w:textAlignment w:val="auto"/>
              <w:rPr>
                <w:rFonts w:hint="eastAsia" w:ascii="宋体"/>
                <w:b/>
                <w:kern w:val="2"/>
                <w:highlight w:val="none"/>
              </w:rPr>
            </w:pPr>
            <w:r>
              <w:rPr>
                <w:rStyle w:val="13"/>
                <w:rFonts w:hint="eastAsia" w:ascii="宋体" w:hAnsi="宋体"/>
                <w:b w:val="0"/>
                <w:bCs/>
                <w:spacing w:val="20"/>
                <w:sz w:val="24"/>
                <w:szCs w:val="24"/>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43" w:hRule="atLeast"/>
          <w:jc w:val="center"/>
        </w:trPr>
        <w:tc>
          <w:tcPr>
            <w:tcW w:w="8880" w:type="dxa"/>
            <w:vAlign w:val="center"/>
          </w:tcPr>
          <w:p>
            <w:pPr>
              <w:ind w:left="399" w:leftChars="190" w:firstLine="482" w:firstLineChars="200"/>
              <w:rPr>
                <w:rFonts w:ascii="宋体" w:hAnsi="宋体"/>
                <w:b/>
                <w:iCs/>
                <w:sz w:val="24"/>
                <w:szCs w:val="24"/>
                <w:highlight w:val="none"/>
              </w:rPr>
            </w:pPr>
            <w:r>
              <w:rPr>
                <w:rFonts w:ascii="宋体" w:hAnsi="宋体"/>
                <w:b/>
                <w:iCs/>
                <w:sz w:val="24"/>
                <w:szCs w:val="24"/>
                <w:highlight w:val="none"/>
              </w:rPr>
              <w:t>投标人不得存在下列情形之一：</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（1）为招标人不具有独立法人资格的附属机构（单位）；</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（2）为本标段前期准备提供设计或咨询服务的，</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（3）为本标段的监理人；</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（4）为本标段的代建人；</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（5）为本标段提供招标代理服务的；</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（6）与本标段的监理人或代建人或招标代理机构同为一个法定代表人的；</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（7）与本标段的监理人或代建人或招标代理机构相互控股或参股的；</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（8）与本标段的监理人或代建人或招标代理机构相互任职或工作的；</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（9）被责令停业的；</w:t>
            </w:r>
          </w:p>
          <w:p>
            <w:pPr>
              <w:ind w:left="399" w:leftChars="190" w:firstLine="482" w:firstLineChars="200"/>
              <w:rPr>
                <w:rFonts w:ascii="宋体" w:hAnsi="宋体"/>
                <w:b/>
                <w:iCs/>
                <w:sz w:val="24"/>
                <w:szCs w:val="24"/>
                <w:highlight w:val="none"/>
              </w:rPr>
            </w:pPr>
            <w:r>
              <w:rPr>
                <w:rFonts w:ascii="宋体" w:hAnsi="宋体"/>
                <w:b/>
                <w:iCs/>
                <w:sz w:val="24"/>
                <w:szCs w:val="24"/>
                <w:highlight w:val="none"/>
              </w:rPr>
              <w:t>（1</w:t>
            </w:r>
            <w:r>
              <w:rPr>
                <w:rFonts w:hint="eastAsia" w:ascii="宋体" w:hAnsi="宋体"/>
                <w:b/>
                <w:iCs/>
                <w:sz w:val="24"/>
                <w:szCs w:val="24"/>
                <w:highlight w:val="none"/>
              </w:rPr>
              <w:t>0</w:t>
            </w:r>
            <w:r>
              <w:rPr>
                <w:rFonts w:ascii="宋体" w:hAnsi="宋体"/>
                <w:b/>
                <w:iCs/>
                <w:sz w:val="24"/>
                <w:szCs w:val="24"/>
                <w:highlight w:val="none"/>
              </w:rPr>
              <w:t>）财产被接管或冻结的；</w:t>
            </w:r>
          </w:p>
          <w:p>
            <w:pPr>
              <w:ind w:left="399" w:leftChars="190" w:firstLine="482" w:firstLineChars="200"/>
              <w:rPr>
                <w:rFonts w:hint="eastAsia" w:ascii="宋体" w:hAnsi="宋体"/>
                <w:b/>
                <w:iCs/>
                <w:sz w:val="24"/>
                <w:szCs w:val="24"/>
                <w:highlight w:val="none"/>
              </w:rPr>
            </w:pPr>
            <w:r>
              <w:rPr>
                <w:rFonts w:ascii="宋体" w:hAnsi="宋体"/>
                <w:b/>
                <w:iCs/>
                <w:sz w:val="24"/>
                <w:szCs w:val="24"/>
                <w:highlight w:val="none"/>
              </w:rPr>
              <w:t>（1</w:t>
            </w:r>
            <w:r>
              <w:rPr>
                <w:rFonts w:hint="eastAsia" w:ascii="宋体" w:hAnsi="宋体"/>
                <w:b/>
                <w:iCs/>
                <w:sz w:val="24"/>
                <w:szCs w:val="24"/>
                <w:highlight w:val="none"/>
              </w:rPr>
              <w:t>1</w:t>
            </w:r>
            <w:r>
              <w:rPr>
                <w:rFonts w:ascii="宋体" w:hAnsi="宋体"/>
                <w:b/>
                <w:iCs/>
                <w:sz w:val="24"/>
                <w:szCs w:val="24"/>
                <w:highlight w:val="none"/>
              </w:rPr>
              <w:t>）在最近三年内有骗取中标或严重违约或重大工程质量问题的</w:t>
            </w:r>
            <w:r>
              <w:rPr>
                <w:rFonts w:hint="eastAsia" w:ascii="宋体" w:hAnsi="宋体"/>
                <w:b/>
                <w:iCs/>
                <w:sz w:val="24"/>
                <w:szCs w:val="24"/>
                <w:highlight w:val="none"/>
              </w:rPr>
              <w:t>；</w:t>
            </w:r>
          </w:p>
          <w:p>
            <w:pPr>
              <w:ind w:left="399" w:leftChars="190" w:firstLine="482" w:firstLineChars="200"/>
              <w:rPr>
                <w:rFonts w:hint="eastAsia" w:ascii="宋体" w:hAnsi="宋体"/>
                <w:b/>
                <w:iCs/>
                <w:sz w:val="24"/>
                <w:szCs w:val="24"/>
                <w:highlight w:val="none"/>
              </w:rPr>
            </w:pPr>
            <w:r>
              <w:rPr>
                <w:rFonts w:hint="eastAsia" w:ascii="宋体" w:hAnsi="宋体"/>
                <w:b/>
                <w:iCs/>
                <w:sz w:val="24"/>
                <w:szCs w:val="24"/>
                <w:highlight w:val="none"/>
              </w:rPr>
              <w:t>（12）涉及正在诉讼的案件且经审查委员会认定会对承担本项目造成重大影响；</w:t>
            </w:r>
          </w:p>
          <w:p>
            <w:pPr>
              <w:ind w:left="399" w:leftChars="190" w:firstLine="482" w:firstLineChars="200"/>
              <w:rPr>
                <w:rFonts w:hint="eastAsia" w:ascii="宋体" w:hAnsi="宋体"/>
                <w:b/>
                <w:iCs/>
                <w:sz w:val="24"/>
                <w:szCs w:val="24"/>
                <w:highlight w:val="none"/>
              </w:rPr>
            </w:pPr>
            <w:r>
              <w:rPr>
                <w:rFonts w:hint="eastAsia" w:ascii="宋体" w:hAnsi="宋体"/>
                <w:b/>
                <w:iCs/>
                <w:sz w:val="24"/>
                <w:szCs w:val="24"/>
                <w:highlight w:val="none"/>
              </w:rPr>
              <w:t>（13）被省级及以上交通主管部门取消项目所在地的投标资格或禁止进入该区域公路建设市场且处于有效期内；</w:t>
            </w:r>
          </w:p>
          <w:p>
            <w:pPr>
              <w:ind w:left="399" w:leftChars="190" w:firstLine="482" w:firstLineChars="200"/>
              <w:rPr>
                <w:rFonts w:hint="eastAsia" w:ascii="宋体" w:hAnsi="宋体"/>
                <w:b/>
                <w:iCs/>
                <w:sz w:val="24"/>
                <w:szCs w:val="24"/>
                <w:highlight w:val="none"/>
              </w:rPr>
            </w:pPr>
            <w:r>
              <w:rPr>
                <w:rFonts w:hint="eastAsia" w:ascii="宋体" w:hAnsi="宋体"/>
                <w:b/>
                <w:iCs/>
                <w:sz w:val="24"/>
                <w:szCs w:val="24"/>
                <w:highlight w:val="none"/>
              </w:rPr>
              <w:t>（14）为投资参股本项目的法人单位。</w:t>
            </w:r>
          </w:p>
          <w:p>
            <w:pPr>
              <w:ind w:left="399" w:leftChars="190" w:firstLine="482" w:firstLineChars="200"/>
              <w:rPr>
                <w:rFonts w:hint="eastAsia" w:ascii="宋体" w:hAnsi="宋体"/>
                <w:b/>
                <w:iCs/>
                <w:sz w:val="24"/>
                <w:szCs w:val="24"/>
                <w:highlight w:val="none"/>
              </w:rPr>
            </w:pPr>
            <w:r>
              <w:rPr>
                <w:rFonts w:hint="eastAsia" w:ascii="宋体" w:hAnsi="宋体"/>
                <w:b/>
                <w:iCs/>
                <w:sz w:val="24"/>
                <w:szCs w:val="24"/>
                <w:highlight w:val="none"/>
              </w:rPr>
              <w:t>（15）单位负责人为同一人或者存在控股、管理关系的不同单位，或具有直接管理和被管理关系的母子（分）公司，或同一母公司的子（分）公司（即利益相关企业），</w:t>
            </w:r>
            <w:r>
              <w:rPr>
                <w:rStyle w:val="10"/>
                <w:rFonts w:ascii="宋体" w:hAnsi="宋体"/>
                <w:b/>
                <w:iCs/>
                <w:sz w:val="24"/>
                <w:szCs w:val="24"/>
                <w:highlight w:val="none"/>
              </w:rPr>
              <w:footnoteReference w:id="1"/>
            </w:r>
            <w:r>
              <w:rPr>
                <w:rFonts w:hint="eastAsia" w:ascii="宋体" w:hAnsi="宋体"/>
                <w:b/>
                <w:iCs/>
                <w:sz w:val="24"/>
                <w:szCs w:val="24"/>
                <w:highlight w:val="none"/>
              </w:rPr>
              <w:t>所有利益相关企业的投标人参与同一招标工程类别投标的总数量（含奖励增加数量）超过该招标工程类别的标段总数。</w:t>
            </w:r>
          </w:p>
          <w:p>
            <w:pPr>
              <w:ind w:left="399" w:leftChars="190" w:firstLine="482" w:firstLineChars="200"/>
              <w:rPr>
                <w:rFonts w:hint="eastAsia" w:ascii="宋体" w:hAnsi="宋体"/>
                <w:b/>
                <w:iCs/>
                <w:sz w:val="24"/>
                <w:szCs w:val="24"/>
                <w:highlight w:val="none"/>
              </w:rPr>
            </w:pPr>
            <w:r>
              <w:rPr>
                <w:rFonts w:hint="eastAsia" w:ascii="宋体" w:hAnsi="宋体"/>
                <w:b/>
                <w:iCs/>
                <w:sz w:val="24"/>
                <w:szCs w:val="24"/>
                <w:highlight w:val="none"/>
              </w:rPr>
              <w:t>（16）发生安全事故，企业安全生产许可证被暂扣或吊销。</w:t>
            </w:r>
          </w:p>
          <w:p>
            <w:pPr>
              <w:ind w:left="399" w:leftChars="190" w:firstLine="482" w:firstLineChars="200"/>
              <w:rPr>
                <w:rFonts w:hint="eastAsia" w:ascii="宋体" w:hAnsi="宋体"/>
                <w:b/>
                <w:iCs/>
                <w:sz w:val="24"/>
                <w:szCs w:val="24"/>
                <w:highlight w:val="none"/>
              </w:rPr>
            </w:pPr>
            <w:r>
              <w:rPr>
                <w:rFonts w:hint="eastAsia" w:ascii="宋体" w:hAnsi="宋体"/>
                <w:b/>
                <w:iCs/>
                <w:sz w:val="24"/>
                <w:szCs w:val="24"/>
                <w:highlight w:val="none"/>
              </w:rPr>
              <w:t>（17）被湖南省交通运输厅评为最近第一年度D级、连续两年（最近第二年和最近第一年）评为C级、连续三年（最近第三年～最近第一年）评为B级及以下信用等级。</w:t>
            </w:r>
          </w:p>
          <w:p>
            <w:pPr>
              <w:ind w:left="399" w:leftChars="190" w:firstLine="482" w:firstLineChars="200"/>
              <w:rPr>
                <w:rFonts w:hint="eastAsia" w:ascii="宋体"/>
                <w:highlight w:val="none"/>
              </w:rPr>
            </w:pPr>
            <w:r>
              <w:rPr>
                <w:rFonts w:hint="eastAsia" w:ascii="宋体" w:hAnsi="宋体"/>
                <w:b/>
                <w:iCs/>
                <w:sz w:val="24"/>
                <w:szCs w:val="24"/>
                <w:highlight w:val="none"/>
              </w:rPr>
              <w:t>（18）为与招标人存在利害关系，可能影响招标公正性的法人、其他组织或者个人。</w:t>
            </w:r>
          </w:p>
        </w:tc>
      </w:tr>
    </w:tbl>
    <w:p>
      <w:pPr>
        <w:spacing w:line="440" w:lineRule="exact"/>
        <w:rPr>
          <w:rFonts w:hint="eastAsia" w:ascii="黑体" w:hAnsi="宋体" w:eastAsia="黑体"/>
          <w:b/>
          <w:sz w:val="24"/>
          <w:szCs w:val="24"/>
          <w:highlight w:val="none"/>
        </w:rPr>
      </w:pPr>
      <w:r>
        <w:rPr>
          <w:rFonts w:hint="eastAsia" w:ascii="黑体" w:hAnsi="宋体" w:eastAsia="黑体"/>
          <w:b/>
          <w:sz w:val="24"/>
          <w:szCs w:val="24"/>
          <w:highlight w:val="none"/>
        </w:rPr>
        <w:t>注：</w:t>
      </w:r>
    </w:p>
    <w:p>
      <w:pPr>
        <w:spacing w:line="320" w:lineRule="exact"/>
        <w:ind w:firstLine="472" w:firstLineChars="196"/>
        <w:rPr>
          <w:rFonts w:hint="eastAsia" w:ascii="黑体" w:hAnsi="宋体" w:eastAsia="黑体"/>
          <w:b/>
          <w:sz w:val="24"/>
          <w:szCs w:val="24"/>
          <w:highlight w:val="none"/>
        </w:rPr>
      </w:pPr>
      <w:r>
        <w:rPr>
          <w:rFonts w:hint="eastAsia" w:ascii="黑体" w:hAnsi="宋体" w:eastAsia="黑体"/>
          <w:b/>
          <w:sz w:val="24"/>
          <w:szCs w:val="24"/>
          <w:highlight w:val="none"/>
        </w:rPr>
        <w:t>1.第（11）、（12）、（13）、（16）项以最近3年（</w:t>
      </w:r>
      <w:r>
        <w:rPr>
          <w:rFonts w:hint="eastAsia" w:hAnsi="宋体"/>
          <w:sz w:val="24"/>
          <w:szCs w:val="24"/>
          <w:highlight w:val="none"/>
          <w:u w:val="single"/>
        </w:rPr>
        <w:t>递交投标文件截止之日前一日回溯3年。</w:t>
      </w:r>
      <w:r>
        <w:rPr>
          <w:rFonts w:hint="eastAsia" w:ascii="黑体" w:hAnsi="宋体" w:eastAsia="黑体"/>
          <w:b/>
          <w:sz w:val="24"/>
          <w:szCs w:val="24"/>
          <w:highlight w:val="none"/>
        </w:rPr>
        <w:t>）被国务院行政主管部门或湖南省省级行政主管部门作出的行政处罚为准。</w:t>
      </w:r>
    </w:p>
    <w:p>
      <w:pPr>
        <w:spacing w:line="400" w:lineRule="exact"/>
        <w:ind w:firstLine="472" w:firstLineChars="196"/>
        <w:rPr>
          <w:rFonts w:hint="eastAsia" w:ascii="宋体" w:hAnsi="宋体"/>
          <w:b/>
          <w:sz w:val="24"/>
          <w:szCs w:val="24"/>
          <w:highlight w:val="none"/>
        </w:rPr>
      </w:pPr>
      <w:r>
        <w:rPr>
          <w:rFonts w:hint="eastAsia" w:ascii="宋体" w:hAnsi="宋体"/>
          <w:b/>
          <w:sz w:val="24"/>
          <w:szCs w:val="24"/>
          <w:highlight w:val="none"/>
        </w:rPr>
        <w:t>2.若在随机分配标段期间发现投标人存在第(15)条所述的情形,招标人将否决同一招标工程类别所有利益相关企业的所有投标并取消同一招标工程类别所有利益相关企业的所有随机分配标段资格；若在评标期间发现投标人存在第(15)条所述的情形，招标人将否决同一招标工程类别所有利益相关企业的所有投标。</w:t>
      </w:r>
    </w:p>
    <w:p>
      <w:pPr>
        <w:spacing w:line="380" w:lineRule="exact"/>
        <w:jc w:val="center"/>
        <w:rPr>
          <w:rStyle w:val="13"/>
          <w:rFonts w:hint="eastAsia" w:ascii="宋体" w:hAnsi="宋体"/>
          <w:bCs/>
          <w:spacing w:val="20"/>
          <w:sz w:val="24"/>
          <w:szCs w:val="24"/>
          <w:highlight w:val="none"/>
        </w:rPr>
      </w:pPr>
      <w:r>
        <w:rPr>
          <w:rStyle w:val="13"/>
          <w:rFonts w:hint="eastAsia" w:ascii="宋体" w:hAnsi="宋体"/>
          <w:bCs/>
          <w:spacing w:val="20"/>
          <w:sz w:val="24"/>
          <w:szCs w:val="24"/>
          <w:highlight w:val="none"/>
        </w:rPr>
        <w:t>表5项目经理和项目总工最低要求</w:t>
      </w:r>
    </w:p>
    <w:p>
      <w:pPr>
        <w:spacing w:after="120" w:afterLines="50"/>
        <w:jc w:val="center"/>
        <w:rPr>
          <w:rStyle w:val="13"/>
          <w:rFonts w:hint="eastAsia" w:ascii="宋体" w:hAnsi="宋体"/>
          <w:bCs/>
          <w:spacing w:val="20"/>
          <w:sz w:val="24"/>
          <w:szCs w:val="24"/>
          <w:highlight w:val="none"/>
        </w:rPr>
      </w:pPr>
    </w:p>
    <w:tbl>
      <w:tblPr>
        <w:tblStyle w:val="11"/>
        <w:tblW w:w="98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1"/>
        <w:gridCol w:w="1581"/>
        <w:gridCol w:w="1307"/>
        <w:gridCol w:w="2117"/>
        <w:gridCol w:w="2268"/>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3" w:hRule="atLeast"/>
          <w:jc w:val="center"/>
        </w:trPr>
        <w:tc>
          <w:tcPr>
            <w:tcW w:w="1581" w:type="dxa"/>
            <w:vAlign w:val="top"/>
          </w:tcPr>
          <w:p>
            <w:pPr>
              <w:jc w:val="center"/>
              <w:rPr>
                <w:rFonts w:hint="eastAsia" w:ascii="宋体"/>
                <w:szCs w:val="21"/>
                <w:highlight w:val="none"/>
              </w:rPr>
            </w:pPr>
            <w:r>
              <w:rPr>
                <w:rFonts w:hint="eastAsia" w:ascii="宋体"/>
                <w:szCs w:val="21"/>
                <w:highlight w:val="none"/>
              </w:rPr>
              <w:t>招标工程类别</w:t>
            </w:r>
          </w:p>
        </w:tc>
        <w:tc>
          <w:tcPr>
            <w:tcW w:w="1581" w:type="dxa"/>
            <w:vAlign w:val="center"/>
          </w:tcPr>
          <w:p>
            <w:pPr>
              <w:jc w:val="center"/>
              <w:rPr>
                <w:rFonts w:hint="eastAsia" w:ascii="宋体"/>
                <w:szCs w:val="21"/>
                <w:highlight w:val="none"/>
              </w:rPr>
            </w:pPr>
            <w:r>
              <w:rPr>
                <w:rFonts w:hint="eastAsia" w:ascii="宋体"/>
                <w:szCs w:val="21"/>
                <w:highlight w:val="none"/>
              </w:rPr>
              <w:t>职</w:t>
            </w:r>
            <w:r>
              <w:rPr>
                <w:rFonts w:ascii="宋体"/>
                <w:szCs w:val="21"/>
                <w:highlight w:val="none"/>
              </w:rPr>
              <w:t xml:space="preserve"> </w:t>
            </w:r>
            <w:r>
              <w:rPr>
                <w:rFonts w:hint="eastAsia" w:ascii="宋体"/>
                <w:szCs w:val="21"/>
                <w:highlight w:val="none"/>
              </w:rPr>
              <w:t>位</w:t>
            </w:r>
          </w:p>
        </w:tc>
        <w:tc>
          <w:tcPr>
            <w:tcW w:w="1307" w:type="dxa"/>
            <w:vAlign w:val="center"/>
          </w:tcPr>
          <w:p>
            <w:pPr>
              <w:jc w:val="center"/>
              <w:rPr>
                <w:rFonts w:hint="eastAsia" w:ascii="宋体"/>
                <w:szCs w:val="21"/>
                <w:highlight w:val="none"/>
              </w:rPr>
            </w:pPr>
            <w:r>
              <w:rPr>
                <w:rFonts w:hint="eastAsia" w:ascii="宋体"/>
                <w:szCs w:val="21"/>
                <w:highlight w:val="none"/>
              </w:rPr>
              <w:t>职</w:t>
            </w:r>
            <w:r>
              <w:rPr>
                <w:rFonts w:ascii="宋体"/>
                <w:szCs w:val="21"/>
                <w:highlight w:val="none"/>
              </w:rPr>
              <w:t xml:space="preserve"> </w:t>
            </w:r>
            <w:r>
              <w:rPr>
                <w:rFonts w:hint="eastAsia" w:ascii="宋体"/>
                <w:szCs w:val="21"/>
                <w:highlight w:val="none"/>
              </w:rPr>
              <w:t>称</w:t>
            </w:r>
          </w:p>
        </w:tc>
        <w:tc>
          <w:tcPr>
            <w:tcW w:w="2117" w:type="dxa"/>
            <w:vAlign w:val="top"/>
          </w:tcPr>
          <w:p>
            <w:pPr>
              <w:pStyle w:val="14"/>
              <w:adjustRightInd/>
              <w:spacing w:line="240" w:lineRule="auto"/>
              <w:textAlignment w:val="auto"/>
              <w:rPr>
                <w:rFonts w:hint="eastAsia" w:ascii="宋体"/>
                <w:szCs w:val="21"/>
                <w:highlight w:val="none"/>
              </w:rPr>
            </w:pPr>
            <w:r>
              <w:rPr>
                <w:rFonts w:hint="eastAsia" w:ascii="宋体"/>
                <w:szCs w:val="21"/>
                <w:highlight w:val="none"/>
              </w:rPr>
              <w:t>建造师证</w:t>
            </w:r>
          </w:p>
        </w:tc>
        <w:tc>
          <w:tcPr>
            <w:tcW w:w="2268" w:type="dxa"/>
            <w:vAlign w:val="top"/>
          </w:tcPr>
          <w:p>
            <w:pPr>
              <w:pStyle w:val="14"/>
              <w:adjustRightInd/>
              <w:spacing w:line="240" w:lineRule="auto"/>
              <w:textAlignment w:val="auto"/>
              <w:rPr>
                <w:rFonts w:hint="eastAsia" w:ascii="宋体"/>
                <w:szCs w:val="21"/>
                <w:highlight w:val="none"/>
              </w:rPr>
            </w:pPr>
            <w:r>
              <w:rPr>
                <w:rFonts w:hint="eastAsia" w:ascii="宋体"/>
                <w:szCs w:val="21"/>
                <w:highlight w:val="none"/>
              </w:rPr>
              <w:t>安全生产考核合格证</w:t>
            </w:r>
          </w:p>
        </w:tc>
        <w:tc>
          <w:tcPr>
            <w:tcW w:w="992" w:type="dxa"/>
            <w:vAlign w:val="center"/>
          </w:tcPr>
          <w:p>
            <w:pPr>
              <w:pStyle w:val="14"/>
              <w:adjustRightInd/>
              <w:spacing w:line="240" w:lineRule="auto"/>
              <w:textAlignment w:val="auto"/>
              <w:rPr>
                <w:rFonts w:hint="eastAsia" w:ascii="宋体"/>
                <w:kern w:val="2"/>
                <w:szCs w:val="21"/>
                <w:highlight w:val="none"/>
              </w:rPr>
            </w:pPr>
            <w:r>
              <w:rPr>
                <w:rFonts w:hint="eastAsia" w:ascii="宋体"/>
                <w:szCs w:val="21"/>
                <w:highlight w:val="none"/>
              </w:rPr>
              <w:t>人员数量（人）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2" w:hRule="atLeast"/>
          <w:jc w:val="center"/>
        </w:trPr>
        <w:tc>
          <w:tcPr>
            <w:tcW w:w="1581" w:type="dxa"/>
            <w:vMerge w:val="restart"/>
            <w:vAlign w:val="center"/>
          </w:tcPr>
          <w:p>
            <w:pPr>
              <w:spacing w:before="100" w:beforeAutospacing="1" w:after="100" w:afterAutospacing="1"/>
              <w:jc w:val="center"/>
              <w:rPr>
                <w:rFonts w:ascii="宋体" w:hAnsi="宋体"/>
                <w:sz w:val="24"/>
                <w:szCs w:val="24"/>
                <w:highlight w:val="none"/>
              </w:rPr>
            </w:pPr>
            <w:r>
              <w:rPr>
                <w:rFonts w:hint="eastAsia" w:ascii="宋体" w:hAnsi="宋体"/>
                <w:b/>
                <w:sz w:val="24"/>
                <w:szCs w:val="24"/>
                <w:highlight w:val="none"/>
              </w:rPr>
              <w:t>土建I类</w:t>
            </w:r>
          </w:p>
        </w:tc>
        <w:tc>
          <w:tcPr>
            <w:tcW w:w="1581" w:type="dxa"/>
            <w:vAlign w:val="center"/>
          </w:tcPr>
          <w:p>
            <w:pPr>
              <w:spacing w:before="100" w:beforeAutospacing="1" w:after="100" w:afterAutospacing="1"/>
              <w:jc w:val="center"/>
              <w:rPr>
                <w:rFonts w:ascii="宋体" w:hAnsi="宋体"/>
                <w:sz w:val="24"/>
                <w:szCs w:val="24"/>
                <w:highlight w:val="none"/>
              </w:rPr>
            </w:pPr>
            <w:r>
              <w:rPr>
                <w:rFonts w:ascii="宋体" w:hAnsi="宋体"/>
                <w:sz w:val="24"/>
                <w:szCs w:val="24"/>
                <w:highlight w:val="none"/>
              </w:rPr>
              <w:t>项目经理</w:t>
            </w:r>
          </w:p>
        </w:tc>
        <w:tc>
          <w:tcPr>
            <w:tcW w:w="1307" w:type="dxa"/>
            <w:vAlign w:val="center"/>
          </w:tcPr>
          <w:p>
            <w:pPr>
              <w:spacing w:before="100" w:beforeAutospacing="1" w:after="100" w:afterAutospacing="1"/>
              <w:jc w:val="center"/>
              <w:rPr>
                <w:rFonts w:ascii="宋体" w:hAnsi="宋体"/>
                <w:sz w:val="24"/>
                <w:szCs w:val="24"/>
                <w:highlight w:val="none"/>
              </w:rPr>
            </w:pPr>
            <w:r>
              <w:rPr>
                <w:rFonts w:ascii="宋体" w:hAnsi="宋体"/>
                <w:sz w:val="24"/>
                <w:szCs w:val="24"/>
                <w:highlight w:val="none"/>
              </w:rPr>
              <w:t>中级职称</w:t>
            </w:r>
          </w:p>
        </w:tc>
        <w:tc>
          <w:tcPr>
            <w:tcW w:w="2117" w:type="dxa"/>
            <w:vAlign w:val="top"/>
          </w:tcPr>
          <w:p>
            <w:pPr>
              <w:spacing w:before="100" w:beforeAutospacing="1" w:after="100" w:afterAutospacing="1"/>
              <w:jc w:val="center"/>
              <w:rPr>
                <w:rFonts w:ascii="宋体" w:hAnsi="宋体"/>
                <w:sz w:val="24"/>
                <w:szCs w:val="24"/>
                <w:highlight w:val="none"/>
              </w:rPr>
            </w:pPr>
            <w:r>
              <w:rPr>
                <w:rFonts w:hint="eastAsia" w:ascii="宋体" w:hAnsi="宋体"/>
                <w:sz w:val="24"/>
                <w:szCs w:val="24"/>
                <w:highlight w:val="none"/>
              </w:rPr>
              <w:t>一级注册建造师执业证书（公路工程专业），须注册在投标人处。</w:t>
            </w:r>
          </w:p>
        </w:tc>
        <w:tc>
          <w:tcPr>
            <w:tcW w:w="2268" w:type="dxa"/>
            <w:vAlign w:val="top"/>
          </w:tcPr>
          <w:p>
            <w:pPr>
              <w:spacing w:before="100" w:beforeAutospacing="1" w:after="100" w:afterAutospacing="1"/>
              <w:jc w:val="center"/>
              <w:rPr>
                <w:rFonts w:ascii="宋体" w:hAnsi="宋体"/>
                <w:sz w:val="24"/>
                <w:szCs w:val="24"/>
                <w:highlight w:val="none"/>
              </w:rPr>
            </w:pPr>
            <w:r>
              <w:rPr>
                <w:rFonts w:hint="eastAsia" w:ascii="宋体" w:hAnsi="宋体"/>
                <w:sz w:val="24"/>
                <w:szCs w:val="24"/>
                <w:highlight w:val="none"/>
              </w:rPr>
              <w:t>省级及以上交通主管部门核发的安全生产考核合格证书（编号为B类）</w:t>
            </w:r>
          </w:p>
        </w:tc>
        <w:tc>
          <w:tcPr>
            <w:tcW w:w="992" w:type="dxa"/>
            <w:vAlign w:val="center"/>
          </w:tcPr>
          <w:p>
            <w:pPr>
              <w:spacing w:before="100" w:beforeAutospacing="1" w:after="100" w:afterAutospacing="1"/>
              <w:jc w:val="center"/>
              <w:rPr>
                <w:rFonts w:ascii="宋体" w:hAnsi="宋体"/>
                <w:sz w:val="24"/>
                <w:szCs w:val="24"/>
                <w:highlight w:val="none"/>
              </w:rPr>
            </w:pPr>
            <w:r>
              <w:rPr>
                <w:rFonts w:ascii="宋体" w:hAnsi="宋体"/>
                <w:sz w:val="24"/>
                <w:szCs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2" w:hRule="atLeast"/>
          <w:jc w:val="center"/>
        </w:trPr>
        <w:tc>
          <w:tcPr>
            <w:tcW w:w="1581" w:type="dxa"/>
            <w:vMerge w:val="continue"/>
            <w:vAlign w:val="top"/>
          </w:tcPr>
          <w:p>
            <w:pPr>
              <w:spacing w:before="100" w:beforeAutospacing="1" w:after="100" w:afterAutospacing="1"/>
              <w:jc w:val="center"/>
              <w:rPr>
                <w:rFonts w:hint="eastAsia" w:ascii="宋体" w:hAnsi="宋体"/>
                <w:b/>
                <w:sz w:val="24"/>
                <w:szCs w:val="24"/>
                <w:highlight w:val="none"/>
              </w:rPr>
            </w:pPr>
          </w:p>
        </w:tc>
        <w:tc>
          <w:tcPr>
            <w:tcW w:w="1581" w:type="dxa"/>
            <w:vAlign w:val="center"/>
          </w:tcPr>
          <w:p>
            <w:pPr>
              <w:spacing w:before="100" w:beforeAutospacing="1" w:after="100" w:afterAutospacing="1"/>
              <w:jc w:val="center"/>
              <w:rPr>
                <w:rFonts w:ascii="宋体" w:hAnsi="宋体"/>
                <w:sz w:val="24"/>
                <w:szCs w:val="24"/>
                <w:highlight w:val="none"/>
              </w:rPr>
            </w:pPr>
            <w:r>
              <w:rPr>
                <w:rFonts w:ascii="宋体" w:hAnsi="宋体"/>
                <w:sz w:val="24"/>
                <w:szCs w:val="24"/>
                <w:highlight w:val="none"/>
              </w:rPr>
              <w:t>项目经理</w:t>
            </w:r>
            <w:r>
              <w:rPr>
                <w:rFonts w:hint="eastAsia" w:ascii="宋体" w:hAnsi="宋体"/>
                <w:sz w:val="24"/>
                <w:szCs w:val="24"/>
                <w:highlight w:val="none"/>
              </w:rPr>
              <w:t>（备选）</w:t>
            </w:r>
          </w:p>
        </w:tc>
        <w:tc>
          <w:tcPr>
            <w:tcW w:w="1307" w:type="dxa"/>
            <w:vAlign w:val="center"/>
          </w:tcPr>
          <w:p>
            <w:pPr>
              <w:spacing w:before="100" w:beforeAutospacing="1" w:after="100" w:afterAutospacing="1"/>
              <w:jc w:val="center"/>
              <w:rPr>
                <w:rFonts w:ascii="宋体" w:hAnsi="宋体"/>
                <w:sz w:val="24"/>
                <w:szCs w:val="24"/>
                <w:highlight w:val="none"/>
              </w:rPr>
            </w:pPr>
            <w:r>
              <w:rPr>
                <w:rFonts w:ascii="宋体" w:hAnsi="宋体"/>
                <w:sz w:val="24"/>
                <w:szCs w:val="24"/>
                <w:highlight w:val="none"/>
              </w:rPr>
              <w:t>中级职称</w:t>
            </w:r>
          </w:p>
        </w:tc>
        <w:tc>
          <w:tcPr>
            <w:tcW w:w="2117" w:type="dxa"/>
            <w:vAlign w:val="top"/>
          </w:tcPr>
          <w:p>
            <w:pPr>
              <w:spacing w:before="100" w:beforeAutospacing="1" w:after="100" w:afterAutospacing="1"/>
              <w:jc w:val="center"/>
              <w:rPr>
                <w:rFonts w:ascii="宋体" w:hAnsi="宋体"/>
                <w:sz w:val="24"/>
                <w:szCs w:val="24"/>
                <w:highlight w:val="none"/>
              </w:rPr>
            </w:pPr>
            <w:r>
              <w:rPr>
                <w:rFonts w:hint="eastAsia" w:ascii="宋体" w:hAnsi="宋体"/>
                <w:sz w:val="24"/>
                <w:szCs w:val="24"/>
                <w:highlight w:val="none"/>
              </w:rPr>
              <w:t>一级注册建造师执业证书（公路工程专业），须注册在投标人处。</w:t>
            </w:r>
          </w:p>
        </w:tc>
        <w:tc>
          <w:tcPr>
            <w:tcW w:w="2268" w:type="dxa"/>
            <w:vAlign w:val="top"/>
          </w:tcPr>
          <w:p>
            <w:pPr>
              <w:spacing w:before="100" w:beforeAutospacing="1" w:after="100" w:afterAutospacing="1"/>
              <w:jc w:val="center"/>
              <w:rPr>
                <w:rFonts w:ascii="宋体" w:hAnsi="宋体"/>
                <w:sz w:val="24"/>
                <w:szCs w:val="24"/>
                <w:highlight w:val="none"/>
              </w:rPr>
            </w:pPr>
            <w:r>
              <w:rPr>
                <w:rFonts w:hint="eastAsia" w:ascii="宋体" w:hAnsi="宋体"/>
                <w:sz w:val="24"/>
                <w:szCs w:val="24"/>
                <w:highlight w:val="none"/>
              </w:rPr>
              <w:t>省级及以上交通主管部门核发的安全生产考核合格证书（编号为B类）</w:t>
            </w:r>
          </w:p>
        </w:tc>
        <w:tc>
          <w:tcPr>
            <w:tcW w:w="992" w:type="dxa"/>
            <w:vAlign w:val="center"/>
          </w:tcPr>
          <w:p>
            <w:pPr>
              <w:spacing w:before="100" w:beforeAutospacing="1" w:after="100" w:afterAutospacing="1"/>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2" w:hRule="atLeast"/>
          <w:jc w:val="center"/>
        </w:trPr>
        <w:tc>
          <w:tcPr>
            <w:tcW w:w="1581" w:type="dxa"/>
            <w:vMerge w:val="continue"/>
            <w:vAlign w:val="top"/>
          </w:tcPr>
          <w:p>
            <w:pPr>
              <w:spacing w:before="100" w:beforeAutospacing="1" w:after="100" w:afterAutospacing="1"/>
              <w:jc w:val="center"/>
              <w:rPr>
                <w:rFonts w:hint="eastAsia" w:ascii="宋体" w:hAnsi="宋体"/>
                <w:b/>
                <w:sz w:val="24"/>
                <w:szCs w:val="24"/>
                <w:highlight w:val="none"/>
              </w:rPr>
            </w:pPr>
          </w:p>
        </w:tc>
        <w:tc>
          <w:tcPr>
            <w:tcW w:w="1581" w:type="dxa"/>
            <w:vAlign w:val="center"/>
          </w:tcPr>
          <w:p>
            <w:pPr>
              <w:jc w:val="center"/>
              <w:rPr>
                <w:rFonts w:ascii="宋体" w:hAnsi="宋体"/>
                <w:sz w:val="24"/>
                <w:szCs w:val="24"/>
                <w:highlight w:val="none"/>
              </w:rPr>
            </w:pPr>
            <w:r>
              <w:rPr>
                <w:rFonts w:ascii="宋体" w:hAnsi="宋体"/>
                <w:sz w:val="24"/>
                <w:szCs w:val="24"/>
                <w:highlight w:val="none"/>
              </w:rPr>
              <w:t>总工程师</w:t>
            </w:r>
          </w:p>
        </w:tc>
        <w:tc>
          <w:tcPr>
            <w:tcW w:w="1307" w:type="dxa"/>
            <w:vAlign w:val="center"/>
          </w:tcPr>
          <w:p>
            <w:pPr>
              <w:jc w:val="center"/>
              <w:rPr>
                <w:rFonts w:hint="eastAsia" w:ascii="宋体" w:hAnsi="宋体"/>
                <w:sz w:val="24"/>
                <w:szCs w:val="24"/>
                <w:highlight w:val="none"/>
              </w:rPr>
            </w:pPr>
            <w:r>
              <w:rPr>
                <w:rFonts w:ascii="宋体" w:hAnsi="宋体"/>
                <w:sz w:val="24"/>
                <w:szCs w:val="24"/>
                <w:highlight w:val="none"/>
              </w:rPr>
              <w:t>高级工程师</w:t>
            </w:r>
            <w:r>
              <w:rPr>
                <w:rFonts w:hint="eastAsia" w:ascii="宋体" w:hAnsi="宋体"/>
                <w:sz w:val="24"/>
                <w:szCs w:val="24"/>
                <w:highlight w:val="none"/>
              </w:rPr>
              <w:t>（公路工程相关专业）</w:t>
            </w:r>
            <w:r>
              <w:rPr>
                <w:rStyle w:val="10"/>
                <w:rFonts w:ascii="宋体" w:hAnsi="宋体"/>
                <w:sz w:val="24"/>
                <w:szCs w:val="24"/>
                <w:highlight w:val="none"/>
              </w:rPr>
              <w:footnoteReference w:id="2"/>
            </w:r>
          </w:p>
        </w:tc>
        <w:tc>
          <w:tcPr>
            <w:tcW w:w="2117" w:type="dxa"/>
            <w:vAlign w:val="top"/>
          </w:tcPr>
          <w:p>
            <w:pPr>
              <w:spacing w:before="100" w:beforeAutospacing="1" w:after="100" w:afterAutospacing="1"/>
              <w:jc w:val="center"/>
              <w:rPr>
                <w:rFonts w:ascii="宋体" w:hAnsi="宋体"/>
                <w:sz w:val="24"/>
                <w:szCs w:val="24"/>
                <w:highlight w:val="none"/>
              </w:rPr>
            </w:pPr>
            <w:r>
              <w:rPr>
                <w:rFonts w:hint="eastAsia" w:ascii="宋体" w:hAnsi="宋体"/>
                <w:sz w:val="24"/>
                <w:szCs w:val="24"/>
                <w:highlight w:val="none"/>
              </w:rPr>
              <w:t>／</w:t>
            </w:r>
          </w:p>
        </w:tc>
        <w:tc>
          <w:tcPr>
            <w:tcW w:w="2268" w:type="dxa"/>
            <w:vAlign w:val="top"/>
          </w:tcPr>
          <w:p>
            <w:pPr>
              <w:spacing w:before="100" w:beforeAutospacing="1" w:after="100" w:afterAutospacing="1"/>
              <w:jc w:val="center"/>
              <w:rPr>
                <w:rFonts w:ascii="宋体" w:hAnsi="宋体"/>
                <w:sz w:val="24"/>
                <w:szCs w:val="24"/>
                <w:highlight w:val="none"/>
              </w:rPr>
            </w:pPr>
            <w:r>
              <w:rPr>
                <w:rFonts w:hint="eastAsia" w:ascii="宋体" w:hAnsi="宋体"/>
                <w:sz w:val="24"/>
                <w:szCs w:val="24"/>
                <w:highlight w:val="none"/>
              </w:rPr>
              <w:t>省级及以上交通主管部门核发的安全生产考核合格证书（编号为B类）</w:t>
            </w:r>
          </w:p>
        </w:tc>
        <w:tc>
          <w:tcPr>
            <w:tcW w:w="992" w:type="dxa"/>
            <w:vAlign w:val="center"/>
          </w:tcPr>
          <w:p>
            <w:pPr>
              <w:spacing w:before="100" w:beforeAutospacing="1" w:after="100" w:afterAutospacing="1"/>
              <w:jc w:val="center"/>
              <w:rPr>
                <w:rFonts w:ascii="宋体" w:hAnsi="宋体"/>
                <w:sz w:val="24"/>
                <w:szCs w:val="24"/>
                <w:highlight w:val="none"/>
              </w:rPr>
            </w:pPr>
            <w:r>
              <w:rPr>
                <w:rFonts w:ascii="宋体" w:hAnsi="宋体"/>
                <w:sz w:val="24"/>
                <w:szCs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02" w:hRule="atLeast"/>
          <w:jc w:val="center"/>
        </w:trPr>
        <w:tc>
          <w:tcPr>
            <w:tcW w:w="1581" w:type="dxa"/>
            <w:vMerge w:val="continue"/>
            <w:vAlign w:val="top"/>
          </w:tcPr>
          <w:p>
            <w:pPr>
              <w:spacing w:before="100" w:beforeAutospacing="1" w:after="100" w:afterAutospacing="1"/>
              <w:jc w:val="center"/>
              <w:rPr>
                <w:rFonts w:hint="eastAsia" w:ascii="宋体" w:hAnsi="宋体"/>
                <w:b/>
                <w:sz w:val="24"/>
                <w:szCs w:val="24"/>
                <w:highlight w:val="none"/>
              </w:rPr>
            </w:pPr>
          </w:p>
        </w:tc>
        <w:tc>
          <w:tcPr>
            <w:tcW w:w="1581" w:type="dxa"/>
            <w:vAlign w:val="center"/>
          </w:tcPr>
          <w:p>
            <w:pPr>
              <w:jc w:val="center"/>
              <w:rPr>
                <w:rFonts w:ascii="宋体" w:hAnsi="宋体"/>
                <w:sz w:val="24"/>
                <w:szCs w:val="24"/>
                <w:highlight w:val="none"/>
              </w:rPr>
            </w:pPr>
            <w:r>
              <w:rPr>
                <w:rFonts w:hint="eastAsia" w:ascii="宋体" w:hAnsi="宋体"/>
                <w:sz w:val="24"/>
                <w:szCs w:val="24"/>
                <w:highlight w:val="none"/>
              </w:rPr>
              <w:t>总工程师（备选）</w:t>
            </w:r>
          </w:p>
        </w:tc>
        <w:tc>
          <w:tcPr>
            <w:tcW w:w="1307" w:type="dxa"/>
            <w:vAlign w:val="center"/>
          </w:tcPr>
          <w:p>
            <w:pPr>
              <w:jc w:val="center"/>
              <w:rPr>
                <w:rFonts w:hint="eastAsia" w:ascii="宋体" w:hAnsi="宋体"/>
                <w:sz w:val="24"/>
                <w:szCs w:val="24"/>
                <w:highlight w:val="none"/>
              </w:rPr>
            </w:pPr>
            <w:r>
              <w:rPr>
                <w:rFonts w:ascii="宋体" w:hAnsi="宋体"/>
                <w:sz w:val="24"/>
                <w:szCs w:val="24"/>
                <w:highlight w:val="none"/>
              </w:rPr>
              <w:t>高级工程师</w:t>
            </w:r>
            <w:r>
              <w:rPr>
                <w:rFonts w:hint="eastAsia" w:ascii="宋体" w:hAnsi="宋体"/>
                <w:sz w:val="24"/>
                <w:szCs w:val="24"/>
                <w:highlight w:val="none"/>
              </w:rPr>
              <w:t>（公路工程相关专业）</w:t>
            </w:r>
          </w:p>
        </w:tc>
        <w:tc>
          <w:tcPr>
            <w:tcW w:w="2117" w:type="dxa"/>
            <w:vAlign w:val="top"/>
          </w:tcPr>
          <w:p>
            <w:pPr>
              <w:spacing w:before="100" w:beforeAutospacing="1" w:after="100" w:afterAutospacing="1"/>
              <w:jc w:val="center"/>
              <w:rPr>
                <w:rFonts w:ascii="宋体" w:hAnsi="宋体"/>
                <w:sz w:val="24"/>
                <w:szCs w:val="24"/>
                <w:highlight w:val="none"/>
              </w:rPr>
            </w:pPr>
            <w:r>
              <w:rPr>
                <w:rFonts w:hint="eastAsia" w:ascii="宋体" w:hAnsi="宋体"/>
                <w:sz w:val="24"/>
                <w:szCs w:val="24"/>
                <w:highlight w:val="none"/>
              </w:rPr>
              <w:t>／</w:t>
            </w:r>
          </w:p>
        </w:tc>
        <w:tc>
          <w:tcPr>
            <w:tcW w:w="2268" w:type="dxa"/>
            <w:vAlign w:val="top"/>
          </w:tcPr>
          <w:p>
            <w:pPr>
              <w:spacing w:before="100" w:beforeAutospacing="1" w:after="100" w:afterAutospacing="1"/>
              <w:jc w:val="center"/>
              <w:rPr>
                <w:rFonts w:ascii="宋体" w:hAnsi="宋体"/>
                <w:sz w:val="24"/>
                <w:szCs w:val="24"/>
                <w:highlight w:val="none"/>
              </w:rPr>
            </w:pPr>
            <w:r>
              <w:rPr>
                <w:rFonts w:hint="eastAsia" w:ascii="宋体" w:hAnsi="宋体"/>
                <w:sz w:val="24"/>
                <w:szCs w:val="24"/>
                <w:highlight w:val="none"/>
              </w:rPr>
              <w:t>省级及以上交通主管部门核发的安全生产考核合格证书（编号为B类）</w:t>
            </w:r>
          </w:p>
        </w:tc>
        <w:tc>
          <w:tcPr>
            <w:tcW w:w="992" w:type="dxa"/>
            <w:vAlign w:val="center"/>
          </w:tcPr>
          <w:p>
            <w:pPr>
              <w:spacing w:before="100" w:beforeAutospacing="1" w:after="100" w:afterAutospacing="1"/>
              <w:jc w:val="center"/>
              <w:rPr>
                <w:rFonts w:ascii="宋体" w:hAnsi="宋体"/>
                <w:sz w:val="24"/>
                <w:szCs w:val="24"/>
                <w:highlight w:val="none"/>
              </w:rPr>
            </w:pPr>
          </w:p>
        </w:tc>
      </w:tr>
    </w:tbl>
    <w:p>
      <w:pPr>
        <w:spacing w:after="120" w:afterLines="50"/>
        <w:jc w:val="center"/>
        <w:rPr>
          <w:rStyle w:val="13"/>
          <w:rFonts w:hint="eastAsia" w:ascii="宋体" w:hAnsi="宋体"/>
          <w:bCs/>
          <w:spacing w:val="20"/>
          <w:sz w:val="24"/>
          <w:szCs w:val="24"/>
          <w:highlight w:val="none"/>
        </w:rPr>
      </w:pPr>
    </w:p>
    <w:p>
      <w:pPr>
        <w:spacing w:line="280" w:lineRule="exact"/>
        <w:rPr>
          <w:rFonts w:hint="eastAsia" w:ascii="黑体" w:hAnsi="宋体" w:eastAsia="黑体"/>
          <w:b/>
          <w:sz w:val="24"/>
          <w:szCs w:val="24"/>
          <w:highlight w:val="none"/>
        </w:rPr>
      </w:pPr>
      <w:r>
        <w:rPr>
          <w:rFonts w:hint="eastAsia" w:ascii="黑体" w:hAnsi="宋体" w:eastAsia="黑体"/>
          <w:b/>
          <w:sz w:val="24"/>
          <w:szCs w:val="24"/>
          <w:highlight w:val="none"/>
        </w:rPr>
        <w:t>注：</w:t>
      </w:r>
    </w:p>
    <w:p>
      <w:pPr>
        <w:spacing w:line="280" w:lineRule="exact"/>
        <w:rPr>
          <w:rFonts w:hint="eastAsia" w:ascii="黑体" w:hAnsi="宋体" w:eastAsia="黑体"/>
          <w:b/>
          <w:sz w:val="24"/>
          <w:szCs w:val="24"/>
          <w:highlight w:val="none"/>
        </w:rPr>
      </w:pPr>
      <w:r>
        <w:rPr>
          <w:rFonts w:hint="eastAsia" w:ascii="黑体" w:hAnsi="宋体" w:eastAsia="黑体"/>
          <w:b/>
          <w:sz w:val="24"/>
          <w:szCs w:val="24"/>
          <w:highlight w:val="none"/>
        </w:rPr>
        <w:t>1、投标人必须提供《拟委任的项目经理和项目总工资历表》，表后应附身份证、职称资格证书以及上表要求的其他相关证书（如建造师注册证书、安全生产考核合格证书等）的彩色扫描件。以上人员均不得处于暂停执业处罚期内，且未被取消资格。在投标文件正本中，所有证件均应采用清晰彩色影印件。</w:t>
      </w:r>
    </w:p>
    <w:p>
      <w:pPr>
        <w:spacing w:line="280" w:lineRule="exact"/>
        <w:rPr>
          <w:rFonts w:hint="eastAsia" w:ascii="黑体" w:hAnsi="宋体" w:eastAsia="黑体"/>
          <w:b/>
          <w:sz w:val="24"/>
          <w:szCs w:val="24"/>
          <w:highlight w:val="none"/>
        </w:rPr>
      </w:pPr>
      <w:r>
        <w:rPr>
          <w:rFonts w:hint="eastAsia" w:ascii="黑体" w:hAnsi="宋体" w:eastAsia="黑体"/>
          <w:b/>
          <w:sz w:val="24"/>
          <w:szCs w:val="24"/>
          <w:highlight w:val="none"/>
        </w:rPr>
        <w:t>2、未在投标文件中填报的人员不作为评审依据。</w:t>
      </w:r>
    </w:p>
    <w:p>
      <w:pPr>
        <w:rPr>
          <w:rFonts w:hint="eastAsia" w:ascii="黑体" w:hAnsi="宋体" w:eastAsia="黑体"/>
          <w:b/>
          <w:sz w:val="24"/>
          <w:szCs w:val="24"/>
          <w:highlight w:val="none"/>
        </w:rPr>
      </w:pPr>
      <w:r>
        <w:rPr>
          <w:rFonts w:hint="eastAsia" w:ascii="黑体" w:hAnsi="宋体" w:eastAsia="黑体"/>
          <w:b/>
          <w:sz w:val="24"/>
          <w:szCs w:val="24"/>
          <w:highlight w:val="none"/>
        </w:rPr>
        <w:t>3、</w:t>
      </w:r>
      <w:bookmarkEnd w:id="6"/>
      <w:r>
        <w:rPr>
          <w:rFonts w:hint="eastAsia" w:ascii="黑体" w:hAnsi="宋体" w:eastAsia="黑体"/>
          <w:b/>
          <w:sz w:val="24"/>
          <w:szCs w:val="24"/>
          <w:highlight w:val="none"/>
        </w:rPr>
        <w:t>若投标人可投2个标段，则必须提供备选人员，且人员不得重复。</w:t>
      </w:r>
    </w:p>
    <w:p>
      <w:pPr>
        <w:spacing w:line="320" w:lineRule="atLeast"/>
        <w:rPr>
          <w:rFonts w:hint="eastAsia" w:ascii="黑体" w:hAnsi="黑体" w:eastAsia="黑体"/>
          <w:b/>
          <w:iCs/>
          <w:sz w:val="24"/>
          <w:szCs w:val="24"/>
          <w:highlight w:val="none"/>
        </w:rPr>
      </w:pPr>
      <w:r>
        <w:rPr>
          <w:rFonts w:hint="eastAsia" w:ascii="黑体" w:hAnsi="黑体" w:eastAsia="黑体"/>
          <w:b/>
          <w:sz w:val="24"/>
          <w:highlight w:val="none"/>
        </w:rPr>
        <w:t>4、评标委员会在评审时将通过查询湖南省公路水路建设与运输市场信用信息服务网站（http://218.76.40.80:9000/hnxyfw），对投标人的主要人员资历和目前在岗情况等信息进行核实确认，具体有关要求详见交通运输部令2015年第24号</w:t>
      </w:r>
      <w:r>
        <w:rPr>
          <w:rFonts w:hint="eastAsia" w:ascii="黑体" w:hAnsi="黑体" w:eastAsia="黑体"/>
          <w:b/>
          <w:iCs/>
          <w:sz w:val="24"/>
          <w:szCs w:val="24"/>
          <w:highlight w:val="none"/>
        </w:rPr>
        <w:t>。</w:t>
      </w:r>
    </w:p>
    <w:p>
      <w:pPr>
        <w:rPr>
          <w:rFonts w:ascii="黑体" w:hAnsi="黑体" w:eastAsia="黑体"/>
          <w:b/>
          <w:sz w:val="24"/>
          <w:highlight w:val="none"/>
        </w:rPr>
      </w:pPr>
      <w:r>
        <w:rPr>
          <w:rFonts w:hint="eastAsia" w:ascii="黑体" w:hAnsi="黑体" w:eastAsia="黑体"/>
          <w:b/>
          <w:sz w:val="24"/>
          <w:highlight w:val="none"/>
        </w:rPr>
        <w:t>6、评标委员会在评审时将通过查询交通运输部公路水运工程施工企业主要负责人和安全生产管理人员信息公共平台对投标人的项目经理和项目总工的安全生产考核合格证书进行核查，具体有关要求详见交安监发[2016]65号。</w:t>
      </w:r>
    </w:p>
    <w:p>
      <w:pPr>
        <w:pStyle w:val="12"/>
        <w:spacing w:line="560" w:lineRule="exact"/>
        <w:rPr>
          <w:rFonts w:ascii="黑体" w:eastAsia="黑体"/>
          <w:color w:val="auto"/>
          <w:sz w:val="36"/>
          <w:szCs w:val="36"/>
          <w:highlight w:val="none"/>
        </w:rPr>
      </w:pPr>
      <w:r>
        <w:rPr>
          <w:rFonts w:hAnsi="宋体"/>
          <w:color w:val="auto"/>
          <w:highlight w:val="none"/>
        </w:rPr>
        <w:br w:type="page"/>
      </w:r>
      <w:r>
        <w:rPr>
          <w:rFonts w:hint="eastAsia" w:ascii="黑体" w:eastAsia="黑体"/>
          <w:color w:val="auto"/>
          <w:sz w:val="36"/>
          <w:szCs w:val="36"/>
          <w:highlight w:val="none"/>
        </w:rPr>
        <w:t>附件2  评标办法</w:t>
      </w:r>
    </w:p>
    <w:p>
      <w:pPr>
        <w:ind w:left="720"/>
        <w:jc w:val="center"/>
        <w:rPr>
          <w:rFonts w:hint="eastAsia" w:ascii="宋体" w:hAnsi="宋体"/>
          <w:b/>
          <w:sz w:val="36"/>
          <w:szCs w:val="36"/>
          <w:highlight w:val="none"/>
        </w:rPr>
      </w:pPr>
      <w:r>
        <w:rPr>
          <w:rFonts w:hint="eastAsia" w:ascii="宋体" w:hAnsi="宋体"/>
          <w:b/>
          <w:sz w:val="36"/>
          <w:szCs w:val="36"/>
          <w:highlight w:val="none"/>
        </w:rPr>
        <w:t>分类资审随机分配合理低价法</w:t>
      </w:r>
      <w:r>
        <w:rPr>
          <w:rStyle w:val="10"/>
          <w:rFonts w:ascii="宋体" w:hAnsi="宋体"/>
          <w:b/>
          <w:sz w:val="36"/>
          <w:szCs w:val="36"/>
          <w:highlight w:val="none"/>
        </w:rPr>
        <w:footnoteReference w:id="3"/>
      </w:r>
    </w:p>
    <w:p>
      <w:pPr>
        <w:pStyle w:val="2"/>
        <w:spacing w:before="120" w:beforeLines="50" w:after="0" w:line="400" w:lineRule="exact"/>
        <w:jc w:val="both"/>
        <w:rPr>
          <w:rFonts w:ascii="宋体" w:hAnsi="宋体" w:eastAsia="宋体"/>
          <w:bCs w:val="0"/>
          <w:kern w:val="2"/>
          <w:sz w:val="24"/>
          <w:szCs w:val="20"/>
          <w:highlight w:val="none"/>
        </w:rPr>
      </w:pPr>
      <w:r>
        <w:rPr>
          <w:rFonts w:ascii="宋体" w:hAnsi="宋体" w:eastAsia="宋体"/>
          <w:bCs w:val="0"/>
          <w:kern w:val="2"/>
          <w:sz w:val="24"/>
          <w:szCs w:val="20"/>
          <w:highlight w:val="none"/>
        </w:rPr>
        <w:t>1. 评标方法</w:t>
      </w:r>
    </w:p>
    <w:p>
      <w:pPr>
        <w:pStyle w:val="2"/>
        <w:spacing w:before="120" w:beforeLines="50" w:after="0" w:line="400" w:lineRule="exact"/>
        <w:jc w:val="both"/>
        <w:rPr>
          <w:rFonts w:hint="eastAsia" w:ascii="黑体" w:hAnsi="宋体"/>
          <w:b/>
          <w:sz w:val="24"/>
          <w:szCs w:val="24"/>
          <w:highlight w:val="none"/>
        </w:rPr>
      </w:pPr>
      <w:r>
        <w:rPr>
          <w:rFonts w:hint="eastAsia" w:ascii="黑体" w:hAnsi="宋体"/>
          <w:b/>
          <w:sz w:val="24"/>
          <w:szCs w:val="24"/>
          <w:highlight w:val="none"/>
        </w:rPr>
        <w:t>本次评标采用合理低价法。评标委员会对满足招标文件实质性要求的投标文件，按照本章第2.2款规定的评分标准进行打分，并按评标价得分和信用评价得分综合得分由高到低顺序依次推荐前3名投标人为中标候选人。当综合得分相同时，以投标报价较低者优先；当综合得分和投标报价相同时，以被湖南省交通运输厅评为最近1年信用等级较高者优先；当综合得分、投标报价和最近1年信用等级都相同时，随机摇号确定排序。</w:t>
      </w:r>
    </w:p>
    <w:p>
      <w:pPr>
        <w:pStyle w:val="2"/>
        <w:spacing w:before="120" w:beforeLines="50" w:after="0" w:line="400" w:lineRule="exact"/>
        <w:jc w:val="left"/>
        <w:rPr>
          <w:rFonts w:ascii="宋体" w:hAnsi="宋体" w:eastAsia="宋体"/>
          <w:bCs w:val="0"/>
          <w:kern w:val="2"/>
          <w:sz w:val="24"/>
          <w:szCs w:val="20"/>
          <w:highlight w:val="none"/>
        </w:rPr>
      </w:pPr>
      <w:r>
        <w:rPr>
          <w:rFonts w:ascii="宋体" w:hAnsi="宋体" w:eastAsia="宋体"/>
          <w:bCs w:val="0"/>
          <w:kern w:val="2"/>
          <w:sz w:val="24"/>
          <w:szCs w:val="20"/>
          <w:highlight w:val="none"/>
        </w:rPr>
        <w:t>2. 评审标准</w:t>
      </w:r>
    </w:p>
    <w:p>
      <w:pPr>
        <w:pStyle w:val="2"/>
        <w:spacing w:before="0" w:after="0" w:line="400" w:lineRule="exact"/>
        <w:jc w:val="left"/>
        <w:rPr>
          <w:rFonts w:ascii="宋体" w:hAnsi="宋体" w:eastAsia="宋体"/>
          <w:bCs w:val="0"/>
          <w:kern w:val="2"/>
          <w:sz w:val="24"/>
          <w:szCs w:val="20"/>
          <w:highlight w:val="none"/>
        </w:rPr>
      </w:pPr>
      <w:r>
        <w:rPr>
          <w:rFonts w:ascii="宋体" w:hAnsi="宋体" w:eastAsia="宋体"/>
          <w:bCs w:val="0"/>
          <w:kern w:val="2"/>
          <w:sz w:val="24"/>
          <w:szCs w:val="20"/>
          <w:highlight w:val="none"/>
        </w:rPr>
        <w:t>2.1 初步评审标准</w:t>
      </w:r>
    </w:p>
    <w:p>
      <w:pPr>
        <w:spacing w:line="400" w:lineRule="exact"/>
        <w:ind w:firstLine="480" w:firstLineChars="200"/>
        <w:rPr>
          <w:rFonts w:hint="eastAsia" w:ascii="宋体" w:hAnsi="宋体"/>
          <w:sz w:val="24"/>
          <w:highlight w:val="none"/>
        </w:rPr>
      </w:pPr>
      <w:r>
        <w:rPr>
          <w:rFonts w:ascii="宋体" w:hAnsi="宋体"/>
          <w:sz w:val="24"/>
          <w:highlight w:val="none"/>
        </w:rPr>
        <w:t>2.1.1 形式评审标准：</w:t>
      </w:r>
    </w:p>
    <w:p>
      <w:pPr>
        <w:spacing w:line="400" w:lineRule="exact"/>
        <w:ind w:firstLine="482" w:firstLineChars="200"/>
        <w:rPr>
          <w:rFonts w:hint="eastAsia" w:ascii="宋体" w:hAnsi="宋体"/>
          <w:b/>
          <w:sz w:val="24"/>
          <w:highlight w:val="none"/>
        </w:rPr>
      </w:pPr>
      <w:r>
        <w:rPr>
          <w:rFonts w:hint="eastAsia" w:ascii="宋体" w:hAnsi="宋体"/>
          <w:b/>
          <w:sz w:val="24"/>
          <w:highlight w:val="none"/>
        </w:rPr>
        <w:t>1、投标文件第一个信封(商务及技术文件)</w:t>
      </w:r>
    </w:p>
    <w:p>
      <w:pPr>
        <w:numPr>
          <w:ilvl w:val="0"/>
          <w:numId w:val="1"/>
        </w:numPr>
        <w:tabs>
          <w:tab w:val="left" w:pos="180"/>
        </w:tabs>
        <w:spacing w:line="380" w:lineRule="exact"/>
        <w:ind w:left="-2" w:leftChars="-1" w:firstLine="0"/>
        <w:rPr>
          <w:rFonts w:hint="eastAsia" w:ascii="黑体" w:eastAsia="黑体"/>
          <w:b/>
          <w:sz w:val="24"/>
          <w:szCs w:val="24"/>
          <w:highlight w:val="none"/>
        </w:rPr>
      </w:pPr>
      <w:r>
        <w:rPr>
          <w:rFonts w:hint="eastAsia" w:ascii="黑体" w:eastAsia="黑体"/>
          <w:b/>
          <w:sz w:val="24"/>
          <w:szCs w:val="24"/>
          <w:highlight w:val="none"/>
        </w:rPr>
        <w:t>开标形式性评审</w:t>
      </w:r>
    </w:p>
    <w:p>
      <w:pPr>
        <w:spacing w:line="380" w:lineRule="exact"/>
        <w:ind w:firstLine="354" w:firstLineChars="147"/>
        <w:rPr>
          <w:rFonts w:hint="eastAsia" w:ascii="黑体" w:eastAsia="黑体"/>
          <w:b/>
          <w:sz w:val="24"/>
          <w:szCs w:val="24"/>
          <w:highlight w:val="none"/>
        </w:rPr>
      </w:pPr>
      <w:r>
        <w:rPr>
          <w:rFonts w:hint="eastAsia" w:ascii="黑体" w:eastAsia="黑体"/>
          <w:b/>
          <w:sz w:val="24"/>
          <w:szCs w:val="24"/>
          <w:highlight w:val="none"/>
        </w:rPr>
        <w:t>a.投标函按照招标文件规定签署或加盖单位章；</w:t>
      </w:r>
    </w:p>
    <w:p>
      <w:pPr>
        <w:spacing w:line="380" w:lineRule="exact"/>
        <w:ind w:firstLine="354" w:firstLineChars="147"/>
        <w:rPr>
          <w:rFonts w:hint="eastAsia" w:ascii="黑体" w:eastAsia="黑体"/>
          <w:b/>
          <w:sz w:val="24"/>
          <w:szCs w:val="24"/>
          <w:highlight w:val="none"/>
        </w:rPr>
      </w:pPr>
      <w:r>
        <w:rPr>
          <w:rFonts w:hint="eastAsia" w:ascii="黑体" w:eastAsia="黑体"/>
          <w:b/>
          <w:sz w:val="24"/>
          <w:szCs w:val="24"/>
          <w:highlight w:val="none"/>
        </w:rPr>
        <w:t>b.开标后投标人投标函所列工程类别与开标工程类别一致；</w:t>
      </w:r>
    </w:p>
    <w:p>
      <w:pPr>
        <w:pStyle w:val="4"/>
        <w:spacing w:line="360" w:lineRule="exact"/>
        <w:ind w:firstLine="361" w:firstLineChars="150"/>
        <w:rPr>
          <w:rFonts w:hint="eastAsia" w:ascii="黑体" w:hAnsi="Times New Roman" w:eastAsia="黑体" w:cs="Times New Roman"/>
          <w:b/>
          <w:sz w:val="24"/>
          <w:szCs w:val="24"/>
          <w:highlight w:val="none"/>
        </w:rPr>
      </w:pPr>
      <w:r>
        <w:rPr>
          <w:rFonts w:ascii="黑体" w:hAnsi="Times New Roman" w:eastAsia="黑体" w:cs="Times New Roman"/>
          <w:b/>
          <w:sz w:val="24"/>
          <w:szCs w:val="24"/>
          <w:highlight w:val="none"/>
        </w:rPr>
        <w:t>c.</w:t>
      </w:r>
      <w:r>
        <w:rPr>
          <w:rFonts w:hint="eastAsia" w:ascii="黑体" w:hAnsi="Times New Roman" w:eastAsia="黑体" w:cs="Times New Roman"/>
          <w:b/>
          <w:sz w:val="24"/>
          <w:szCs w:val="24"/>
          <w:highlight w:val="none"/>
        </w:rPr>
        <w:t xml:space="preserve"> </w:t>
      </w:r>
      <w:r>
        <w:rPr>
          <w:rFonts w:hint="eastAsia" w:ascii="黑体" w:eastAsia="黑体"/>
          <w:b/>
          <w:sz w:val="24"/>
          <w:szCs w:val="24"/>
          <w:highlight w:val="none"/>
        </w:rPr>
        <w:t>投标人在规定的时间内解密投标文件第一信封（商务和技术文件）；</w:t>
      </w:r>
    </w:p>
    <w:p>
      <w:pPr>
        <w:spacing w:line="380" w:lineRule="exact"/>
        <w:ind w:firstLine="354" w:firstLineChars="147"/>
        <w:rPr>
          <w:rFonts w:hint="eastAsia" w:ascii="黑体" w:eastAsia="黑体"/>
          <w:b/>
          <w:sz w:val="24"/>
          <w:szCs w:val="24"/>
          <w:highlight w:val="none"/>
        </w:rPr>
      </w:pPr>
      <w:r>
        <w:rPr>
          <w:rFonts w:ascii="黑体" w:eastAsia="黑体"/>
          <w:b/>
          <w:sz w:val="24"/>
          <w:szCs w:val="24"/>
          <w:highlight w:val="none"/>
        </w:rPr>
        <w:t>d.</w:t>
      </w:r>
      <w:r>
        <w:rPr>
          <w:rFonts w:hint="eastAsia" w:ascii="黑体" w:eastAsia="黑体"/>
          <w:b/>
          <w:sz w:val="24"/>
          <w:szCs w:val="24"/>
          <w:highlight w:val="none"/>
        </w:rPr>
        <w:t xml:space="preserve"> </w:t>
      </w:r>
      <w:r>
        <w:rPr>
          <w:rFonts w:hint="eastAsia" w:ascii="黑体" w:hAnsi="宋体" w:eastAsia="黑体"/>
          <w:b/>
          <w:sz w:val="24"/>
          <w:szCs w:val="24"/>
          <w:highlight w:val="none"/>
        </w:rPr>
        <w:t>不同投标人的投标文件编制识别码不一致</w:t>
      </w:r>
      <w:r>
        <w:rPr>
          <w:rFonts w:ascii="黑体" w:hAnsi="宋体" w:eastAsia="黑体"/>
          <w:b/>
          <w:sz w:val="24"/>
          <w:szCs w:val="24"/>
          <w:highlight w:val="none"/>
        </w:rPr>
        <w:t>(</w:t>
      </w:r>
      <w:r>
        <w:rPr>
          <w:rFonts w:hint="eastAsia" w:ascii="黑体" w:hAnsi="宋体" w:eastAsia="黑体"/>
          <w:b/>
          <w:sz w:val="24"/>
          <w:szCs w:val="24"/>
          <w:highlight w:val="none"/>
        </w:rPr>
        <w:t>否则视为投标人相互串通投标</w:t>
      </w:r>
      <w:r>
        <w:rPr>
          <w:rFonts w:ascii="黑体" w:hAnsi="宋体" w:eastAsia="黑体"/>
          <w:b/>
          <w:sz w:val="24"/>
          <w:szCs w:val="24"/>
          <w:highlight w:val="none"/>
        </w:rPr>
        <w:t>)</w:t>
      </w:r>
      <w:r>
        <w:rPr>
          <w:rFonts w:hint="eastAsia" w:ascii="黑体" w:hAnsi="宋体" w:eastAsia="黑体"/>
          <w:b/>
          <w:sz w:val="24"/>
          <w:szCs w:val="24"/>
          <w:highlight w:val="none"/>
        </w:rPr>
        <w:t>。</w:t>
      </w:r>
    </w:p>
    <w:p>
      <w:pPr>
        <w:numPr>
          <w:ilvl w:val="0"/>
          <w:numId w:val="1"/>
        </w:numPr>
        <w:spacing w:line="400" w:lineRule="exact"/>
        <w:rPr>
          <w:rFonts w:hint="eastAsia" w:ascii="黑体" w:eastAsia="黑体"/>
          <w:b/>
          <w:sz w:val="24"/>
          <w:szCs w:val="24"/>
          <w:highlight w:val="none"/>
        </w:rPr>
      </w:pPr>
      <w:r>
        <w:rPr>
          <w:rFonts w:hint="eastAsia" w:ascii="黑体" w:eastAsia="黑体"/>
          <w:b/>
          <w:sz w:val="24"/>
          <w:szCs w:val="24"/>
          <w:highlight w:val="none"/>
        </w:rPr>
        <w:t>投标文件按照招标文件规定的格式、内容填写，字迹清晰可辨：</w:t>
      </w:r>
    </w:p>
    <w:p>
      <w:pPr>
        <w:spacing w:line="400" w:lineRule="exact"/>
        <w:ind w:firstLine="472" w:firstLineChars="196"/>
        <w:rPr>
          <w:rFonts w:hint="eastAsia" w:ascii="黑体" w:eastAsia="黑体"/>
          <w:b/>
          <w:sz w:val="24"/>
          <w:szCs w:val="24"/>
          <w:highlight w:val="none"/>
        </w:rPr>
      </w:pPr>
      <w:r>
        <w:rPr>
          <w:rFonts w:hint="eastAsia" w:ascii="黑体" w:eastAsia="黑体"/>
          <w:b/>
          <w:sz w:val="24"/>
          <w:szCs w:val="24"/>
          <w:highlight w:val="none"/>
        </w:rPr>
        <w:t>a. 投标函按招标文件规定填报了工程质量目标；</w:t>
      </w:r>
    </w:p>
    <w:p>
      <w:pPr>
        <w:spacing w:line="400" w:lineRule="exact"/>
        <w:ind w:left="330" w:leftChars="157" w:firstLine="118" w:firstLineChars="49"/>
        <w:rPr>
          <w:rFonts w:hint="eastAsia" w:ascii="黑体" w:eastAsia="黑体"/>
          <w:b/>
          <w:sz w:val="24"/>
          <w:szCs w:val="24"/>
          <w:highlight w:val="none"/>
        </w:rPr>
      </w:pPr>
      <w:r>
        <w:rPr>
          <w:rFonts w:hint="eastAsia" w:ascii="黑体" w:eastAsia="黑体"/>
          <w:b/>
          <w:sz w:val="24"/>
          <w:szCs w:val="24"/>
          <w:highlight w:val="none"/>
        </w:rPr>
        <w:t>b. 投标函附录的所有数据均符合招标文件规定；</w:t>
      </w:r>
    </w:p>
    <w:p>
      <w:pPr>
        <w:spacing w:line="380" w:lineRule="exact"/>
        <w:ind w:left="368" w:leftChars="175" w:firstLine="118" w:firstLineChars="49"/>
        <w:rPr>
          <w:rFonts w:hint="eastAsia" w:ascii="黑体" w:eastAsia="黑体"/>
          <w:b/>
          <w:sz w:val="24"/>
          <w:szCs w:val="24"/>
          <w:highlight w:val="none"/>
        </w:rPr>
      </w:pPr>
      <w:r>
        <w:rPr>
          <w:rFonts w:hint="eastAsia" w:ascii="黑体" w:eastAsia="黑体"/>
          <w:b/>
          <w:sz w:val="24"/>
          <w:szCs w:val="24"/>
          <w:highlight w:val="none"/>
        </w:rPr>
        <w:t>c. 承诺函文字与招标文件规定一致，未进行修改和删减</w:t>
      </w:r>
      <w:r>
        <w:rPr>
          <w:rFonts w:hint="eastAsia" w:ascii="黑体" w:eastAsia="黑体"/>
          <w:b/>
          <w:szCs w:val="24"/>
          <w:highlight w:val="none"/>
        </w:rPr>
        <w:t>。</w:t>
      </w:r>
    </w:p>
    <w:p>
      <w:pPr>
        <w:spacing w:line="400" w:lineRule="exact"/>
        <w:ind w:firstLine="472" w:firstLineChars="196"/>
        <w:rPr>
          <w:rFonts w:hint="eastAsia" w:ascii="黑体" w:eastAsia="黑体"/>
          <w:b/>
          <w:sz w:val="24"/>
          <w:szCs w:val="24"/>
          <w:highlight w:val="none"/>
        </w:rPr>
      </w:pPr>
      <w:r>
        <w:rPr>
          <w:rFonts w:hint="eastAsia" w:ascii="黑体" w:eastAsia="黑体"/>
          <w:b/>
          <w:sz w:val="24"/>
          <w:szCs w:val="24"/>
          <w:highlight w:val="none"/>
        </w:rPr>
        <w:t>d. 投标文件组成齐全完整，内容均按规定填写。</w:t>
      </w:r>
    </w:p>
    <w:p>
      <w:pPr>
        <w:spacing w:line="400" w:lineRule="exact"/>
        <w:ind w:firstLine="118" w:firstLineChars="49"/>
        <w:rPr>
          <w:rFonts w:hint="eastAsia" w:ascii="黑体" w:eastAsia="黑体"/>
          <w:b/>
          <w:sz w:val="24"/>
          <w:szCs w:val="24"/>
          <w:highlight w:val="none"/>
        </w:rPr>
      </w:pPr>
      <w:r>
        <w:rPr>
          <w:rFonts w:hint="eastAsia" w:ascii="黑体" w:eastAsia="黑体"/>
          <w:b/>
          <w:sz w:val="24"/>
          <w:szCs w:val="24"/>
          <w:highlight w:val="none"/>
        </w:rPr>
        <w:t>（3） 投标文件上法定代表人或其授权代理人的签字、投标人的单位章盖章齐全，符合招标文件规定：</w:t>
      </w:r>
    </w:p>
    <w:p>
      <w:pPr>
        <w:spacing w:line="400" w:lineRule="exact"/>
        <w:rPr>
          <w:rFonts w:hint="eastAsia" w:ascii="黑体" w:eastAsia="黑体"/>
          <w:b/>
          <w:sz w:val="24"/>
          <w:szCs w:val="24"/>
          <w:highlight w:val="none"/>
        </w:rPr>
      </w:pPr>
      <w:r>
        <w:rPr>
          <w:rFonts w:hint="eastAsia" w:ascii="黑体" w:eastAsia="黑体"/>
          <w:b/>
          <w:sz w:val="24"/>
          <w:szCs w:val="24"/>
          <w:highlight w:val="none"/>
        </w:rPr>
        <w:t xml:space="preserve">     投标函及投标函附录、承诺函，应由投标人的法定代表人或其委托代理人逐页签署姓名（本页正文内容已由投标人的法定代表人或其委托代理人签署姓名的可不签署）或逐页加盖投标人单位章（本页正文内容已加盖单位章的除外）。</w:t>
      </w:r>
    </w:p>
    <w:p>
      <w:pPr>
        <w:spacing w:line="400" w:lineRule="exact"/>
        <w:ind w:firstLine="236" w:firstLineChars="98"/>
        <w:rPr>
          <w:rFonts w:hint="eastAsia" w:ascii="黑体" w:eastAsia="黑体"/>
          <w:b/>
          <w:sz w:val="24"/>
          <w:szCs w:val="24"/>
          <w:highlight w:val="none"/>
        </w:rPr>
      </w:pPr>
      <w:r>
        <w:rPr>
          <w:rFonts w:hint="eastAsia" w:ascii="黑体" w:eastAsia="黑体"/>
          <w:b/>
          <w:sz w:val="24"/>
          <w:szCs w:val="24"/>
          <w:highlight w:val="none"/>
        </w:rPr>
        <w:t>(4) 投标人按照招标文件规定的金额、形式、时效和内容提供了投标担保；</w:t>
      </w:r>
    </w:p>
    <w:p>
      <w:pPr>
        <w:numPr>
          <w:ilvl w:val="1"/>
          <w:numId w:val="2"/>
        </w:numPr>
        <w:tabs>
          <w:tab w:val="left" w:pos="727"/>
          <w:tab w:val="left" w:pos="885"/>
          <w:tab w:val="clear" w:pos="780"/>
        </w:tabs>
        <w:spacing w:line="400" w:lineRule="exact"/>
        <w:ind w:left="727" w:hanging="420"/>
        <w:rPr>
          <w:rFonts w:hint="eastAsia" w:ascii="黑体" w:eastAsia="黑体"/>
          <w:b/>
          <w:sz w:val="24"/>
          <w:szCs w:val="24"/>
          <w:highlight w:val="none"/>
        </w:rPr>
      </w:pPr>
      <w:r>
        <w:rPr>
          <w:rFonts w:hint="eastAsia" w:ascii="黑体" w:eastAsia="黑体"/>
          <w:b/>
          <w:sz w:val="24"/>
          <w:szCs w:val="24"/>
          <w:highlight w:val="none"/>
        </w:rPr>
        <w:t>投标担保金额符合招标文件规定的金额；</w:t>
      </w:r>
    </w:p>
    <w:p>
      <w:pPr>
        <w:numPr>
          <w:ilvl w:val="1"/>
          <w:numId w:val="2"/>
        </w:numPr>
        <w:tabs>
          <w:tab w:val="left" w:pos="727"/>
          <w:tab w:val="left" w:pos="885"/>
          <w:tab w:val="clear" w:pos="780"/>
        </w:tabs>
        <w:spacing w:line="400" w:lineRule="exact"/>
        <w:ind w:left="727" w:hanging="420"/>
        <w:rPr>
          <w:rFonts w:hint="eastAsia" w:ascii="黑体" w:eastAsia="黑体"/>
          <w:b/>
          <w:sz w:val="24"/>
          <w:szCs w:val="24"/>
          <w:highlight w:val="none"/>
        </w:rPr>
      </w:pPr>
      <w:r>
        <w:rPr>
          <w:rFonts w:hint="eastAsia" w:ascii="黑体" w:eastAsia="黑体"/>
          <w:b/>
          <w:sz w:val="24"/>
          <w:szCs w:val="24"/>
          <w:highlight w:val="none"/>
        </w:rPr>
        <w:t>若采用电汇，投标人在投标人须知前附表规定的时间之前，将投标保证金由投标人的基本账户一次性汇入招标人指定账户。</w:t>
      </w:r>
    </w:p>
    <w:p>
      <w:pPr>
        <w:spacing w:line="400" w:lineRule="exact"/>
        <w:ind w:left="273" w:leftChars="130"/>
        <w:rPr>
          <w:rFonts w:hint="eastAsia" w:ascii="黑体" w:eastAsia="黑体"/>
          <w:b/>
          <w:sz w:val="24"/>
          <w:szCs w:val="24"/>
          <w:highlight w:val="none"/>
        </w:rPr>
      </w:pPr>
      <w:r>
        <w:rPr>
          <w:rFonts w:hint="eastAsia" w:ascii="黑体" w:eastAsia="黑体"/>
          <w:b/>
          <w:sz w:val="24"/>
          <w:szCs w:val="24"/>
          <w:highlight w:val="none"/>
        </w:rPr>
        <w:t>c、若采用银行保函，银行保函的格式、开具保函的银行、银行保函的有效期均满足招标文件要求，且银行保函的原件和银行查询授权书的原件在投标截止时间前单独递交给招标执行机构查验，其扫描件上传至投标文件电子版中。</w:t>
      </w:r>
    </w:p>
    <w:p>
      <w:pPr>
        <w:spacing w:line="400" w:lineRule="exact"/>
        <w:ind w:firstLine="118" w:firstLineChars="49"/>
        <w:rPr>
          <w:rFonts w:hint="eastAsia" w:ascii="黑体" w:eastAsia="黑体"/>
          <w:b/>
          <w:sz w:val="24"/>
          <w:szCs w:val="24"/>
          <w:highlight w:val="none"/>
        </w:rPr>
      </w:pPr>
      <w:r>
        <w:rPr>
          <w:rFonts w:hint="eastAsia" w:ascii="黑体" w:eastAsia="黑体"/>
          <w:b/>
          <w:sz w:val="24"/>
          <w:szCs w:val="24"/>
          <w:highlight w:val="none"/>
        </w:rPr>
        <w:t>(5) 投标人法定代表人的授权代理人，需提交附有法定代表人身份证明的授权委托书，并符合下列要求：</w:t>
      </w:r>
    </w:p>
    <w:p>
      <w:pPr>
        <w:tabs>
          <w:tab w:val="left" w:pos="885"/>
        </w:tabs>
        <w:spacing w:line="400" w:lineRule="exact"/>
        <w:ind w:left="302"/>
        <w:rPr>
          <w:rFonts w:hint="eastAsia" w:ascii="黑体" w:eastAsia="黑体"/>
          <w:b/>
          <w:sz w:val="24"/>
          <w:szCs w:val="24"/>
          <w:highlight w:val="none"/>
        </w:rPr>
      </w:pPr>
      <w:r>
        <w:rPr>
          <w:rFonts w:hint="eastAsia" w:ascii="黑体" w:eastAsia="黑体"/>
          <w:b/>
          <w:sz w:val="24"/>
          <w:szCs w:val="24"/>
          <w:highlight w:val="none"/>
        </w:rPr>
        <w:t>a. 授权人和被授权人均在授权书上签名，未使用印章、签名章或其他电子制版签名；</w:t>
      </w:r>
    </w:p>
    <w:p>
      <w:pPr>
        <w:tabs>
          <w:tab w:val="left" w:pos="885"/>
        </w:tabs>
        <w:spacing w:line="400" w:lineRule="exact"/>
        <w:ind w:left="307"/>
        <w:rPr>
          <w:rFonts w:hint="eastAsia" w:ascii="黑体" w:eastAsia="黑体"/>
          <w:b/>
          <w:sz w:val="24"/>
          <w:szCs w:val="24"/>
          <w:highlight w:val="none"/>
        </w:rPr>
      </w:pPr>
      <w:r>
        <w:rPr>
          <w:rFonts w:hint="eastAsia" w:ascii="黑体" w:eastAsia="黑体"/>
          <w:b/>
          <w:sz w:val="24"/>
          <w:szCs w:val="24"/>
          <w:highlight w:val="none"/>
        </w:rPr>
        <w:t>b. 附有公证机关出具的加盖钢印、单位章并盖有公证员签名章的公证书，钢印应清晰可辨，同时公证内容完全满足招标文件规定；</w:t>
      </w:r>
    </w:p>
    <w:p>
      <w:pPr>
        <w:numPr>
          <w:ilvl w:val="1"/>
          <w:numId w:val="2"/>
        </w:numPr>
        <w:tabs>
          <w:tab w:val="left" w:pos="727"/>
          <w:tab w:val="left" w:pos="885"/>
          <w:tab w:val="clear" w:pos="780"/>
        </w:tabs>
        <w:spacing w:line="400" w:lineRule="exact"/>
        <w:ind w:left="727" w:hanging="420"/>
        <w:rPr>
          <w:rFonts w:hint="eastAsia" w:ascii="黑体" w:eastAsia="黑体"/>
          <w:b/>
          <w:sz w:val="24"/>
          <w:szCs w:val="24"/>
          <w:highlight w:val="none"/>
        </w:rPr>
      </w:pPr>
      <w:r>
        <w:rPr>
          <w:rFonts w:hint="eastAsia" w:ascii="黑体" w:eastAsia="黑体"/>
          <w:b/>
          <w:sz w:val="24"/>
          <w:szCs w:val="24"/>
          <w:highlight w:val="none"/>
        </w:rPr>
        <w:t>公证书出具的日期与授权书出具的日期同日或在其之后。</w:t>
      </w:r>
    </w:p>
    <w:p>
      <w:pPr>
        <w:spacing w:line="400" w:lineRule="exact"/>
        <w:ind w:firstLine="118" w:firstLineChars="49"/>
        <w:rPr>
          <w:rFonts w:hint="eastAsia" w:ascii="黑体" w:eastAsia="黑体"/>
          <w:b/>
          <w:sz w:val="24"/>
          <w:szCs w:val="24"/>
          <w:highlight w:val="none"/>
        </w:rPr>
      </w:pPr>
      <w:r>
        <w:rPr>
          <w:rFonts w:hint="eastAsia" w:ascii="黑体" w:eastAsia="黑体"/>
          <w:b/>
          <w:sz w:val="24"/>
          <w:szCs w:val="24"/>
          <w:highlight w:val="none"/>
        </w:rPr>
        <w:t>(6) 投标人法定代表人若亲自签署投标文件的，提供了法定代表人身份证明，并符合下列要求：</w:t>
      </w:r>
    </w:p>
    <w:p>
      <w:pPr>
        <w:numPr>
          <w:ilvl w:val="0"/>
          <w:numId w:val="3"/>
        </w:numPr>
        <w:spacing w:line="400" w:lineRule="exact"/>
        <w:ind w:left="727"/>
        <w:rPr>
          <w:rFonts w:hint="eastAsia" w:ascii="黑体" w:eastAsia="黑体"/>
          <w:b/>
          <w:sz w:val="24"/>
          <w:szCs w:val="24"/>
          <w:highlight w:val="none"/>
        </w:rPr>
      </w:pPr>
      <w:r>
        <w:rPr>
          <w:rFonts w:hint="eastAsia" w:ascii="黑体" w:eastAsia="黑体"/>
          <w:b/>
          <w:sz w:val="24"/>
          <w:szCs w:val="24"/>
          <w:highlight w:val="none"/>
        </w:rPr>
        <w:t>法定代表人在法定代表人身份证明上签名，未使用印章、签名章或其他电子制版签名；</w:t>
      </w:r>
    </w:p>
    <w:p>
      <w:pPr>
        <w:numPr>
          <w:ilvl w:val="0"/>
          <w:numId w:val="3"/>
        </w:numPr>
        <w:tabs>
          <w:tab w:val="left" w:pos="727"/>
        </w:tabs>
        <w:spacing w:line="400" w:lineRule="exact"/>
        <w:ind w:left="727"/>
        <w:rPr>
          <w:rFonts w:hint="eastAsia" w:ascii="黑体" w:eastAsia="黑体"/>
          <w:b/>
          <w:sz w:val="24"/>
          <w:szCs w:val="24"/>
          <w:highlight w:val="none"/>
        </w:rPr>
      </w:pPr>
      <w:r>
        <w:rPr>
          <w:rFonts w:hint="eastAsia" w:ascii="黑体" w:eastAsia="黑体"/>
          <w:b/>
          <w:sz w:val="24"/>
          <w:szCs w:val="24"/>
          <w:highlight w:val="none"/>
        </w:rPr>
        <w:t>附有公证机关出具的加盖钢印、单位章并盖有公证员签名章的公证书，钢印应清晰可辨，同时公证内容完全满足招标文件规定；</w:t>
      </w:r>
    </w:p>
    <w:p>
      <w:pPr>
        <w:numPr>
          <w:ilvl w:val="0"/>
          <w:numId w:val="3"/>
        </w:numPr>
        <w:tabs>
          <w:tab w:val="left" w:pos="727"/>
        </w:tabs>
        <w:spacing w:line="400" w:lineRule="exact"/>
        <w:ind w:left="727"/>
        <w:rPr>
          <w:rFonts w:hint="eastAsia" w:ascii="黑体" w:eastAsia="黑体"/>
          <w:b/>
          <w:sz w:val="24"/>
          <w:szCs w:val="24"/>
          <w:highlight w:val="none"/>
        </w:rPr>
      </w:pPr>
      <w:r>
        <w:rPr>
          <w:rFonts w:hint="eastAsia" w:ascii="黑体" w:eastAsia="黑体"/>
          <w:b/>
          <w:sz w:val="24"/>
          <w:szCs w:val="24"/>
          <w:highlight w:val="none"/>
        </w:rPr>
        <w:t>公证书出具的日期与法定代表人身份证明出具的日期同日或在其之后。</w:t>
      </w:r>
    </w:p>
    <w:p>
      <w:pPr>
        <w:spacing w:line="400" w:lineRule="exact"/>
        <w:ind w:firstLine="118" w:firstLineChars="49"/>
        <w:rPr>
          <w:rFonts w:hint="eastAsia" w:ascii="黑体" w:eastAsia="黑体"/>
          <w:b/>
          <w:sz w:val="24"/>
          <w:szCs w:val="24"/>
          <w:highlight w:val="none"/>
        </w:rPr>
      </w:pPr>
      <w:r>
        <w:rPr>
          <w:rFonts w:hint="eastAsia" w:ascii="黑体" w:eastAsia="黑体"/>
          <w:b/>
          <w:sz w:val="24"/>
          <w:szCs w:val="24"/>
          <w:highlight w:val="none"/>
        </w:rPr>
        <w:t>(7) 投标人如有分包计划，应按第八章“投标文件格式”的要求填写“拟分包项目情况表”。</w:t>
      </w:r>
    </w:p>
    <w:p>
      <w:pPr>
        <w:spacing w:line="400" w:lineRule="exact"/>
        <w:ind w:firstLine="118" w:firstLineChars="49"/>
        <w:rPr>
          <w:rFonts w:hint="eastAsia" w:ascii="黑体" w:eastAsia="黑体"/>
          <w:b/>
          <w:sz w:val="24"/>
          <w:szCs w:val="24"/>
          <w:highlight w:val="none"/>
        </w:rPr>
      </w:pPr>
      <w:r>
        <w:rPr>
          <w:rFonts w:hint="eastAsia" w:ascii="黑体" w:eastAsia="黑体"/>
          <w:b/>
          <w:sz w:val="24"/>
          <w:szCs w:val="24"/>
          <w:highlight w:val="none"/>
        </w:rPr>
        <w:t>(8) 投标文件载明的招标项目完成期限未超过招标文件规定的时限。</w:t>
      </w:r>
    </w:p>
    <w:p>
      <w:pPr>
        <w:spacing w:line="380" w:lineRule="exact"/>
        <w:ind w:firstLine="118" w:firstLineChars="49"/>
        <w:rPr>
          <w:rFonts w:hint="eastAsia" w:ascii="黑体" w:eastAsia="黑体"/>
          <w:b/>
          <w:sz w:val="24"/>
          <w:szCs w:val="24"/>
          <w:highlight w:val="none"/>
        </w:rPr>
      </w:pPr>
      <w:r>
        <w:rPr>
          <w:rFonts w:hint="eastAsia" w:ascii="黑体" w:eastAsia="黑体"/>
          <w:b/>
          <w:sz w:val="24"/>
          <w:szCs w:val="24"/>
          <w:highlight w:val="none"/>
        </w:rPr>
        <w:t>(9) 投标文件第一个信封（商务及技术文件）未出现有关投标报价的内容。</w:t>
      </w:r>
    </w:p>
    <w:p>
      <w:pPr>
        <w:spacing w:line="400" w:lineRule="exact"/>
        <w:ind w:firstLine="118" w:firstLineChars="49"/>
        <w:rPr>
          <w:rFonts w:hint="eastAsia" w:ascii="黑体" w:eastAsia="黑体"/>
          <w:b/>
          <w:sz w:val="24"/>
          <w:szCs w:val="24"/>
          <w:highlight w:val="none"/>
        </w:rPr>
      </w:pPr>
    </w:p>
    <w:p>
      <w:pPr>
        <w:spacing w:line="380" w:lineRule="exact"/>
        <w:ind w:left="-2" w:leftChars="-1" w:firstLine="236" w:firstLineChars="98"/>
        <w:rPr>
          <w:rFonts w:hint="eastAsia" w:ascii="宋体" w:hAnsi="宋体"/>
          <w:b/>
          <w:sz w:val="24"/>
          <w:szCs w:val="24"/>
          <w:highlight w:val="none"/>
        </w:rPr>
      </w:pPr>
      <w:r>
        <w:rPr>
          <w:rFonts w:hint="eastAsia" w:ascii="宋体" w:hAnsi="宋体"/>
          <w:b/>
          <w:sz w:val="24"/>
          <w:szCs w:val="24"/>
          <w:highlight w:val="none"/>
        </w:rPr>
        <w:t>2、投标文件第二信封(投标报价和工程量清单)</w:t>
      </w:r>
    </w:p>
    <w:p>
      <w:pPr>
        <w:spacing w:line="400" w:lineRule="exact"/>
        <w:rPr>
          <w:rFonts w:hint="eastAsia" w:ascii="黑体" w:eastAsia="黑体"/>
          <w:b/>
          <w:sz w:val="24"/>
          <w:szCs w:val="24"/>
          <w:highlight w:val="none"/>
        </w:rPr>
      </w:pPr>
      <w:r>
        <w:rPr>
          <w:rFonts w:hint="eastAsia" w:ascii="黑体" w:eastAsia="黑体"/>
          <w:b/>
          <w:sz w:val="24"/>
          <w:szCs w:val="24"/>
          <w:highlight w:val="none"/>
        </w:rPr>
        <w:t xml:space="preserve"> (1)  开标形式性评审</w:t>
      </w:r>
    </w:p>
    <w:p>
      <w:pPr>
        <w:spacing w:line="400" w:lineRule="exact"/>
        <w:ind w:left="720"/>
        <w:rPr>
          <w:rFonts w:hint="eastAsia" w:ascii="黑体" w:eastAsia="黑体"/>
          <w:b/>
          <w:sz w:val="24"/>
          <w:szCs w:val="24"/>
          <w:highlight w:val="none"/>
        </w:rPr>
      </w:pPr>
      <w:r>
        <w:rPr>
          <w:rFonts w:hint="eastAsia" w:ascii="黑体" w:eastAsia="黑体"/>
          <w:b/>
          <w:sz w:val="24"/>
          <w:szCs w:val="24"/>
          <w:highlight w:val="none"/>
        </w:rPr>
        <w:t>a.投标函上填写了投标总价；</w:t>
      </w:r>
    </w:p>
    <w:p>
      <w:pPr>
        <w:spacing w:line="400" w:lineRule="exact"/>
        <w:ind w:left="720"/>
        <w:rPr>
          <w:rFonts w:hint="eastAsia" w:ascii="黑体" w:eastAsia="黑体"/>
          <w:b/>
          <w:sz w:val="24"/>
          <w:szCs w:val="24"/>
          <w:highlight w:val="none"/>
        </w:rPr>
      </w:pPr>
      <w:r>
        <w:rPr>
          <w:rFonts w:hint="eastAsia" w:ascii="黑体" w:eastAsia="黑体"/>
          <w:b/>
          <w:sz w:val="24"/>
          <w:szCs w:val="24"/>
          <w:highlight w:val="none"/>
        </w:rPr>
        <w:t>b.投标报价未超出招标人公布的</w:t>
      </w:r>
      <w:r>
        <w:rPr>
          <w:rFonts w:ascii="黑体" w:eastAsia="黑体"/>
          <w:b/>
          <w:sz w:val="24"/>
          <w:szCs w:val="24"/>
          <w:highlight w:val="none"/>
        </w:rPr>
        <w:t>招标人最高限价</w:t>
      </w:r>
      <w:r>
        <w:rPr>
          <w:rFonts w:hint="eastAsia" w:ascii="黑体" w:eastAsia="黑体"/>
          <w:b/>
          <w:sz w:val="24"/>
          <w:szCs w:val="24"/>
          <w:highlight w:val="none"/>
        </w:rPr>
        <w:t>(含保险)。</w:t>
      </w:r>
    </w:p>
    <w:p>
      <w:pPr>
        <w:spacing w:line="400" w:lineRule="exact"/>
        <w:ind w:left="720"/>
        <w:rPr>
          <w:rFonts w:hint="eastAsia" w:ascii="黑体" w:eastAsia="黑体"/>
          <w:b/>
          <w:sz w:val="24"/>
          <w:szCs w:val="24"/>
          <w:highlight w:val="none"/>
        </w:rPr>
      </w:pPr>
      <w:r>
        <w:rPr>
          <w:rFonts w:hint="eastAsia" w:ascii="黑体" w:eastAsia="黑体"/>
          <w:b/>
          <w:sz w:val="24"/>
          <w:szCs w:val="24"/>
          <w:highlight w:val="none"/>
        </w:rPr>
        <w:t>c.投标函按照招标文件规定签署或加盖单位章；</w:t>
      </w:r>
    </w:p>
    <w:p>
      <w:pPr>
        <w:spacing w:line="400" w:lineRule="exact"/>
        <w:ind w:left="720"/>
        <w:rPr>
          <w:rFonts w:hint="eastAsia" w:ascii="黑体" w:eastAsia="黑体"/>
          <w:b/>
          <w:sz w:val="24"/>
          <w:szCs w:val="24"/>
          <w:highlight w:val="none"/>
        </w:rPr>
      </w:pPr>
      <w:r>
        <w:rPr>
          <w:rFonts w:hint="eastAsia" w:ascii="黑体" w:eastAsia="黑体"/>
          <w:b/>
          <w:sz w:val="24"/>
          <w:szCs w:val="24"/>
          <w:highlight w:val="none"/>
        </w:rPr>
        <w:t>d.开标后投标人投标函所列标段与封面所列标段一致。</w:t>
      </w:r>
    </w:p>
    <w:p>
      <w:pPr>
        <w:spacing w:line="400" w:lineRule="exact"/>
        <w:ind w:left="720"/>
        <w:rPr>
          <w:rFonts w:ascii="黑体" w:eastAsia="黑体"/>
          <w:b/>
          <w:sz w:val="24"/>
          <w:szCs w:val="24"/>
          <w:highlight w:val="none"/>
        </w:rPr>
      </w:pPr>
      <w:r>
        <w:rPr>
          <w:rFonts w:hint="eastAsia" w:ascii="黑体" w:eastAsia="黑体"/>
          <w:b/>
          <w:sz w:val="24"/>
          <w:szCs w:val="24"/>
          <w:highlight w:val="none"/>
        </w:rPr>
        <w:t>e.投标函与已标价工程量清单的投标报价一致。</w:t>
      </w:r>
    </w:p>
    <w:p>
      <w:pPr>
        <w:pStyle w:val="4"/>
        <w:spacing w:line="360" w:lineRule="exact"/>
        <w:ind w:firstLine="723" w:firstLineChars="300"/>
        <w:rPr>
          <w:rFonts w:hint="eastAsia" w:ascii="黑体" w:hAnsi="Times New Roman" w:eastAsia="黑体" w:cs="Times New Roman"/>
          <w:b/>
          <w:sz w:val="24"/>
          <w:szCs w:val="24"/>
          <w:highlight w:val="none"/>
        </w:rPr>
      </w:pPr>
      <w:r>
        <w:rPr>
          <w:rFonts w:ascii="黑体" w:hAnsi="Times New Roman" w:eastAsia="黑体" w:cs="Times New Roman"/>
          <w:b/>
          <w:sz w:val="24"/>
          <w:szCs w:val="24"/>
          <w:highlight w:val="none"/>
        </w:rPr>
        <w:t>f.</w:t>
      </w:r>
      <w:r>
        <w:rPr>
          <w:rFonts w:hint="eastAsia" w:ascii="黑体" w:hAnsi="Times New Roman" w:eastAsia="黑体" w:cs="Times New Roman"/>
          <w:b/>
          <w:sz w:val="24"/>
          <w:szCs w:val="24"/>
          <w:highlight w:val="none"/>
        </w:rPr>
        <w:t xml:space="preserve"> 投标人在规定时间内进行解密投标文件第二信封（投标报价和工程量清单）； </w:t>
      </w:r>
    </w:p>
    <w:p>
      <w:pPr>
        <w:snapToGrid w:val="0"/>
        <w:spacing w:line="300" w:lineRule="exact"/>
        <w:ind w:firstLine="723" w:firstLineChars="300"/>
        <w:rPr>
          <w:rFonts w:hint="eastAsia" w:ascii="黑体" w:eastAsia="黑体"/>
          <w:b/>
          <w:sz w:val="24"/>
          <w:szCs w:val="24"/>
          <w:highlight w:val="none"/>
        </w:rPr>
      </w:pPr>
      <w:r>
        <w:rPr>
          <w:rFonts w:ascii="黑体" w:eastAsia="黑体"/>
          <w:b/>
          <w:sz w:val="24"/>
          <w:szCs w:val="24"/>
          <w:highlight w:val="none"/>
        </w:rPr>
        <w:t>g.</w:t>
      </w:r>
      <w:r>
        <w:rPr>
          <w:rFonts w:hint="eastAsia" w:ascii="黑体" w:eastAsia="黑体"/>
          <w:b/>
          <w:sz w:val="24"/>
          <w:szCs w:val="24"/>
          <w:highlight w:val="none"/>
        </w:rPr>
        <w:t xml:space="preserve"> 不同投标人的投标文件编制识别码不一致</w:t>
      </w:r>
      <w:r>
        <w:rPr>
          <w:rFonts w:ascii="黑体" w:eastAsia="黑体"/>
          <w:b/>
          <w:sz w:val="24"/>
          <w:szCs w:val="24"/>
          <w:highlight w:val="none"/>
        </w:rPr>
        <w:t>(</w:t>
      </w:r>
      <w:r>
        <w:rPr>
          <w:rFonts w:hint="eastAsia" w:ascii="黑体" w:eastAsia="黑体"/>
          <w:b/>
          <w:sz w:val="24"/>
          <w:szCs w:val="24"/>
          <w:highlight w:val="none"/>
        </w:rPr>
        <w:t>否则视为投标人相互串通投标</w:t>
      </w:r>
      <w:r>
        <w:rPr>
          <w:rFonts w:ascii="黑体" w:eastAsia="黑体"/>
          <w:b/>
          <w:sz w:val="24"/>
          <w:szCs w:val="24"/>
          <w:highlight w:val="none"/>
        </w:rPr>
        <w:t>)</w:t>
      </w:r>
      <w:r>
        <w:rPr>
          <w:rFonts w:hint="eastAsia" w:ascii="黑体" w:eastAsia="黑体"/>
          <w:b/>
          <w:sz w:val="24"/>
          <w:szCs w:val="24"/>
          <w:highlight w:val="none"/>
        </w:rPr>
        <w:t>。</w:t>
      </w:r>
    </w:p>
    <w:p>
      <w:pPr>
        <w:spacing w:line="400" w:lineRule="exact"/>
        <w:ind w:left="19"/>
        <w:rPr>
          <w:rFonts w:hint="eastAsia" w:ascii="黑体" w:eastAsia="黑体"/>
          <w:b/>
          <w:sz w:val="24"/>
          <w:szCs w:val="24"/>
          <w:highlight w:val="none"/>
        </w:rPr>
      </w:pPr>
      <w:r>
        <w:rPr>
          <w:rFonts w:hint="eastAsia" w:ascii="黑体" w:eastAsia="黑体"/>
          <w:b/>
          <w:sz w:val="24"/>
          <w:szCs w:val="24"/>
          <w:highlight w:val="none"/>
        </w:rPr>
        <w:t xml:space="preserve"> (2)  一份投标文件应只有一个投标报价，在招标文件没有规定的情况下，未提交选择性报价。</w:t>
      </w:r>
    </w:p>
    <w:p>
      <w:pPr>
        <w:spacing w:line="400" w:lineRule="exact"/>
        <w:ind w:left="19"/>
        <w:rPr>
          <w:rFonts w:hint="eastAsia" w:ascii="黑体" w:eastAsia="黑体"/>
          <w:b/>
          <w:sz w:val="24"/>
          <w:szCs w:val="24"/>
          <w:highlight w:val="none"/>
        </w:rPr>
      </w:pPr>
      <w:r>
        <w:rPr>
          <w:rFonts w:hint="eastAsia" w:ascii="黑体" w:eastAsia="黑体"/>
          <w:b/>
          <w:sz w:val="24"/>
          <w:szCs w:val="24"/>
          <w:highlight w:val="none"/>
        </w:rPr>
        <w:t>（3） 投标人填写了工程量固化清单，填写完毕的工程量固化清单未对工程量固化清单电子文件中的数据、格式和运算定义进行修改。</w:t>
      </w:r>
    </w:p>
    <w:p>
      <w:pPr>
        <w:spacing w:line="400" w:lineRule="exact"/>
        <w:rPr>
          <w:rFonts w:hint="eastAsia" w:ascii="黑体" w:eastAsia="黑体"/>
          <w:b/>
          <w:sz w:val="24"/>
          <w:szCs w:val="24"/>
          <w:highlight w:val="none"/>
        </w:rPr>
      </w:pPr>
      <w:r>
        <w:rPr>
          <w:rFonts w:hint="eastAsia" w:ascii="黑体" w:eastAsia="黑体"/>
          <w:b/>
          <w:sz w:val="24"/>
          <w:szCs w:val="24"/>
          <w:highlight w:val="none"/>
        </w:rPr>
        <w:t>（4） 已标价工程量清单说明文字与招标文件规定一致，未进行修改和删减；</w:t>
      </w:r>
    </w:p>
    <w:p>
      <w:pPr>
        <w:spacing w:line="400" w:lineRule="exact"/>
        <w:rPr>
          <w:rFonts w:hint="eastAsia" w:ascii="黑体" w:eastAsia="黑体"/>
          <w:b/>
          <w:sz w:val="24"/>
          <w:szCs w:val="24"/>
          <w:highlight w:val="none"/>
        </w:rPr>
      </w:pPr>
      <w:r>
        <w:rPr>
          <w:rFonts w:hint="eastAsia" w:ascii="黑体" w:eastAsia="黑体"/>
          <w:b/>
          <w:sz w:val="24"/>
          <w:szCs w:val="24"/>
          <w:highlight w:val="none"/>
        </w:rPr>
        <w:t>（5） 已标价工程量清单（包括工程量清单说明、投标报价说明、计日工说明、其他说明及工程量清单各项表格</w:t>
      </w:r>
      <w:r>
        <w:rPr>
          <w:rFonts w:hint="eastAsia" w:ascii="黑体" w:hAnsi="宋体" w:eastAsia="黑体"/>
          <w:b/>
          <w:sz w:val="24"/>
          <w:szCs w:val="24"/>
          <w:highlight w:val="none"/>
        </w:rPr>
        <w:t>（工程量清单表5.1和表5.4）</w:t>
      </w:r>
      <w:r>
        <w:rPr>
          <w:rFonts w:hint="eastAsia" w:ascii="黑体" w:eastAsia="黑体"/>
          <w:b/>
          <w:sz w:val="24"/>
          <w:szCs w:val="24"/>
          <w:highlight w:val="none"/>
        </w:rPr>
        <w:t>）的内容，应由投标人的法定代表人或其委托代理人逐页签署姓名（本页正文内容已由投标人的法定代表人或其委托代理人签署姓名的可不签署）或逐页加盖投标人单位章（本页正文内容已加盖单位章的除外）。</w:t>
      </w:r>
    </w:p>
    <w:p>
      <w:pPr>
        <w:spacing w:line="400" w:lineRule="exact"/>
        <w:ind w:firstLine="480" w:firstLineChars="200"/>
        <w:rPr>
          <w:rFonts w:hint="eastAsia" w:ascii="宋体" w:hAnsi="宋体"/>
          <w:sz w:val="24"/>
          <w:highlight w:val="none"/>
        </w:rPr>
      </w:pPr>
      <w:r>
        <w:rPr>
          <w:rFonts w:ascii="宋体" w:hAnsi="宋体"/>
          <w:sz w:val="24"/>
          <w:highlight w:val="none"/>
        </w:rPr>
        <w:t>2.1.2 资格评审标准：</w:t>
      </w:r>
    </w:p>
    <w:p>
      <w:pPr>
        <w:spacing w:line="360" w:lineRule="auto"/>
        <w:rPr>
          <w:rFonts w:hint="eastAsia" w:ascii="黑体" w:eastAsia="黑体"/>
          <w:b/>
          <w:sz w:val="24"/>
          <w:szCs w:val="24"/>
          <w:highlight w:val="none"/>
        </w:rPr>
      </w:pPr>
      <w:r>
        <w:rPr>
          <w:rFonts w:hint="eastAsia" w:ascii="黑体" w:eastAsia="黑体"/>
          <w:b/>
          <w:sz w:val="24"/>
          <w:szCs w:val="24"/>
          <w:highlight w:val="none"/>
        </w:rPr>
        <w:t>（1）投标人具备有效的营业执照、资质证书、安全生产许可证</w:t>
      </w:r>
      <w:r>
        <w:rPr>
          <w:rFonts w:ascii="黑体" w:eastAsia="黑体"/>
          <w:b/>
          <w:sz w:val="24"/>
          <w:szCs w:val="24"/>
          <w:highlight w:val="none"/>
        </w:rPr>
        <w:t>和基本账户开户许可证</w:t>
      </w:r>
      <w:r>
        <w:rPr>
          <w:rFonts w:hint="eastAsia" w:ascii="黑体" w:eastAsia="黑体"/>
          <w:b/>
          <w:sz w:val="24"/>
          <w:szCs w:val="24"/>
          <w:highlight w:val="none"/>
        </w:rPr>
        <w:t xml:space="preserve">； </w:t>
      </w:r>
    </w:p>
    <w:p>
      <w:pPr>
        <w:spacing w:line="360" w:lineRule="auto"/>
        <w:rPr>
          <w:rFonts w:hint="eastAsia" w:ascii="黑体" w:eastAsia="黑体"/>
          <w:b/>
          <w:sz w:val="24"/>
          <w:szCs w:val="24"/>
          <w:highlight w:val="none"/>
        </w:rPr>
      </w:pPr>
      <w:r>
        <w:rPr>
          <w:rFonts w:hint="eastAsia" w:ascii="黑体" w:eastAsia="黑体"/>
          <w:b/>
          <w:sz w:val="24"/>
          <w:szCs w:val="24"/>
          <w:highlight w:val="none"/>
        </w:rPr>
        <w:t>（2）投标人和分包人（如有）的资质等级符合第二章“投标人须知”附录1规定；</w:t>
      </w:r>
    </w:p>
    <w:p>
      <w:pPr>
        <w:spacing w:line="360" w:lineRule="auto"/>
        <w:rPr>
          <w:rFonts w:hint="eastAsia" w:ascii="黑体" w:eastAsia="黑体"/>
          <w:b/>
          <w:sz w:val="24"/>
          <w:szCs w:val="24"/>
          <w:highlight w:val="none"/>
        </w:rPr>
      </w:pPr>
      <w:r>
        <w:rPr>
          <w:rFonts w:hint="eastAsia" w:ascii="黑体" w:eastAsia="黑体"/>
          <w:b/>
          <w:sz w:val="24"/>
          <w:szCs w:val="24"/>
          <w:highlight w:val="none"/>
        </w:rPr>
        <w:t>（3）投标人的财务状况符合第二章“投标人须知”附录2规定；</w:t>
      </w:r>
    </w:p>
    <w:p>
      <w:pPr>
        <w:spacing w:line="440" w:lineRule="exact"/>
        <w:rPr>
          <w:rFonts w:hint="eastAsia" w:ascii="黑体" w:eastAsia="黑体"/>
          <w:b/>
          <w:sz w:val="24"/>
          <w:szCs w:val="24"/>
          <w:highlight w:val="none"/>
        </w:rPr>
      </w:pPr>
      <w:r>
        <w:rPr>
          <w:rFonts w:hint="eastAsia" w:ascii="黑体" w:eastAsia="黑体"/>
          <w:b/>
          <w:sz w:val="24"/>
          <w:szCs w:val="24"/>
          <w:highlight w:val="none"/>
        </w:rPr>
        <w:t>（4）投标人和分包人（如有）的类似项目业绩符合第二章“投标人须知”附录3规定；</w:t>
      </w:r>
    </w:p>
    <w:p>
      <w:pPr>
        <w:spacing w:line="360" w:lineRule="auto"/>
        <w:rPr>
          <w:rFonts w:hint="eastAsia" w:ascii="黑体" w:eastAsia="黑体"/>
          <w:b/>
          <w:sz w:val="24"/>
          <w:szCs w:val="24"/>
          <w:highlight w:val="none"/>
        </w:rPr>
      </w:pPr>
      <w:r>
        <w:rPr>
          <w:rFonts w:hint="eastAsia" w:ascii="黑体" w:eastAsia="黑体"/>
          <w:b/>
          <w:sz w:val="24"/>
          <w:szCs w:val="24"/>
          <w:highlight w:val="none"/>
        </w:rPr>
        <w:t xml:space="preserve">（5）投标人的信誉符合第二章“投标人须知”附录4规定； </w:t>
      </w:r>
    </w:p>
    <w:p>
      <w:pPr>
        <w:spacing w:line="400" w:lineRule="exact"/>
        <w:rPr>
          <w:rFonts w:hint="eastAsia" w:ascii="黑体" w:eastAsia="黑体"/>
          <w:b/>
          <w:sz w:val="24"/>
          <w:szCs w:val="24"/>
          <w:highlight w:val="none"/>
        </w:rPr>
      </w:pPr>
      <w:r>
        <w:rPr>
          <w:rFonts w:hint="eastAsia" w:ascii="黑体" w:eastAsia="黑体"/>
          <w:b/>
          <w:sz w:val="24"/>
          <w:szCs w:val="24"/>
          <w:highlight w:val="none"/>
        </w:rPr>
        <w:t>（6）投标人的项目经理和项目总工资格符合第二章“投标人须知”附录5规定；</w:t>
      </w:r>
    </w:p>
    <w:p>
      <w:pPr>
        <w:spacing w:line="400" w:lineRule="exact"/>
        <w:rPr>
          <w:rFonts w:ascii="黑体" w:eastAsia="黑体"/>
          <w:b/>
          <w:sz w:val="24"/>
          <w:szCs w:val="24"/>
          <w:highlight w:val="none"/>
        </w:rPr>
      </w:pPr>
      <w:r>
        <w:rPr>
          <w:rFonts w:hint="eastAsia" w:ascii="黑体" w:eastAsia="黑体"/>
          <w:b/>
          <w:sz w:val="24"/>
          <w:szCs w:val="24"/>
          <w:highlight w:val="none"/>
        </w:rPr>
        <w:t>（7）投标人的资质、业绩、主要人员资历和目前在岗情况、信用等级在湖南省公路水路建设与运输市场信用信息服务网站（http://218.76.40.80:9000/hnxyfw）中已经进行核实，投标文件载明的信息与湖南省公路水路建设与运输市场信用信息服务网站（http://218.76.40.80:9000/hnxyfw）发布的信息相符，投标人的资格条件符合招标文件的规定。</w:t>
      </w:r>
    </w:p>
    <w:p>
      <w:pPr>
        <w:spacing w:line="400" w:lineRule="exact"/>
        <w:ind w:firstLine="480" w:firstLineChars="200"/>
        <w:rPr>
          <w:rFonts w:hint="eastAsia" w:ascii="宋体" w:hAnsi="宋体"/>
          <w:sz w:val="24"/>
          <w:highlight w:val="none"/>
        </w:rPr>
      </w:pPr>
      <w:r>
        <w:rPr>
          <w:rFonts w:ascii="宋体" w:hAnsi="宋体"/>
          <w:sz w:val="24"/>
          <w:highlight w:val="none"/>
        </w:rPr>
        <w:t>2.1.3 响应性评审标准：</w:t>
      </w:r>
    </w:p>
    <w:p>
      <w:pPr>
        <w:numPr>
          <w:ilvl w:val="0"/>
          <w:numId w:val="4"/>
        </w:numPr>
        <w:spacing w:line="380" w:lineRule="exact"/>
        <w:rPr>
          <w:rFonts w:hint="eastAsia" w:ascii="黑体" w:eastAsia="黑体"/>
          <w:b/>
          <w:sz w:val="24"/>
          <w:szCs w:val="24"/>
          <w:highlight w:val="none"/>
        </w:rPr>
      </w:pPr>
      <w:r>
        <w:rPr>
          <w:rFonts w:hint="eastAsia" w:ascii="黑体" w:eastAsia="黑体"/>
          <w:b/>
          <w:sz w:val="24"/>
          <w:szCs w:val="24"/>
          <w:highlight w:val="none"/>
        </w:rPr>
        <w:t>投标文件未附有招标人不能接受的条件。</w:t>
      </w:r>
    </w:p>
    <w:p>
      <w:pPr>
        <w:numPr>
          <w:ilvl w:val="0"/>
          <w:numId w:val="4"/>
        </w:numPr>
        <w:spacing w:line="380" w:lineRule="exact"/>
        <w:rPr>
          <w:rFonts w:hint="eastAsia" w:ascii="黑体" w:eastAsia="黑体"/>
          <w:b/>
          <w:sz w:val="24"/>
          <w:szCs w:val="24"/>
          <w:highlight w:val="none"/>
        </w:rPr>
      </w:pPr>
      <w:r>
        <w:rPr>
          <w:rFonts w:hint="eastAsia" w:ascii="黑体" w:eastAsia="黑体"/>
          <w:b/>
          <w:sz w:val="24"/>
          <w:szCs w:val="24"/>
          <w:highlight w:val="none"/>
        </w:rPr>
        <w:t>权利义务符合招标文件规定：</w:t>
      </w:r>
    </w:p>
    <w:p>
      <w:pPr>
        <w:numPr>
          <w:ilvl w:val="0"/>
          <w:numId w:val="5"/>
        </w:numPr>
        <w:spacing w:line="380" w:lineRule="exact"/>
        <w:rPr>
          <w:rFonts w:hint="eastAsia" w:ascii="黑体" w:eastAsia="黑体"/>
          <w:b/>
          <w:sz w:val="24"/>
          <w:szCs w:val="24"/>
          <w:highlight w:val="none"/>
        </w:rPr>
      </w:pPr>
      <w:r>
        <w:rPr>
          <w:rFonts w:hint="eastAsia" w:ascii="黑体" w:eastAsia="黑体"/>
          <w:b/>
          <w:sz w:val="24"/>
          <w:szCs w:val="24"/>
          <w:highlight w:val="none"/>
        </w:rPr>
        <w:t>投标人应接受招标文件规定的风险划分原则，未提出新的风险划分办法；</w:t>
      </w:r>
    </w:p>
    <w:p>
      <w:pPr>
        <w:numPr>
          <w:ilvl w:val="0"/>
          <w:numId w:val="5"/>
        </w:numPr>
        <w:spacing w:line="380" w:lineRule="exact"/>
        <w:rPr>
          <w:rFonts w:hint="eastAsia" w:ascii="黑体" w:eastAsia="黑体"/>
          <w:b/>
          <w:sz w:val="24"/>
          <w:szCs w:val="24"/>
          <w:highlight w:val="none"/>
        </w:rPr>
      </w:pPr>
      <w:r>
        <w:rPr>
          <w:rFonts w:hint="eastAsia" w:ascii="黑体" w:eastAsia="黑体"/>
          <w:b/>
          <w:sz w:val="24"/>
          <w:szCs w:val="24"/>
          <w:highlight w:val="none"/>
        </w:rPr>
        <w:t>投标人未增加发包人的责任范围，或减少投标人义务；</w:t>
      </w:r>
    </w:p>
    <w:p>
      <w:pPr>
        <w:numPr>
          <w:ilvl w:val="0"/>
          <w:numId w:val="5"/>
        </w:numPr>
        <w:spacing w:line="380" w:lineRule="exact"/>
        <w:rPr>
          <w:rFonts w:hint="eastAsia" w:ascii="黑体" w:eastAsia="黑体"/>
          <w:b/>
          <w:sz w:val="24"/>
          <w:szCs w:val="24"/>
          <w:highlight w:val="none"/>
        </w:rPr>
      </w:pPr>
      <w:r>
        <w:rPr>
          <w:rFonts w:hint="eastAsia" w:ascii="黑体" w:eastAsia="黑体"/>
          <w:b/>
          <w:sz w:val="24"/>
          <w:szCs w:val="24"/>
          <w:highlight w:val="none"/>
        </w:rPr>
        <w:t>投标人未提出不同的工程验收、计量、支付办法；</w:t>
      </w:r>
    </w:p>
    <w:p>
      <w:pPr>
        <w:numPr>
          <w:ilvl w:val="0"/>
          <w:numId w:val="5"/>
        </w:numPr>
        <w:spacing w:line="380" w:lineRule="exact"/>
        <w:rPr>
          <w:rFonts w:hint="eastAsia" w:ascii="黑体" w:eastAsia="黑体"/>
          <w:b/>
          <w:sz w:val="24"/>
          <w:szCs w:val="24"/>
          <w:highlight w:val="none"/>
        </w:rPr>
      </w:pPr>
      <w:r>
        <w:rPr>
          <w:rFonts w:hint="eastAsia" w:ascii="黑体" w:eastAsia="黑体"/>
          <w:b/>
          <w:sz w:val="24"/>
          <w:szCs w:val="24"/>
          <w:highlight w:val="none"/>
        </w:rPr>
        <w:t>投标人对合同纠纷、事故处理办法未提出异议；</w:t>
      </w:r>
    </w:p>
    <w:p>
      <w:pPr>
        <w:numPr>
          <w:ilvl w:val="0"/>
          <w:numId w:val="5"/>
        </w:numPr>
        <w:spacing w:line="380" w:lineRule="exact"/>
        <w:rPr>
          <w:rFonts w:hint="eastAsia" w:ascii="黑体" w:eastAsia="黑体"/>
          <w:b/>
          <w:sz w:val="24"/>
          <w:szCs w:val="24"/>
          <w:highlight w:val="none"/>
        </w:rPr>
      </w:pPr>
      <w:r>
        <w:rPr>
          <w:rFonts w:hint="eastAsia" w:ascii="黑体" w:eastAsia="黑体"/>
          <w:b/>
          <w:sz w:val="24"/>
          <w:szCs w:val="24"/>
          <w:highlight w:val="none"/>
        </w:rPr>
        <w:t>投标人在投标活动中无欺诈行为；</w:t>
      </w:r>
    </w:p>
    <w:p>
      <w:pPr>
        <w:numPr>
          <w:ilvl w:val="0"/>
          <w:numId w:val="5"/>
        </w:numPr>
        <w:spacing w:line="380" w:lineRule="exact"/>
        <w:rPr>
          <w:rFonts w:hint="eastAsia" w:ascii="黑体" w:eastAsia="黑体"/>
          <w:b/>
          <w:sz w:val="24"/>
          <w:szCs w:val="24"/>
          <w:highlight w:val="none"/>
        </w:rPr>
      </w:pPr>
      <w:r>
        <w:rPr>
          <w:rFonts w:hint="eastAsia" w:ascii="黑体" w:eastAsia="黑体"/>
          <w:b/>
          <w:sz w:val="24"/>
          <w:szCs w:val="24"/>
          <w:highlight w:val="none"/>
        </w:rPr>
        <w:t>投标人未对合同条款有重要保留。</w:t>
      </w:r>
    </w:p>
    <w:p>
      <w:pPr>
        <w:pStyle w:val="2"/>
        <w:spacing w:before="120" w:beforeLines="50" w:after="0" w:line="400" w:lineRule="exact"/>
        <w:rPr>
          <w:rFonts w:ascii="宋体" w:hAnsi="宋体"/>
          <w:sz w:val="24"/>
          <w:szCs w:val="24"/>
          <w:highlight w:val="none"/>
        </w:rPr>
      </w:pPr>
      <w:r>
        <w:rPr>
          <w:rFonts w:ascii="宋体" w:hAnsi="宋体"/>
          <w:sz w:val="24"/>
          <w:szCs w:val="24"/>
          <w:highlight w:val="none"/>
        </w:rPr>
        <w:t xml:space="preserve">2.2 </w:t>
      </w:r>
      <w:r>
        <w:rPr>
          <w:rFonts w:hint="eastAsia" w:ascii="宋体" w:hAnsi="宋体"/>
          <w:sz w:val="24"/>
          <w:szCs w:val="24"/>
          <w:highlight w:val="none"/>
        </w:rPr>
        <w:t>分值构成与评分标准</w:t>
      </w:r>
    </w:p>
    <w:p>
      <w:pPr>
        <w:spacing w:line="400" w:lineRule="exact"/>
        <w:ind w:firstLine="480" w:firstLineChars="200"/>
        <w:rPr>
          <w:rFonts w:hint="eastAsia" w:ascii="宋体" w:hAnsi="宋体"/>
          <w:sz w:val="24"/>
          <w:highlight w:val="none"/>
        </w:rPr>
      </w:pPr>
      <w:r>
        <w:rPr>
          <w:rFonts w:hint="eastAsia" w:ascii="宋体" w:hAnsi="宋体"/>
          <w:sz w:val="24"/>
          <w:highlight w:val="none"/>
        </w:rPr>
        <w:t>2.2.1 分值构成</w:t>
      </w:r>
    </w:p>
    <w:p>
      <w:pPr>
        <w:spacing w:line="400" w:lineRule="exact"/>
        <w:ind w:firstLine="480" w:firstLineChars="200"/>
        <w:rPr>
          <w:rFonts w:hint="eastAsia" w:ascii="宋体" w:hAnsi="宋体"/>
          <w:sz w:val="24"/>
          <w:highlight w:val="none"/>
        </w:rPr>
      </w:pPr>
      <w:r>
        <w:rPr>
          <w:rFonts w:hint="eastAsia" w:ascii="宋体" w:hAnsi="宋体"/>
          <w:sz w:val="24"/>
          <w:highlight w:val="none"/>
        </w:rPr>
        <w:t>（1）施工组织设计：</w:t>
      </w:r>
      <w:r>
        <w:rPr>
          <w:rFonts w:hint="eastAsia" w:ascii="黑体" w:eastAsia="黑体"/>
          <w:sz w:val="24"/>
          <w:szCs w:val="24"/>
          <w:highlight w:val="none"/>
          <w:u w:val="single"/>
        </w:rPr>
        <w:t xml:space="preserve">   0   </w:t>
      </w:r>
      <w:r>
        <w:rPr>
          <w:rFonts w:hint="eastAsia" w:ascii="黑体" w:eastAsia="黑体"/>
          <w:sz w:val="24"/>
          <w:szCs w:val="24"/>
          <w:highlight w:val="none"/>
        </w:rPr>
        <w:t>分</w:t>
      </w:r>
      <w:r>
        <w:rPr>
          <w:rFonts w:hint="eastAsia" w:ascii="宋体" w:hAnsi="宋体"/>
          <w:sz w:val="24"/>
          <w:highlight w:val="none"/>
        </w:rPr>
        <w:t>；</w:t>
      </w:r>
    </w:p>
    <w:p>
      <w:pPr>
        <w:spacing w:line="400" w:lineRule="exact"/>
        <w:ind w:firstLine="480" w:firstLineChars="200"/>
        <w:rPr>
          <w:rFonts w:hint="eastAsia" w:ascii="宋体" w:hAnsi="宋体"/>
          <w:sz w:val="24"/>
          <w:highlight w:val="none"/>
        </w:rPr>
      </w:pPr>
      <w:r>
        <w:rPr>
          <w:rFonts w:hint="eastAsia" w:ascii="宋体" w:hAnsi="宋体"/>
          <w:sz w:val="24"/>
          <w:highlight w:val="none"/>
        </w:rPr>
        <w:t>（2）项目管理机构：</w:t>
      </w:r>
      <w:r>
        <w:rPr>
          <w:rFonts w:hint="eastAsia" w:ascii="黑体" w:eastAsia="黑体"/>
          <w:sz w:val="24"/>
          <w:szCs w:val="24"/>
          <w:highlight w:val="none"/>
          <w:u w:val="single"/>
        </w:rPr>
        <w:t xml:space="preserve">   0   </w:t>
      </w:r>
      <w:r>
        <w:rPr>
          <w:rFonts w:hint="eastAsia" w:ascii="黑体" w:eastAsia="黑体"/>
          <w:sz w:val="24"/>
          <w:szCs w:val="24"/>
          <w:highlight w:val="none"/>
        </w:rPr>
        <w:t>分</w:t>
      </w:r>
      <w:r>
        <w:rPr>
          <w:rFonts w:hint="eastAsia" w:ascii="宋体" w:hAnsi="宋体"/>
          <w:sz w:val="24"/>
          <w:highlight w:val="none"/>
        </w:rPr>
        <w:t>；</w:t>
      </w:r>
    </w:p>
    <w:p>
      <w:pPr>
        <w:spacing w:line="400" w:lineRule="exact"/>
        <w:ind w:firstLine="480" w:firstLineChars="200"/>
        <w:rPr>
          <w:rFonts w:hint="eastAsia" w:ascii="宋体" w:hAnsi="宋体"/>
          <w:sz w:val="24"/>
          <w:highlight w:val="none"/>
        </w:rPr>
      </w:pPr>
      <w:r>
        <w:rPr>
          <w:rFonts w:hint="eastAsia" w:ascii="宋体" w:hAnsi="宋体"/>
          <w:sz w:val="24"/>
          <w:highlight w:val="none"/>
        </w:rPr>
        <w:t>（3）投标报价：</w:t>
      </w:r>
      <w:r>
        <w:rPr>
          <w:rFonts w:hint="eastAsia" w:ascii="黑体" w:eastAsia="黑体"/>
          <w:sz w:val="24"/>
          <w:szCs w:val="24"/>
          <w:highlight w:val="none"/>
          <w:u w:val="single"/>
        </w:rPr>
        <w:t xml:space="preserve">   99   </w:t>
      </w:r>
      <w:r>
        <w:rPr>
          <w:rFonts w:hint="eastAsia" w:ascii="黑体" w:eastAsia="黑体"/>
          <w:sz w:val="24"/>
          <w:szCs w:val="24"/>
          <w:highlight w:val="none"/>
        </w:rPr>
        <w:t>分</w:t>
      </w:r>
      <w:r>
        <w:rPr>
          <w:rFonts w:hint="eastAsia" w:ascii="宋体" w:hAnsi="宋体"/>
          <w:sz w:val="24"/>
          <w:highlight w:val="none"/>
        </w:rPr>
        <w:t>；</w:t>
      </w:r>
    </w:p>
    <w:p>
      <w:pPr>
        <w:spacing w:line="400" w:lineRule="exact"/>
        <w:ind w:firstLine="480" w:firstLineChars="200"/>
        <w:rPr>
          <w:rFonts w:hint="eastAsia" w:ascii="宋体" w:hAnsi="宋体"/>
          <w:sz w:val="24"/>
          <w:highlight w:val="none"/>
        </w:rPr>
      </w:pPr>
      <w:r>
        <w:rPr>
          <w:rFonts w:hint="eastAsia" w:ascii="宋体" w:hAnsi="宋体"/>
          <w:sz w:val="24"/>
          <w:highlight w:val="none"/>
        </w:rPr>
        <w:t>（4）其他评分因素：</w:t>
      </w:r>
      <w:r>
        <w:rPr>
          <w:rFonts w:hint="eastAsia" w:ascii="黑体" w:eastAsia="黑体"/>
          <w:b/>
          <w:sz w:val="24"/>
          <w:szCs w:val="24"/>
          <w:highlight w:val="none"/>
        </w:rPr>
        <w:t>信用评价：</w:t>
      </w:r>
      <w:r>
        <w:rPr>
          <w:rFonts w:hint="eastAsia" w:ascii="黑体" w:eastAsia="黑体"/>
          <w:b/>
          <w:sz w:val="24"/>
          <w:szCs w:val="24"/>
          <w:highlight w:val="none"/>
          <w:u w:val="single"/>
        </w:rPr>
        <w:t>1</w:t>
      </w:r>
      <w:r>
        <w:rPr>
          <w:rFonts w:hint="eastAsia" w:ascii="黑体" w:eastAsia="黑体"/>
          <w:b/>
          <w:sz w:val="24"/>
          <w:szCs w:val="24"/>
          <w:highlight w:val="none"/>
        </w:rPr>
        <w:t>分</w:t>
      </w:r>
    </w:p>
    <w:p>
      <w:pPr>
        <w:spacing w:line="400" w:lineRule="exact"/>
        <w:ind w:firstLine="480" w:firstLineChars="200"/>
        <w:rPr>
          <w:rFonts w:hint="eastAsia" w:ascii="宋体" w:hAnsi="宋体"/>
          <w:sz w:val="24"/>
          <w:highlight w:val="none"/>
        </w:rPr>
      </w:pPr>
      <w:r>
        <w:rPr>
          <w:rFonts w:hint="eastAsia" w:ascii="宋体" w:hAnsi="宋体"/>
          <w:sz w:val="24"/>
          <w:highlight w:val="none"/>
        </w:rPr>
        <w:t>2.2.2评标基准价计算</w:t>
      </w:r>
    </w:p>
    <w:p>
      <w:pPr>
        <w:spacing w:line="440" w:lineRule="exact"/>
        <w:rPr>
          <w:rFonts w:hint="eastAsia" w:ascii="黑体" w:hAnsi="宋体" w:eastAsia="黑体"/>
          <w:sz w:val="24"/>
          <w:szCs w:val="24"/>
          <w:highlight w:val="none"/>
        </w:rPr>
      </w:pPr>
      <w:r>
        <w:rPr>
          <w:rFonts w:hint="eastAsia" w:ascii="宋体" w:hAnsi="宋体"/>
          <w:sz w:val="24"/>
          <w:highlight w:val="none"/>
        </w:rPr>
        <w:t>评标基准价计算方法：</w:t>
      </w:r>
      <w:r>
        <w:rPr>
          <w:rFonts w:hint="eastAsia" w:ascii="黑体" w:hAnsi="宋体" w:eastAsia="黑体"/>
          <w:sz w:val="24"/>
          <w:szCs w:val="24"/>
          <w:highlight w:val="none"/>
        </w:rPr>
        <w:t xml:space="preserve"> </w:t>
      </w:r>
    </w:p>
    <w:p>
      <w:pPr>
        <w:spacing w:line="400" w:lineRule="exact"/>
        <w:rPr>
          <w:rFonts w:hint="eastAsia" w:ascii="黑体" w:hAnsi="宋体" w:eastAsia="黑体"/>
          <w:b/>
          <w:sz w:val="24"/>
          <w:szCs w:val="24"/>
          <w:highlight w:val="none"/>
        </w:rPr>
      </w:pPr>
      <w:r>
        <w:rPr>
          <w:rFonts w:hint="eastAsia" w:ascii="黑体" w:hAnsi="宋体" w:eastAsia="黑体"/>
          <w:b/>
          <w:sz w:val="24"/>
          <w:szCs w:val="24"/>
          <w:highlight w:val="none"/>
        </w:rPr>
        <w:t>在开标现场，招标人将当场计算并宣布评标基准价。</w:t>
      </w:r>
    </w:p>
    <w:p>
      <w:pPr>
        <w:spacing w:line="400" w:lineRule="exact"/>
        <w:rPr>
          <w:rFonts w:hint="eastAsia" w:ascii="黑体" w:hAnsi="宋体" w:eastAsia="黑体"/>
          <w:b/>
          <w:sz w:val="24"/>
          <w:szCs w:val="24"/>
          <w:highlight w:val="none"/>
        </w:rPr>
      </w:pPr>
      <w:r>
        <w:rPr>
          <w:rFonts w:hint="eastAsia" w:ascii="黑体" w:hAnsi="宋体" w:eastAsia="黑体"/>
          <w:b/>
          <w:sz w:val="24"/>
          <w:szCs w:val="24"/>
          <w:highlight w:val="none"/>
        </w:rPr>
        <w:t>(1)评标价的确定：评标价=投标函文字报价</w:t>
      </w:r>
    </w:p>
    <w:p>
      <w:pPr>
        <w:spacing w:line="400" w:lineRule="exact"/>
        <w:rPr>
          <w:rFonts w:hint="eastAsia" w:ascii="黑体" w:hAnsi="宋体" w:eastAsia="黑体"/>
          <w:b/>
          <w:sz w:val="24"/>
          <w:szCs w:val="24"/>
          <w:highlight w:val="none"/>
        </w:rPr>
      </w:pPr>
      <w:r>
        <w:rPr>
          <w:rFonts w:hint="eastAsia" w:ascii="黑体" w:hAnsi="宋体" w:eastAsia="黑体"/>
          <w:b/>
          <w:sz w:val="24"/>
          <w:szCs w:val="24"/>
          <w:highlight w:val="none"/>
        </w:rPr>
        <w:t>(2) 理论成本价的确定:</w:t>
      </w:r>
    </w:p>
    <w:p>
      <w:pPr>
        <w:snapToGrid w:val="0"/>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理论成本价＝（招标人最高限价×60％＋未</w:t>
      </w:r>
      <w:r>
        <w:rPr>
          <w:rFonts w:hint="eastAsia" w:ascii="黑体" w:eastAsia="黑体"/>
          <w:b/>
          <w:sz w:val="24"/>
          <w:szCs w:val="24"/>
          <w:highlight w:val="none"/>
        </w:rPr>
        <w:t>被当场宣布废标的</w:t>
      </w:r>
      <w:r>
        <w:rPr>
          <w:rFonts w:hint="eastAsia" w:ascii="黑体" w:hAnsi="宋体" w:eastAsia="黑体"/>
          <w:b/>
          <w:sz w:val="24"/>
          <w:szCs w:val="24"/>
          <w:highlight w:val="none"/>
        </w:rPr>
        <w:t>所有投标人评标价（或去掉一个最高和一个最低值）的算术平均值×40％）×0.88</w:t>
      </w:r>
      <w:r>
        <w:rPr>
          <w:rFonts w:hint="eastAsia" w:ascii="黑体" w:eastAsia="黑体"/>
          <w:b/>
          <w:kern w:val="0"/>
          <w:sz w:val="24"/>
          <w:szCs w:val="24"/>
          <w:highlight w:val="none"/>
        </w:rPr>
        <w:t>（如果参与理论成本价平均值计算的有效投标人少于5家时，则计算理论成本价平均值时不去掉最高值和最低值）</w:t>
      </w:r>
    </w:p>
    <w:p>
      <w:pPr>
        <w:spacing w:line="400" w:lineRule="exact"/>
        <w:rPr>
          <w:rFonts w:hint="eastAsia" w:ascii="黑体" w:hAnsi="宋体" w:eastAsia="黑体"/>
          <w:b/>
          <w:sz w:val="24"/>
          <w:szCs w:val="24"/>
          <w:highlight w:val="none"/>
        </w:rPr>
      </w:pPr>
      <w:r>
        <w:rPr>
          <w:rFonts w:hint="eastAsia" w:ascii="黑体" w:hAnsi="宋体" w:eastAsia="黑体"/>
          <w:b/>
          <w:sz w:val="24"/>
          <w:szCs w:val="24"/>
          <w:highlight w:val="none"/>
        </w:rPr>
        <w:t>(3)评标价平均值的计算:</w:t>
      </w:r>
    </w:p>
    <w:p>
      <w:pPr>
        <w:spacing w:line="400" w:lineRule="exact"/>
        <w:rPr>
          <w:rFonts w:hint="eastAsia" w:ascii="黑体" w:eastAsia="黑体"/>
          <w:b/>
          <w:sz w:val="24"/>
          <w:szCs w:val="24"/>
          <w:highlight w:val="none"/>
        </w:rPr>
      </w:pPr>
      <w:r>
        <w:rPr>
          <w:rFonts w:hint="eastAsia" w:ascii="黑体" w:eastAsia="黑体"/>
          <w:b/>
          <w:sz w:val="24"/>
          <w:szCs w:val="24"/>
          <w:highlight w:val="none"/>
        </w:rPr>
        <w:t>除按第二章“投标人须知”第5.2.5项规定开标现场不进入评标基准价的计算的投标报价之外，所有投标人的评标价去掉一个最高值和一个最低值后的算术平均值</w:t>
      </w:r>
      <w:r>
        <w:rPr>
          <w:rFonts w:hint="eastAsia" w:ascii="黑体" w:eastAsia="黑体"/>
          <w:b/>
          <w:kern w:val="0"/>
          <w:sz w:val="24"/>
          <w:szCs w:val="24"/>
          <w:highlight w:val="none"/>
        </w:rPr>
        <w:t>（如果参与评标价平均值计算的有效投标人少于5家时，则计算评标价平均值时不去掉最高值和最低值）</w:t>
      </w:r>
      <w:r>
        <w:rPr>
          <w:rFonts w:hint="eastAsia" w:ascii="黑体" w:eastAsia="黑体"/>
          <w:b/>
          <w:sz w:val="24"/>
          <w:szCs w:val="24"/>
          <w:highlight w:val="none"/>
        </w:rPr>
        <w:t>即为评标价平均值。</w:t>
      </w:r>
    </w:p>
    <w:p>
      <w:pPr>
        <w:spacing w:line="400" w:lineRule="exact"/>
        <w:rPr>
          <w:rFonts w:hint="eastAsia" w:ascii="黑体" w:hAnsi="宋体" w:eastAsia="黑体"/>
          <w:b/>
          <w:sz w:val="24"/>
          <w:szCs w:val="24"/>
          <w:highlight w:val="none"/>
        </w:rPr>
      </w:pPr>
      <w:r>
        <w:rPr>
          <w:rFonts w:hint="eastAsia" w:ascii="黑体" w:hAnsi="宋体" w:eastAsia="黑体"/>
          <w:b/>
          <w:sz w:val="24"/>
          <w:szCs w:val="24"/>
          <w:highlight w:val="none"/>
        </w:rPr>
        <w:t>(4)评标基准价的确定:</w:t>
      </w:r>
    </w:p>
    <w:p>
      <w:pPr>
        <w:spacing w:line="400" w:lineRule="exact"/>
        <w:ind w:firstLine="472" w:firstLineChars="196"/>
        <w:rPr>
          <w:rFonts w:hint="eastAsia" w:ascii="黑体" w:hAnsi="宋体" w:eastAsia="黑体"/>
          <w:b/>
          <w:sz w:val="24"/>
          <w:szCs w:val="24"/>
          <w:highlight w:val="none"/>
        </w:rPr>
      </w:pPr>
      <w:r>
        <w:rPr>
          <w:rFonts w:hint="eastAsia" w:ascii="黑体" w:hAnsi="宋体" w:eastAsia="黑体"/>
          <w:b/>
          <w:sz w:val="24"/>
          <w:szCs w:val="24"/>
          <w:highlight w:val="none"/>
        </w:rPr>
        <w:t>评标基准价=（招标人最高限价×0.5+评标价平均值×0.5）×（1-下浮系数）</w:t>
      </w:r>
    </w:p>
    <w:p>
      <w:pPr>
        <w:snapToGrid w:val="0"/>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下浮系数将从1%、2%、3%、4%、5%五值中并在开标时随机抽取。</w:t>
      </w:r>
    </w:p>
    <w:p>
      <w:pPr>
        <w:spacing w:line="400" w:lineRule="exact"/>
        <w:ind w:firstLine="482" w:firstLineChars="200"/>
        <w:rPr>
          <w:rFonts w:hint="eastAsia" w:ascii="宋体" w:hAnsi="宋体"/>
          <w:b/>
          <w:sz w:val="24"/>
          <w:highlight w:val="none"/>
        </w:rPr>
      </w:pPr>
      <w:r>
        <w:rPr>
          <w:rFonts w:hint="eastAsia" w:ascii="黑体" w:hAnsi="宋体" w:eastAsia="黑体"/>
          <w:b/>
          <w:sz w:val="24"/>
          <w:szCs w:val="24"/>
          <w:highlight w:val="none"/>
        </w:rPr>
        <w:t>如果投标人认为某一标段的评标基准价计算有误， 有权在开标现场提出， 经监标人当场核实确认之后， 可重新宣布评标基准价。确认后的评标基准价在整个评标期间保持不变，不随通过初步评审和详细评审的投标人的数量发生变化。</w:t>
      </w:r>
    </w:p>
    <w:p>
      <w:pPr>
        <w:spacing w:line="400" w:lineRule="exact"/>
        <w:ind w:firstLine="480" w:firstLineChars="200"/>
        <w:rPr>
          <w:rFonts w:hint="eastAsia" w:ascii="宋体" w:hAnsi="宋体"/>
          <w:sz w:val="24"/>
          <w:highlight w:val="none"/>
        </w:rPr>
      </w:pPr>
      <w:r>
        <w:rPr>
          <w:rFonts w:hint="eastAsia" w:ascii="宋体" w:hAnsi="宋体"/>
          <w:sz w:val="24"/>
          <w:highlight w:val="none"/>
        </w:rPr>
        <w:t>2.2.3投标报价的偏差率计算</w:t>
      </w:r>
    </w:p>
    <w:p>
      <w:pPr>
        <w:spacing w:line="400" w:lineRule="exact"/>
        <w:ind w:firstLine="480" w:firstLineChars="200"/>
        <w:rPr>
          <w:rFonts w:hint="eastAsia" w:ascii="宋体" w:hAnsi="宋体"/>
          <w:sz w:val="24"/>
          <w:highlight w:val="none"/>
        </w:rPr>
      </w:pPr>
      <w:r>
        <w:rPr>
          <w:rFonts w:hint="eastAsia" w:ascii="宋体" w:hAnsi="宋体"/>
          <w:sz w:val="24"/>
          <w:highlight w:val="none"/>
        </w:rPr>
        <w:t>投标报价的偏差率计算公式：</w:t>
      </w:r>
    </w:p>
    <w:p>
      <w:pPr>
        <w:spacing w:line="400" w:lineRule="exact"/>
        <w:ind w:firstLine="482" w:firstLineChars="200"/>
        <w:rPr>
          <w:rFonts w:hint="eastAsia" w:ascii="宋体" w:hAnsi="宋体"/>
          <w:b/>
          <w:sz w:val="24"/>
          <w:highlight w:val="none"/>
        </w:rPr>
      </w:pPr>
      <w:r>
        <w:rPr>
          <w:rFonts w:hint="eastAsia" w:ascii="黑体" w:hAnsi="宋体" w:eastAsia="黑体"/>
          <w:b/>
          <w:sz w:val="24"/>
          <w:szCs w:val="24"/>
          <w:highlight w:val="none"/>
        </w:rPr>
        <w:t>偏差率=100%×（投标人评标价－评标基准价）/评标基准价</w:t>
      </w:r>
      <w:r>
        <w:rPr>
          <w:rFonts w:hint="eastAsia" w:ascii="宋体" w:hAnsi="宋体"/>
          <w:b/>
          <w:sz w:val="24"/>
          <w:highlight w:val="none"/>
        </w:rPr>
        <w:t>。</w:t>
      </w:r>
    </w:p>
    <w:p>
      <w:pPr>
        <w:spacing w:line="400" w:lineRule="exact"/>
        <w:ind w:firstLine="480" w:firstLineChars="200"/>
        <w:rPr>
          <w:rFonts w:hint="eastAsia" w:ascii="宋体" w:hAnsi="宋体"/>
          <w:sz w:val="24"/>
          <w:highlight w:val="none"/>
        </w:rPr>
      </w:pPr>
      <w:r>
        <w:rPr>
          <w:rFonts w:hint="eastAsia" w:ascii="宋体" w:hAnsi="宋体"/>
          <w:sz w:val="24"/>
          <w:highlight w:val="none"/>
        </w:rPr>
        <w:t>2.2.4评分标准</w:t>
      </w:r>
    </w:p>
    <w:p>
      <w:pPr>
        <w:spacing w:line="400" w:lineRule="exact"/>
        <w:ind w:firstLine="480" w:firstLineChars="200"/>
        <w:rPr>
          <w:rFonts w:hint="eastAsia" w:ascii="宋体" w:hAnsi="宋体"/>
          <w:sz w:val="24"/>
          <w:highlight w:val="none"/>
        </w:rPr>
      </w:pPr>
      <w:r>
        <w:rPr>
          <w:rFonts w:hint="eastAsia" w:ascii="宋体" w:hAnsi="宋体"/>
          <w:sz w:val="24"/>
          <w:highlight w:val="none"/>
        </w:rPr>
        <w:t>（1）施工组织设计评分标准：</w:t>
      </w:r>
      <w:r>
        <w:rPr>
          <w:rFonts w:hint="eastAsia" w:ascii="黑体" w:hAnsi="宋体" w:eastAsia="黑体"/>
          <w:b/>
          <w:sz w:val="24"/>
          <w:szCs w:val="24"/>
          <w:highlight w:val="none"/>
        </w:rPr>
        <w:t>0</w:t>
      </w:r>
      <w:r>
        <w:rPr>
          <w:rFonts w:hint="eastAsia" w:ascii="宋体" w:hAnsi="宋体"/>
          <w:sz w:val="24"/>
          <w:highlight w:val="none"/>
        </w:rPr>
        <w:t>分；</w:t>
      </w:r>
    </w:p>
    <w:p>
      <w:pPr>
        <w:spacing w:line="400" w:lineRule="exact"/>
        <w:ind w:firstLine="480" w:firstLineChars="200"/>
        <w:rPr>
          <w:rFonts w:hint="eastAsia" w:ascii="宋体" w:hAnsi="宋体"/>
          <w:sz w:val="24"/>
          <w:highlight w:val="none"/>
        </w:rPr>
      </w:pPr>
      <w:r>
        <w:rPr>
          <w:rFonts w:hint="eastAsia" w:ascii="宋体" w:hAnsi="宋体"/>
          <w:sz w:val="24"/>
          <w:highlight w:val="none"/>
        </w:rPr>
        <w:t>（2）项目管理机构评分标准：</w:t>
      </w:r>
      <w:r>
        <w:rPr>
          <w:rFonts w:hint="eastAsia" w:ascii="黑体" w:hAnsi="宋体" w:eastAsia="黑体"/>
          <w:b/>
          <w:sz w:val="24"/>
          <w:szCs w:val="24"/>
          <w:highlight w:val="none"/>
        </w:rPr>
        <w:t>0</w:t>
      </w:r>
      <w:r>
        <w:rPr>
          <w:rFonts w:hint="eastAsia" w:ascii="宋体" w:hAnsi="宋体"/>
          <w:sz w:val="24"/>
          <w:highlight w:val="none"/>
        </w:rPr>
        <w:t>分；</w:t>
      </w:r>
    </w:p>
    <w:p>
      <w:pPr>
        <w:spacing w:line="400" w:lineRule="exact"/>
        <w:ind w:firstLine="480" w:firstLineChars="200"/>
        <w:rPr>
          <w:rFonts w:hint="eastAsia" w:ascii="黑体" w:hAnsi="宋体" w:eastAsia="黑体"/>
          <w:sz w:val="24"/>
          <w:szCs w:val="24"/>
          <w:highlight w:val="none"/>
        </w:rPr>
      </w:pPr>
      <w:r>
        <w:rPr>
          <w:rFonts w:hint="eastAsia" w:ascii="宋体" w:hAnsi="宋体"/>
          <w:sz w:val="24"/>
          <w:highlight w:val="none"/>
        </w:rPr>
        <w:t>（3）投标报价评分标准：</w:t>
      </w:r>
      <w:r>
        <w:rPr>
          <w:rFonts w:hint="eastAsia" w:ascii="黑体" w:hAnsi="宋体" w:eastAsia="黑体"/>
          <w:b/>
          <w:sz w:val="24"/>
          <w:szCs w:val="24"/>
          <w:highlight w:val="none"/>
        </w:rPr>
        <w:t>99</w:t>
      </w:r>
      <w:r>
        <w:rPr>
          <w:rFonts w:hint="eastAsia" w:ascii="黑体" w:hAnsi="宋体" w:eastAsia="黑体"/>
          <w:sz w:val="24"/>
          <w:szCs w:val="24"/>
          <w:highlight w:val="none"/>
        </w:rPr>
        <w:t>分</w:t>
      </w:r>
    </w:p>
    <w:p>
      <w:pPr>
        <w:spacing w:line="400" w:lineRule="exact"/>
        <w:rPr>
          <w:rFonts w:hint="eastAsia" w:ascii="黑体" w:hAnsi="宋体" w:eastAsia="黑体"/>
          <w:b/>
          <w:sz w:val="24"/>
          <w:szCs w:val="24"/>
          <w:highlight w:val="none"/>
        </w:rPr>
      </w:pPr>
      <w:r>
        <w:rPr>
          <w:rFonts w:hint="eastAsia" w:ascii="黑体" w:hAnsi="宋体" w:eastAsia="黑体"/>
          <w:b/>
          <w:sz w:val="24"/>
          <w:szCs w:val="24"/>
          <w:highlight w:val="none"/>
        </w:rPr>
        <w:t>评标价得分计算公式：</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（1）如果投标人的评标价＞评标基准价，则评标价得分=99-偏差率×100×E1；</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（2）如果投标人的评标价≤评标基准价，则评标价得分=99+偏差率×100×E2（</w:t>
      </w:r>
      <w:r>
        <w:rPr>
          <w:rFonts w:hint="eastAsia" w:ascii="黑体" w:eastAsia="黑体"/>
          <w:b/>
          <w:sz w:val="24"/>
          <w:szCs w:val="24"/>
          <w:highlight w:val="none"/>
        </w:rPr>
        <w:t>低于理论成本价的投标报价计算评标价得分</w:t>
      </w:r>
      <w:r>
        <w:rPr>
          <w:rFonts w:hint="eastAsia" w:ascii="黑体" w:hAnsi="宋体" w:eastAsia="黑体"/>
          <w:b/>
          <w:sz w:val="24"/>
          <w:szCs w:val="24"/>
          <w:highlight w:val="none"/>
        </w:rPr>
        <w:t>）；</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其中：</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E1是评标价每高于评标基准价一个百分点的扣分值，E1=2；</w:t>
      </w:r>
    </w:p>
    <w:p>
      <w:pPr>
        <w:spacing w:line="400" w:lineRule="exact"/>
        <w:ind w:left="113" w:right="113" w:firstLine="241" w:firstLineChars="100"/>
        <w:rPr>
          <w:rFonts w:hint="eastAsia" w:ascii="黑体" w:hAnsi="宋体" w:eastAsia="黑体"/>
          <w:b/>
          <w:sz w:val="24"/>
          <w:szCs w:val="24"/>
          <w:highlight w:val="none"/>
        </w:rPr>
      </w:pPr>
      <w:r>
        <w:rPr>
          <w:rFonts w:hint="eastAsia" w:ascii="黑体" w:hAnsi="宋体" w:eastAsia="黑体"/>
          <w:b/>
          <w:sz w:val="24"/>
          <w:szCs w:val="24"/>
          <w:highlight w:val="none"/>
        </w:rPr>
        <w:t xml:space="preserve">E2是评标价每低于评标基准价一个百分点的扣分值，E2=1。  </w:t>
      </w:r>
    </w:p>
    <w:p>
      <w:pPr>
        <w:spacing w:line="400" w:lineRule="exact"/>
        <w:ind w:left="113" w:right="113" w:firstLine="240" w:firstLineChars="100"/>
        <w:rPr>
          <w:rFonts w:hint="eastAsia" w:ascii="黑体" w:hAnsi="宋体" w:eastAsia="黑体"/>
          <w:b/>
          <w:sz w:val="24"/>
          <w:highlight w:val="none"/>
        </w:rPr>
      </w:pPr>
      <w:r>
        <w:rPr>
          <w:rFonts w:hint="eastAsia" w:ascii="宋体" w:hAnsi="宋体"/>
          <w:sz w:val="24"/>
          <w:highlight w:val="none"/>
        </w:rPr>
        <w:t>（4）其他因素评分标准：</w:t>
      </w:r>
      <w:r>
        <w:rPr>
          <w:rFonts w:hint="eastAsia" w:ascii="黑体" w:hAnsi="宋体" w:eastAsia="黑体"/>
          <w:sz w:val="24"/>
          <w:highlight w:val="none"/>
        </w:rPr>
        <w:t>1分</w:t>
      </w:r>
    </w:p>
    <w:p>
      <w:pPr>
        <w:spacing w:line="400" w:lineRule="exact"/>
        <w:ind w:left="113" w:right="113" w:firstLine="241" w:firstLineChars="100"/>
        <w:jc w:val="center"/>
        <w:rPr>
          <w:rFonts w:hint="eastAsia" w:ascii="黑体" w:hAnsi="宋体" w:eastAsia="黑体"/>
          <w:b/>
          <w:sz w:val="24"/>
          <w:highlight w:val="none"/>
        </w:rPr>
      </w:pPr>
      <w:r>
        <w:rPr>
          <w:rFonts w:hint="eastAsia" w:ascii="黑体" w:hAnsi="宋体" w:eastAsia="黑体"/>
          <w:b/>
          <w:sz w:val="24"/>
          <w:highlight w:val="none"/>
        </w:rPr>
        <w:t>信用等级评分表</w:t>
      </w:r>
    </w:p>
    <w:tbl>
      <w:tblPr>
        <w:tblStyle w:val="11"/>
        <w:tblW w:w="7827" w:type="dxa"/>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757"/>
        <w:gridCol w:w="191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2101" w:type="dxa"/>
            <w:vAlign w:val="center"/>
          </w:tcPr>
          <w:p>
            <w:pPr>
              <w:pStyle w:val="7"/>
              <w:spacing w:line="400" w:lineRule="exact"/>
              <w:ind w:left="723" w:hanging="723" w:hangingChars="300"/>
              <w:rPr>
                <w:rFonts w:hint="eastAsia" w:ascii="黑体" w:eastAsia="黑体" w:cs="Times New Roman"/>
                <w:b/>
                <w:kern w:val="2"/>
                <w:szCs w:val="20"/>
                <w:highlight w:val="none"/>
              </w:rPr>
            </w:pPr>
            <w:r>
              <w:rPr>
                <w:rFonts w:hint="eastAsia" w:ascii="黑体" w:eastAsia="黑体" w:cs="Times New Roman"/>
                <w:b/>
                <w:kern w:val="2"/>
                <w:szCs w:val="20"/>
                <w:highlight w:val="none"/>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106045</wp:posOffset>
                      </wp:positionV>
                      <wp:extent cx="926465" cy="1034415"/>
                      <wp:effectExtent l="3810" t="3175" r="3175" b="10160"/>
                      <wp:wrapNone/>
                      <wp:docPr id="1" name="Line 7"/>
                      <wp:cNvGraphicFramePr/>
                      <a:graphic xmlns:a="http://schemas.openxmlformats.org/drawingml/2006/main">
                        <a:graphicData uri="http://schemas.microsoft.com/office/word/2010/wordprocessingShape">
                          <wps:wsp>
                            <wps:cNvSpPr/>
                            <wps:spPr>
                              <a:xfrm>
                                <a:off x="0" y="0"/>
                                <a:ext cx="926465" cy="1034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 o:spid="_x0000_s1026" o:spt="20" style="position:absolute;left:0pt;margin-left:-3.35pt;margin-top:8.35pt;height:81.45pt;width:72.95pt;z-index:251661312;mso-width-relative:page;mso-height-relative:page;" filled="f" stroked="t" coordsize="21600,21600" o:gfxdata="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MD2Ml1gAAAAkBAAAPAAAAAAAAAAEAIAAAACIAAABkcnMvZG93bnJldi54&#10;bWxQSwECFAAUAAAACACHTuJAYOUk5cMBAACQAwAADgAAAAAAAAABACAAAAAlAQAAZHJzL2Uyb0Rv&#10;Yy54bWxQSwUGAAAAAAYABgBZAQAAWgUAAAAA&#10;">
                      <v:fill on="f" focussize="0,0"/>
                      <v:stroke color="#000000" joinstyle="round"/>
                      <v:imagedata o:title=""/>
                      <o:lock v:ext="edit" aspectratio="f"/>
                    </v:line>
                  </w:pict>
                </mc:Fallback>
              </mc:AlternateContent>
            </w:r>
            <w:r>
              <w:rPr>
                <w:rFonts w:hint="eastAsia" w:ascii="黑体" w:eastAsia="黑体" w:cs="Times New Roman"/>
                <w:b/>
                <w:kern w:val="2"/>
                <w:szCs w:val="20"/>
                <w:highlight w:val="none"/>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6350</wp:posOffset>
                      </wp:positionV>
                      <wp:extent cx="1311275" cy="445135"/>
                      <wp:effectExtent l="1270" t="4445" r="1905" b="7620"/>
                      <wp:wrapNone/>
                      <wp:docPr id="2" name="Line 6"/>
                      <wp:cNvGraphicFramePr/>
                      <a:graphic xmlns:a="http://schemas.openxmlformats.org/drawingml/2006/main">
                        <a:graphicData uri="http://schemas.microsoft.com/office/word/2010/wordprocessingShape">
                          <wps:wsp>
                            <wps:cNvSpPr/>
                            <wps:spPr>
                              <a:xfrm>
                                <a:off x="0" y="0"/>
                                <a:ext cx="1311275" cy="445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3.65pt;margin-top:0.5pt;height:35.05pt;width:103.25pt;z-index:251660288;mso-width-relative:page;mso-height-relative:page;" filled="f" stroked="t" coordsize="21600,21600" o:gfxdata="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57UMtYAAAAHAQAADwAAAAAAAAABACAAAAAiAAAAZHJzL2Rvd25yZXYu&#10;eG1sUEsBAhQAFAAAAAgAh07iQG7koRPEAQAAkAMAAA4AAAAAAAAAAQAgAAAAJQEAAGRycy9lMm9E&#10;b2MueG1sUEsFBgAAAAAGAAYAWQEAAFsFAAAAAA==&#10;">
                      <v:fill on="f" focussize="0,0"/>
                      <v:stroke color="#000000" joinstyle="round"/>
                      <v:imagedata o:title=""/>
                      <o:lock v:ext="edit" aspectratio="f"/>
                    </v:line>
                  </w:pict>
                </mc:Fallback>
              </mc:AlternateContent>
            </w:r>
            <w:r>
              <w:rPr>
                <w:rFonts w:hint="eastAsia" w:ascii="黑体" w:eastAsia="黑体" w:cs="Times New Roman"/>
                <w:b/>
                <w:kern w:val="2"/>
                <w:szCs w:val="20"/>
                <w:highlight w:val="none"/>
              </w:rPr>
              <mc:AlternateContent>
                <mc:Choice Requires="wps">
                  <w:drawing>
                    <wp:anchor distT="0" distB="0" distL="114300" distR="114300" simplePos="0" relativeHeight="251659264" behindDoc="0" locked="0" layoutInCell="1" allowOverlap="1">
                      <wp:simplePos x="0" y="0"/>
                      <wp:positionH relativeFrom="column">
                        <wp:posOffset>1520825</wp:posOffset>
                      </wp:positionH>
                      <wp:positionV relativeFrom="paragraph">
                        <wp:posOffset>43180</wp:posOffset>
                      </wp:positionV>
                      <wp:extent cx="160655" cy="166370"/>
                      <wp:effectExtent l="0" t="0" r="0" b="0"/>
                      <wp:wrapNone/>
                      <wp:docPr id="3" name="__TH_B1127"/>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w="9525">
                                <a:noFill/>
                              </a:ln>
                            </wps:spPr>
                            <wps:txbx>
                              <w:txbxContent>
                                <w:p/>
                              </w:txbxContent>
                            </wps:txbx>
                            <wps:bodyPr wrap="square" upright="1"/>
                          </wps:wsp>
                        </a:graphicData>
                      </a:graphic>
                    </wp:anchor>
                  </w:drawing>
                </mc:Choice>
                <mc:Fallback>
                  <w:pict>
                    <v:shape id="__TH_B1127" o:spid="_x0000_s1026" o:spt="202" type="#_x0000_t202" style="position:absolute;left:0pt;margin-left:119.75pt;margin-top:3.4pt;height:13.1pt;width:12.65pt;z-index:251659264;mso-width-relative:page;mso-height-relative:page;" filled="f" stroked="f" coordsize="21600,21600" o:gfxdata="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YKH6NYAAAAIAQAADwAAAAAAAAABACAAAAAiAAAA&#10;ZHJzL2Rvd25yZXYueG1sUEsBAhQAFAAAAAgAh07iQH+kkm6XAQAAFQMAAA4AAAAAAAAAAQAgAAAA&#10;JQEAAGRycy9lMm9Eb2MueG1sUEsFBgAAAAAGAAYAWQEAAC4FAAAAAA==&#10;">
                      <v:fill on="f" focussize="0,0"/>
                      <v:stroke on="f"/>
                      <v:imagedata o:title=""/>
                      <o:lock v:ext="edit" aspectratio="f"/>
                      <v:textbox>
                        <w:txbxContent>
                          <w:p/>
                        </w:txbxContent>
                      </v:textbox>
                    </v:shape>
                  </w:pict>
                </mc:Fallback>
              </mc:AlternateContent>
            </w:r>
            <w:r>
              <w:rPr>
                <w:rFonts w:hint="eastAsia" w:ascii="黑体" w:eastAsia="黑体" w:cs="Times New Roman"/>
                <w:b/>
                <w:kern w:val="2"/>
                <w:szCs w:val="20"/>
                <w:highlight w:val="none"/>
              </w:rPr>
              <w:t xml:space="preserve">        年度</w:t>
            </w:r>
          </w:p>
          <w:p>
            <w:pPr>
              <w:pStyle w:val="7"/>
              <w:spacing w:line="400" w:lineRule="exact"/>
              <w:ind w:left="964" w:hanging="964" w:hangingChars="400"/>
              <w:rPr>
                <w:rFonts w:hint="eastAsia" w:ascii="黑体" w:eastAsia="黑体" w:cs="Times New Roman"/>
                <w:b/>
                <w:kern w:val="2"/>
                <w:szCs w:val="20"/>
                <w:highlight w:val="none"/>
              </w:rPr>
            </w:pPr>
            <w:r>
              <w:rPr>
                <w:rFonts w:hint="eastAsia" w:ascii="黑体" w:eastAsia="黑体" w:cs="Times New Roman"/>
                <w:b/>
                <w:kern w:val="2"/>
                <w:szCs w:val="20"/>
                <w:highlight w:val="none"/>
              </w:rPr>
              <w:t xml:space="preserve">       得分</w:t>
            </w:r>
          </w:p>
          <w:p>
            <w:pPr>
              <w:pStyle w:val="7"/>
              <w:spacing w:line="400" w:lineRule="exact"/>
              <w:ind w:left="964" w:hanging="964" w:hangingChars="400"/>
              <w:rPr>
                <w:rFonts w:hint="eastAsia" w:ascii="黑体" w:eastAsia="黑体" w:cs="Times New Roman"/>
                <w:b/>
                <w:kern w:val="2"/>
                <w:szCs w:val="20"/>
                <w:highlight w:val="none"/>
              </w:rPr>
            </w:pPr>
            <w:r>
              <w:rPr>
                <w:rFonts w:hint="eastAsia" w:ascii="黑体" w:eastAsia="黑体" w:cs="Times New Roman"/>
                <w:b/>
                <w:kern w:val="2"/>
                <w:szCs w:val="20"/>
                <w:highlight w:val="none"/>
              </w:rPr>
              <w:t>信用等级</w:t>
            </w:r>
          </w:p>
        </w:tc>
        <w:tc>
          <w:tcPr>
            <w:tcW w:w="1757" w:type="dxa"/>
            <w:vAlign w:val="center"/>
          </w:tcPr>
          <w:p>
            <w:pPr>
              <w:pStyle w:val="7"/>
              <w:spacing w:line="400" w:lineRule="exact"/>
              <w:ind w:left="482" w:hanging="482"/>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最近第一年</w:t>
            </w:r>
          </w:p>
        </w:tc>
        <w:tc>
          <w:tcPr>
            <w:tcW w:w="1914" w:type="dxa"/>
            <w:vAlign w:val="center"/>
          </w:tcPr>
          <w:p>
            <w:pPr>
              <w:pStyle w:val="7"/>
              <w:spacing w:line="400" w:lineRule="exact"/>
              <w:ind w:left="482" w:hanging="482"/>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最近第二年</w:t>
            </w:r>
          </w:p>
        </w:tc>
        <w:tc>
          <w:tcPr>
            <w:tcW w:w="2055" w:type="dxa"/>
            <w:vAlign w:val="center"/>
          </w:tcPr>
          <w:p>
            <w:pPr>
              <w:pStyle w:val="7"/>
              <w:spacing w:line="400" w:lineRule="exact"/>
              <w:ind w:left="482" w:hanging="482"/>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最近第三年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AA</w:t>
            </w:r>
          </w:p>
        </w:tc>
        <w:tc>
          <w:tcPr>
            <w:tcW w:w="1757"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0.5</w:t>
            </w:r>
          </w:p>
        </w:tc>
        <w:tc>
          <w:tcPr>
            <w:tcW w:w="1914"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0.3</w:t>
            </w:r>
          </w:p>
        </w:tc>
        <w:tc>
          <w:tcPr>
            <w:tcW w:w="2055"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A</w:t>
            </w:r>
          </w:p>
        </w:tc>
        <w:tc>
          <w:tcPr>
            <w:tcW w:w="1757"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0.3</w:t>
            </w:r>
          </w:p>
        </w:tc>
        <w:tc>
          <w:tcPr>
            <w:tcW w:w="1914"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0.2</w:t>
            </w:r>
          </w:p>
        </w:tc>
        <w:tc>
          <w:tcPr>
            <w:tcW w:w="2055"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101" w:type="dxa"/>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B、C</w:t>
            </w:r>
          </w:p>
        </w:tc>
        <w:tc>
          <w:tcPr>
            <w:tcW w:w="5726" w:type="dxa"/>
            <w:gridSpan w:val="3"/>
            <w:vAlign w:val="center"/>
          </w:tcPr>
          <w:p>
            <w:pPr>
              <w:pStyle w:val="7"/>
              <w:spacing w:line="400" w:lineRule="exact"/>
              <w:jc w:val="center"/>
              <w:rPr>
                <w:rFonts w:hint="eastAsia" w:ascii="黑体" w:eastAsia="黑体" w:cs="Times New Roman"/>
                <w:b/>
                <w:kern w:val="2"/>
                <w:szCs w:val="20"/>
                <w:highlight w:val="none"/>
              </w:rPr>
            </w:pPr>
            <w:r>
              <w:rPr>
                <w:rFonts w:hint="eastAsia" w:ascii="黑体" w:eastAsia="黑体" w:cs="Times New Roman"/>
                <w:b/>
                <w:kern w:val="2"/>
                <w:szCs w:val="20"/>
                <w:highlight w:val="none"/>
              </w:rPr>
              <w:t>0</w:t>
            </w:r>
          </w:p>
        </w:tc>
      </w:tr>
    </w:tbl>
    <w:p>
      <w:pPr>
        <w:spacing w:line="400" w:lineRule="exact"/>
        <w:ind w:firstLine="482" w:firstLineChars="200"/>
        <w:rPr>
          <w:rFonts w:hint="eastAsia" w:ascii="宋体" w:hAnsi="宋体"/>
          <w:b/>
          <w:sz w:val="24"/>
          <w:highlight w:val="none"/>
        </w:rPr>
      </w:pPr>
      <w:r>
        <w:rPr>
          <w:rFonts w:hint="eastAsia" w:ascii="黑体" w:hAnsi="宋体" w:eastAsia="黑体"/>
          <w:b/>
          <w:sz w:val="24"/>
          <w:highlight w:val="none"/>
        </w:rPr>
        <w:t>注：信用等级以湖南省交通运输厅发布的公路工程施工企业信用评价结果为准，信用评价得分为湖南省交通运输厅发布的某一施工企业最近3年信用等级得分之和。当年在我省发布的公路工程施工企业信用评价结果中无信用评价等级的，其当年的信用评价得分按上一年度发布的公路工程施工企业信用评价结果的信用等级结果进行评分；上一年度发布的公路工程施工企业信用评价结果也没有信用等级结果的，其当年的信用评价得分按0分计。</w:t>
      </w:r>
    </w:p>
    <w:p>
      <w:pPr>
        <w:pStyle w:val="2"/>
        <w:spacing w:before="120" w:beforeLines="50" w:after="0" w:line="400" w:lineRule="exact"/>
        <w:jc w:val="left"/>
        <w:rPr>
          <w:rFonts w:ascii="宋体" w:hAnsi="宋体"/>
          <w:sz w:val="24"/>
          <w:szCs w:val="24"/>
          <w:highlight w:val="none"/>
        </w:rPr>
      </w:pPr>
      <w:r>
        <w:rPr>
          <w:rFonts w:ascii="宋体" w:hAnsi="宋体"/>
          <w:sz w:val="24"/>
          <w:szCs w:val="24"/>
          <w:highlight w:val="none"/>
        </w:rPr>
        <w:t>3. 评标程序</w:t>
      </w:r>
    </w:p>
    <w:p>
      <w:pPr>
        <w:pStyle w:val="2"/>
        <w:spacing w:before="0" w:after="0" w:line="400" w:lineRule="exact"/>
        <w:jc w:val="left"/>
        <w:rPr>
          <w:rFonts w:ascii="宋体" w:hAnsi="宋体"/>
          <w:sz w:val="24"/>
          <w:szCs w:val="24"/>
          <w:highlight w:val="none"/>
        </w:rPr>
      </w:pPr>
      <w:r>
        <w:rPr>
          <w:rFonts w:ascii="宋体" w:hAnsi="宋体"/>
          <w:sz w:val="24"/>
          <w:szCs w:val="24"/>
          <w:highlight w:val="none"/>
        </w:rPr>
        <w:t>3.1 初步评审</w:t>
      </w:r>
    </w:p>
    <w:p>
      <w:pPr>
        <w:spacing w:line="400" w:lineRule="exact"/>
        <w:ind w:firstLine="480" w:firstLineChars="200"/>
        <w:rPr>
          <w:rFonts w:ascii="宋体" w:hAnsi="宋体"/>
          <w:sz w:val="24"/>
          <w:highlight w:val="none"/>
        </w:rPr>
      </w:pPr>
      <w:r>
        <w:rPr>
          <w:rFonts w:ascii="宋体" w:hAnsi="宋体"/>
          <w:sz w:val="24"/>
          <w:highlight w:val="none"/>
        </w:rPr>
        <w:t>3.1.1 评标委员会可以要求投标人提交第二章“投标人须知”第3.5.1项至第3.5.5项规定的有关证明和证件的原件，以便核验。评标委员会依据本章第2.1款规定的标准对投标文件进行初步评审。有一项不符合评审标准的，作废标处理。（适用于未进行资格预审的）</w:t>
      </w:r>
    </w:p>
    <w:p>
      <w:pPr>
        <w:spacing w:line="400" w:lineRule="exact"/>
        <w:ind w:firstLine="480" w:firstLineChars="200"/>
        <w:rPr>
          <w:rFonts w:ascii="宋体" w:hAnsi="宋体"/>
          <w:sz w:val="24"/>
          <w:highlight w:val="none"/>
        </w:rPr>
      </w:pPr>
      <w:r>
        <w:rPr>
          <w:rFonts w:ascii="宋体" w:hAnsi="宋体"/>
          <w:sz w:val="24"/>
          <w:highlight w:val="none"/>
        </w:rPr>
        <w:t>3.1.1 评标委员会依据本章第2.1.1项、第2.1.3项规定的标准对投标文件进行初步评审。有一项不符合评审标准的，作废标处理。当投标人资格预审申请文件的内容发生重大变化时，评标委员会依据本章第2.1.2项规定的标准对其更新资料进行评审。（适用于已进行资格预审的）</w:t>
      </w:r>
    </w:p>
    <w:p>
      <w:pPr>
        <w:spacing w:line="400" w:lineRule="exact"/>
        <w:ind w:firstLine="480" w:firstLineChars="200"/>
        <w:rPr>
          <w:rFonts w:ascii="宋体" w:hAnsi="宋体"/>
          <w:sz w:val="24"/>
          <w:highlight w:val="none"/>
        </w:rPr>
      </w:pPr>
      <w:r>
        <w:rPr>
          <w:rFonts w:ascii="宋体" w:hAnsi="宋体"/>
          <w:sz w:val="24"/>
          <w:highlight w:val="none"/>
        </w:rPr>
        <w:t>3.1.2  投标人有以下情形之一的，其投标作废标处理：</w:t>
      </w:r>
    </w:p>
    <w:p>
      <w:pPr>
        <w:spacing w:line="400" w:lineRule="exact"/>
        <w:ind w:firstLine="480" w:firstLineChars="200"/>
        <w:rPr>
          <w:rFonts w:ascii="宋体" w:hAnsi="宋体"/>
          <w:sz w:val="24"/>
          <w:highlight w:val="none"/>
        </w:rPr>
      </w:pPr>
      <w:r>
        <w:rPr>
          <w:rFonts w:ascii="宋体" w:hAnsi="宋体"/>
          <w:sz w:val="24"/>
          <w:highlight w:val="none"/>
        </w:rPr>
        <w:t>（1）第二章“投标人须知”第 1.4.3 项规定的任何一种情形的；</w:t>
      </w:r>
    </w:p>
    <w:p>
      <w:pPr>
        <w:spacing w:line="400" w:lineRule="exact"/>
        <w:ind w:firstLine="480" w:firstLineChars="200"/>
        <w:rPr>
          <w:rFonts w:hint="eastAsia" w:ascii="宋体" w:hAnsi="宋体"/>
          <w:sz w:val="24"/>
          <w:highlight w:val="none"/>
        </w:rPr>
      </w:pPr>
      <w:r>
        <w:rPr>
          <w:rFonts w:ascii="宋体" w:hAnsi="宋体"/>
          <w:sz w:val="24"/>
          <w:highlight w:val="none"/>
        </w:rPr>
        <w:t>（2）串通投标或弄虚作假或有其他违法行为的</w:t>
      </w:r>
      <w:r>
        <w:rPr>
          <w:rFonts w:hint="eastAsia" w:ascii="宋体" w:hAnsi="宋体"/>
          <w:sz w:val="24"/>
          <w:highlight w:val="none"/>
        </w:rPr>
        <w:t>：</w:t>
      </w:r>
    </w:p>
    <w:p>
      <w:pPr>
        <w:spacing w:line="400" w:lineRule="exact"/>
        <w:ind w:firstLine="480" w:firstLineChars="200"/>
        <w:rPr>
          <w:rFonts w:hint="eastAsia" w:ascii="黑体" w:hAnsi="宋体" w:eastAsia="黑体"/>
          <w:b/>
          <w:sz w:val="24"/>
          <w:szCs w:val="24"/>
          <w:highlight w:val="none"/>
        </w:rPr>
      </w:pPr>
      <w:r>
        <w:rPr>
          <w:rFonts w:hint="eastAsia" w:ascii="黑体" w:hAnsi="宋体" w:eastAsia="黑体"/>
          <w:sz w:val="24"/>
          <w:szCs w:val="24"/>
          <w:highlight w:val="none"/>
        </w:rPr>
        <w:t>a.</w:t>
      </w:r>
      <w:r>
        <w:rPr>
          <w:rFonts w:hint="eastAsia" w:ascii="黑体" w:hAnsi="宋体" w:eastAsia="黑体"/>
          <w:b/>
          <w:sz w:val="24"/>
          <w:szCs w:val="24"/>
          <w:highlight w:val="none"/>
        </w:rPr>
        <w:t>有下列情形之一的，属于投标人相互串通投标：</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①投标人之间协商投标报价等投标文件的实质性内容；</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②投标人之间约定中标人；</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③投标人之间约定部分投标人放弃投标或者中标；</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④属于同一集团、协会、商会等组织成员的投标人按照该组织要求协同投标；</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⑤投标人之间为谋取中标或者排斥特定投标人而采取的其他联合行动。</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b. 有下列情形之一的，视为投标人相互串通投标：</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①不同投标人的投标文件由同一单位或者个人编制；</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②不同投标人委托同一单位或者个人办理投标事宜；</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③不同投标人的投标文件载明的项目管理成员为同一人；</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④不同投标人的投标文件异常一致或者投标报价呈规律性差异；</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⑤不同投标人的投标文件相互混装；</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⑥不同投标人的投标保证金从同一单位或者个人的账户转出。</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c. 有下列情形之一的，属于招标人与投标人串通投标：</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①招标人在开标前开启投标文件并将有关信息泄露给其他投标人;</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②招标人直接或者间接向投标人泄露标底、评标委员会成员等信息；</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③招标人明示或者暗示投标人压低或者抬高投标报价；</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④招标人授意投标人撤换、修改投标文件；</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⑤招标人明示或者暗示投标人为特定投标人中标提供方便；</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⑥招标人与投标人为谋求特定投标人中标而采取的其他串通行为。</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d. 使用通过受让或者租借等方式获取的资格、资质证书投标的，属于招标投标法第三十三条规定的以他人名义投标。</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e. 投标人有下列情形之一的，属于招标投标法第三十三条规定的以其他方式弄虚作假的行为：</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①使用伪造、变造的许可证件；</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②提供虚假的财务状况或者业绩；</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③提供虚假的项目负责人或者主要技术人员简历、劳动关系证明；</w:t>
      </w:r>
    </w:p>
    <w:p>
      <w:pPr>
        <w:spacing w:line="400" w:lineRule="exact"/>
        <w:ind w:firstLine="482" w:firstLineChars="200"/>
        <w:rPr>
          <w:rFonts w:hint="eastAsia" w:ascii="黑体" w:hAnsi="宋体" w:eastAsia="黑体"/>
          <w:b/>
          <w:sz w:val="24"/>
          <w:szCs w:val="24"/>
          <w:highlight w:val="none"/>
        </w:rPr>
      </w:pPr>
      <w:r>
        <w:rPr>
          <w:rFonts w:hint="eastAsia" w:ascii="黑体" w:hAnsi="宋体" w:eastAsia="黑体"/>
          <w:b/>
          <w:sz w:val="24"/>
          <w:szCs w:val="24"/>
          <w:highlight w:val="none"/>
        </w:rPr>
        <w:t>④提供虚假的信用状况；</w:t>
      </w:r>
    </w:p>
    <w:p>
      <w:pPr>
        <w:spacing w:line="400" w:lineRule="exact"/>
        <w:ind w:firstLine="482" w:firstLineChars="200"/>
        <w:rPr>
          <w:rFonts w:ascii="宋体" w:hAnsi="宋体"/>
          <w:b/>
          <w:sz w:val="24"/>
          <w:highlight w:val="none"/>
        </w:rPr>
      </w:pPr>
      <w:r>
        <w:rPr>
          <w:rFonts w:hint="eastAsia" w:ascii="黑体" w:hAnsi="宋体" w:eastAsia="黑体"/>
          <w:b/>
          <w:sz w:val="24"/>
          <w:szCs w:val="24"/>
          <w:highlight w:val="none"/>
        </w:rPr>
        <w:t>⑤其他弄虚作假的行为。</w:t>
      </w:r>
    </w:p>
    <w:p>
      <w:pPr>
        <w:spacing w:line="400" w:lineRule="exact"/>
        <w:ind w:firstLine="480" w:firstLineChars="200"/>
        <w:rPr>
          <w:rFonts w:ascii="宋体" w:hAnsi="宋体"/>
          <w:sz w:val="24"/>
          <w:highlight w:val="none"/>
        </w:rPr>
      </w:pPr>
      <w:r>
        <w:rPr>
          <w:rFonts w:ascii="宋体" w:hAnsi="宋体"/>
          <w:sz w:val="24"/>
          <w:highlight w:val="none"/>
        </w:rPr>
        <w:t>（3）不按评标委员会要求澄清、说明或补正的。</w:t>
      </w:r>
    </w:p>
    <w:p>
      <w:pPr>
        <w:spacing w:line="400" w:lineRule="exact"/>
        <w:ind w:firstLine="480" w:firstLineChars="200"/>
        <w:rPr>
          <w:rFonts w:ascii="宋体" w:hAnsi="宋体"/>
          <w:sz w:val="24"/>
          <w:highlight w:val="none"/>
        </w:rPr>
      </w:pPr>
      <w:r>
        <w:rPr>
          <w:rFonts w:ascii="宋体" w:hAnsi="宋体"/>
          <w:sz w:val="24"/>
          <w:highlight w:val="none"/>
        </w:rPr>
        <w:t>3.1.3</w:t>
      </w:r>
      <w:r>
        <w:rPr>
          <w:rStyle w:val="10"/>
          <w:rFonts w:ascii="宋体" w:hAnsi="宋体"/>
          <w:sz w:val="24"/>
          <w:highlight w:val="none"/>
        </w:rPr>
        <w:footnoteReference w:id="4"/>
      </w:r>
      <w:r>
        <w:rPr>
          <w:rFonts w:ascii="宋体" w:hAnsi="宋体"/>
          <w:sz w:val="24"/>
          <w:highlight w:val="none"/>
        </w:rPr>
        <w:t xml:space="preserve">  投标报价有算术错误的，评标委员会按以下原则对投标报价进行修正，修正的价格经投标人书面确认后具有约束力。投标人不接受修正价格的，其投标作废标处理</w:t>
      </w:r>
      <w:r>
        <w:rPr>
          <w:rFonts w:hint="eastAsia" w:ascii="宋体" w:hAnsi="宋体"/>
          <w:sz w:val="24"/>
          <w:highlight w:val="none"/>
        </w:rPr>
        <w:t>，并没收其投标担保。</w:t>
      </w:r>
    </w:p>
    <w:p>
      <w:pPr>
        <w:spacing w:line="400" w:lineRule="exact"/>
        <w:ind w:firstLine="480" w:firstLineChars="200"/>
        <w:rPr>
          <w:rFonts w:ascii="宋体" w:hAnsi="宋体"/>
          <w:sz w:val="24"/>
          <w:highlight w:val="none"/>
        </w:rPr>
      </w:pPr>
      <w:r>
        <w:rPr>
          <w:rFonts w:ascii="宋体" w:hAnsi="宋体"/>
          <w:sz w:val="24"/>
          <w:highlight w:val="none"/>
        </w:rPr>
        <w:t>（1）投标文件中的大写金额与小写金额不一致的，以大写金额为准；</w:t>
      </w:r>
    </w:p>
    <w:p>
      <w:pPr>
        <w:spacing w:line="400" w:lineRule="exact"/>
        <w:ind w:firstLine="480" w:firstLineChars="200"/>
        <w:rPr>
          <w:rFonts w:hint="eastAsia" w:ascii="宋体" w:hAnsi="宋体"/>
          <w:sz w:val="24"/>
          <w:highlight w:val="none"/>
        </w:rPr>
      </w:pPr>
      <w:r>
        <w:rPr>
          <w:rFonts w:ascii="宋体" w:hAnsi="宋体"/>
          <w:sz w:val="24"/>
          <w:highlight w:val="none"/>
        </w:rPr>
        <w:t>（2）总价金额与依据单价计算出的结果不一致的，以单价金额为准修正总价，但单价金额小数点有明显错误的除外</w:t>
      </w:r>
      <w:r>
        <w:rPr>
          <w:rFonts w:hint="eastAsia" w:ascii="宋体" w:hAnsi="宋体"/>
          <w:sz w:val="24"/>
          <w:highlight w:val="none"/>
        </w:rPr>
        <w:t>；</w:t>
      </w:r>
    </w:p>
    <w:p>
      <w:pPr>
        <w:spacing w:line="400" w:lineRule="exact"/>
        <w:ind w:firstLine="480" w:firstLineChars="200"/>
        <w:rPr>
          <w:rFonts w:hint="eastAsia" w:ascii="宋体" w:hAnsi="宋体"/>
          <w:sz w:val="24"/>
          <w:highlight w:val="none"/>
        </w:rPr>
      </w:pPr>
      <w:r>
        <w:rPr>
          <w:rFonts w:hint="eastAsia" w:ascii="宋体" w:hAnsi="宋体"/>
          <w:sz w:val="24"/>
          <w:highlight w:val="none"/>
        </w:rPr>
        <w:t>（3）当单价与数量相乘不等于合价时，以单价计算为准，如果单价有明显的小数点位置差错，应以标出的合价为准，同时对单价予以修正；</w:t>
      </w:r>
    </w:p>
    <w:p>
      <w:pPr>
        <w:spacing w:line="400" w:lineRule="exact"/>
        <w:ind w:firstLine="480" w:firstLineChars="200"/>
        <w:rPr>
          <w:rFonts w:hint="eastAsia" w:ascii="宋体" w:hAnsi="宋体"/>
          <w:sz w:val="24"/>
          <w:highlight w:val="none"/>
        </w:rPr>
      </w:pPr>
      <w:r>
        <w:rPr>
          <w:rFonts w:hint="eastAsia" w:ascii="宋体" w:hAnsi="宋体"/>
          <w:sz w:val="24"/>
          <w:highlight w:val="none"/>
        </w:rPr>
        <w:t>（4）当各子目的合价累计不等于总价时，应以各子目合价累计数为准，修正总价。</w:t>
      </w:r>
    </w:p>
    <w:p>
      <w:pPr>
        <w:spacing w:line="400" w:lineRule="exact"/>
        <w:ind w:firstLine="480" w:firstLineChars="200"/>
        <w:rPr>
          <w:rFonts w:hint="eastAsia" w:ascii="宋体" w:hAnsi="宋体"/>
          <w:sz w:val="24"/>
          <w:highlight w:val="none"/>
        </w:rPr>
      </w:pPr>
      <w:r>
        <w:rPr>
          <w:rFonts w:hint="eastAsia" w:ascii="宋体" w:hAnsi="宋体"/>
          <w:sz w:val="24"/>
          <w:highlight w:val="none"/>
        </w:rPr>
        <w:t>3.1.4 工程量清单中的投标报价有其他错误的，评标委员会按以下原则对投标报价进行修正，修正的价格经投标人书面确认后具有约束力。投标人不接受修正价格的，其投标作废标处理，并没收其投标担保。</w:t>
      </w:r>
    </w:p>
    <w:p>
      <w:pPr>
        <w:spacing w:line="400" w:lineRule="exact"/>
        <w:ind w:firstLine="480" w:firstLineChars="200"/>
        <w:rPr>
          <w:rFonts w:hint="eastAsia" w:ascii="宋体" w:hAnsi="宋体"/>
          <w:sz w:val="24"/>
          <w:highlight w:val="none"/>
        </w:rPr>
      </w:pPr>
      <w:r>
        <w:rPr>
          <w:rFonts w:hint="eastAsia" w:ascii="宋体" w:hAnsi="宋体"/>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400" w:lineRule="exact"/>
        <w:ind w:firstLine="480" w:firstLineChars="200"/>
        <w:rPr>
          <w:rFonts w:hint="eastAsia" w:ascii="宋体" w:hAnsi="宋体"/>
          <w:sz w:val="24"/>
          <w:highlight w:val="none"/>
        </w:rPr>
      </w:pPr>
      <w:r>
        <w:rPr>
          <w:rFonts w:hint="eastAsia" w:ascii="宋体" w:hAnsi="宋体"/>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400" w:lineRule="exact"/>
        <w:ind w:firstLine="480" w:firstLineChars="200"/>
        <w:rPr>
          <w:rFonts w:hint="eastAsia" w:ascii="宋体" w:hAnsi="宋体"/>
          <w:sz w:val="24"/>
          <w:highlight w:val="none"/>
        </w:rPr>
      </w:pPr>
      <w:r>
        <w:rPr>
          <w:rFonts w:hint="eastAsia" w:ascii="宋体" w:hAnsi="宋体"/>
          <w:sz w:val="24"/>
          <w:highlight w:val="none"/>
        </w:rPr>
        <w:t>（3）当单价与数量的乘积与合价（金额）虽然一致，但投标人修改了该子目的工程数量，则其合价按招标人给定的工程数量乘以投标人所报单价予以修正。</w:t>
      </w:r>
    </w:p>
    <w:p>
      <w:pPr>
        <w:spacing w:line="400" w:lineRule="exact"/>
        <w:ind w:firstLine="480" w:firstLineChars="200"/>
        <w:rPr>
          <w:rFonts w:hint="eastAsia" w:ascii="宋体" w:hAnsi="宋体"/>
          <w:sz w:val="24"/>
          <w:highlight w:val="none"/>
        </w:rPr>
      </w:pPr>
      <w:r>
        <w:rPr>
          <w:rFonts w:hint="eastAsia" w:ascii="宋体" w:hAnsi="宋体"/>
          <w:sz w:val="24"/>
          <w:highlight w:val="none"/>
        </w:rPr>
        <w:t>3.1.5 修正后的最终投标报价若超过投标控制价上限（如有），投标人的投标文件作废标处理。</w:t>
      </w:r>
    </w:p>
    <w:p>
      <w:pPr>
        <w:spacing w:line="400" w:lineRule="exact"/>
        <w:ind w:firstLine="480" w:firstLineChars="200"/>
        <w:rPr>
          <w:rFonts w:ascii="宋体" w:hAnsi="宋体"/>
          <w:sz w:val="24"/>
          <w:highlight w:val="none"/>
        </w:rPr>
      </w:pPr>
      <w:r>
        <w:rPr>
          <w:rFonts w:hint="eastAsia" w:ascii="宋体" w:hAnsi="宋体"/>
          <w:sz w:val="24"/>
          <w:highlight w:val="none"/>
        </w:rPr>
        <w:t>3.1.6 修正后的最终投标报价仅作为签订合同的一个依据，不参与评标价得分的计算。</w:t>
      </w:r>
    </w:p>
    <w:p>
      <w:pPr>
        <w:pStyle w:val="2"/>
        <w:spacing w:before="120" w:beforeLines="50" w:after="0" w:line="400" w:lineRule="exact"/>
        <w:jc w:val="both"/>
        <w:rPr>
          <w:rFonts w:ascii="宋体" w:hAnsi="宋体"/>
          <w:sz w:val="24"/>
          <w:szCs w:val="24"/>
          <w:highlight w:val="none"/>
        </w:rPr>
      </w:pPr>
      <w:r>
        <w:rPr>
          <w:rFonts w:ascii="宋体" w:hAnsi="宋体"/>
          <w:sz w:val="24"/>
          <w:szCs w:val="24"/>
          <w:highlight w:val="none"/>
        </w:rPr>
        <w:t>3.2  详细评审</w:t>
      </w:r>
    </w:p>
    <w:p>
      <w:pPr>
        <w:spacing w:line="400" w:lineRule="exact"/>
        <w:ind w:firstLine="480" w:firstLineChars="200"/>
        <w:rPr>
          <w:rFonts w:hint="eastAsia" w:ascii="宋体" w:hAnsi="宋体"/>
          <w:sz w:val="24"/>
          <w:highlight w:val="none"/>
        </w:rPr>
      </w:pPr>
      <w:r>
        <w:rPr>
          <w:rFonts w:hint="eastAsia" w:ascii="宋体" w:hAnsi="宋体"/>
          <w:sz w:val="24"/>
          <w:highlight w:val="none"/>
        </w:rPr>
        <w:t>3.2.1 评标委员会按本章第2.2款规定的量化因素和分值进行打分，并计算出综合评估得分。</w:t>
      </w:r>
    </w:p>
    <w:p>
      <w:pPr>
        <w:spacing w:line="400" w:lineRule="exact"/>
        <w:ind w:firstLine="480" w:firstLineChars="200"/>
        <w:rPr>
          <w:rFonts w:hint="eastAsia" w:ascii="宋体" w:hAnsi="宋体"/>
          <w:sz w:val="24"/>
          <w:highlight w:val="none"/>
        </w:rPr>
      </w:pPr>
      <w:r>
        <w:rPr>
          <w:rFonts w:hint="eastAsia" w:ascii="宋体" w:hAnsi="宋体"/>
          <w:sz w:val="24"/>
          <w:highlight w:val="none"/>
        </w:rPr>
        <w:t>（1）按本章第2.2.4（1）目规定的评审因素和分值对施工组织设计计算出得分A；</w:t>
      </w:r>
    </w:p>
    <w:p>
      <w:pPr>
        <w:spacing w:line="400" w:lineRule="exact"/>
        <w:ind w:firstLine="480" w:firstLineChars="200"/>
        <w:rPr>
          <w:rFonts w:hint="eastAsia" w:ascii="宋体" w:hAnsi="宋体"/>
          <w:sz w:val="24"/>
          <w:highlight w:val="none"/>
        </w:rPr>
      </w:pPr>
      <w:r>
        <w:rPr>
          <w:rFonts w:hint="eastAsia" w:ascii="宋体" w:hAnsi="宋体"/>
          <w:sz w:val="24"/>
          <w:highlight w:val="none"/>
        </w:rPr>
        <w:t>（2）按本章第2.2.4（2）目规定的评审因素和分值对项目管理机构计算出得分B；</w:t>
      </w:r>
    </w:p>
    <w:p>
      <w:pPr>
        <w:spacing w:line="400" w:lineRule="exact"/>
        <w:ind w:firstLine="480" w:firstLineChars="200"/>
        <w:rPr>
          <w:rFonts w:hint="eastAsia" w:ascii="宋体" w:hAnsi="宋体"/>
          <w:sz w:val="24"/>
          <w:highlight w:val="none"/>
        </w:rPr>
      </w:pPr>
      <w:r>
        <w:rPr>
          <w:rFonts w:hint="eastAsia" w:ascii="宋体" w:hAnsi="宋体"/>
          <w:sz w:val="24"/>
          <w:highlight w:val="none"/>
        </w:rPr>
        <w:t>（3）按本章第2.2.4（3）目规定的评审因素和分值对投标报价计算出得分C；</w:t>
      </w:r>
    </w:p>
    <w:p>
      <w:pPr>
        <w:spacing w:line="400" w:lineRule="exact"/>
        <w:ind w:firstLine="480" w:firstLineChars="200"/>
        <w:rPr>
          <w:rFonts w:hint="eastAsia" w:ascii="宋体" w:hAnsi="宋体"/>
          <w:sz w:val="24"/>
          <w:highlight w:val="none"/>
        </w:rPr>
      </w:pPr>
      <w:r>
        <w:rPr>
          <w:rFonts w:hint="eastAsia" w:ascii="宋体" w:hAnsi="宋体"/>
          <w:sz w:val="24"/>
          <w:highlight w:val="none"/>
        </w:rPr>
        <w:t>（4）按本章第2.2.4（4）目规定的评审因素和分值对其他部分计算出得分D。</w:t>
      </w:r>
    </w:p>
    <w:p>
      <w:pPr>
        <w:spacing w:line="400" w:lineRule="exact"/>
        <w:ind w:firstLine="482" w:firstLineChars="200"/>
        <w:rPr>
          <w:rFonts w:hint="eastAsia" w:ascii="黑体" w:hAnsi="黑体" w:eastAsia="黑体"/>
          <w:b/>
          <w:sz w:val="24"/>
          <w:szCs w:val="24"/>
          <w:highlight w:val="none"/>
        </w:rPr>
      </w:pPr>
      <w:r>
        <w:rPr>
          <w:rFonts w:hint="eastAsia" w:ascii="黑体" w:hAnsi="黑体" w:eastAsia="黑体"/>
          <w:b/>
          <w:sz w:val="24"/>
          <w:szCs w:val="24"/>
          <w:highlight w:val="none"/>
        </w:rPr>
        <w:t>3.2.2 评分分值计算保留小数点后三位，小数点后第四位“四舍五入”。</w:t>
      </w:r>
    </w:p>
    <w:p>
      <w:pPr>
        <w:spacing w:line="400" w:lineRule="exact"/>
        <w:ind w:firstLine="480" w:firstLineChars="200"/>
        <w:rPr>
          <w:rFonts w:hint="eastAsia" w:ascii="宋体" w:hAnsi="宋体"/>
          <w:sz w:val="24"/>
          <w:highlight w:val="none"/>
        </w:rPr>
      </w:pPr>
      <w:r>
        <w:rPr>
          <w:rFonts w:hint="eastAsia" w:ascii="宋体" w:hAnsi="宋体"/>
          <w:sz w:val="24"/>
          <w:highlight w:val="none"/>
        </w:rPr>
        <w:t>3.2.3 投标人得分=A+B+C+D。</w:t>
      </w:r>
    </w:p>
    <w:p>
      <w:pPr>
        <w:spacing w:line="400" w:lineRule="exact"/>
        <w:ind w:firstLine="482" w:firstLineChars="200"/>
        <w:rPr>
          <w:rFonts w:hint="eastAsia" w:ascii="宋体" w:hAnsi="宋体"/>
          <w:sz w:val="24"/>
          <w:highlight w:val="none"/>
        </w:rPr>
      </w:pPr>
      <w:r>
        <w:rPr>
          <w:rFonts w:hint="eastAsia" w:ascii="黑体" w:hAnsi="黑体" w:eastAsia="黑体"/>
          <w:b/>
          <w:sz w:val="24"/>
          <w:highlight w:val="none"/>
        </w:rPr>
        <w:t>3.2.4 评标委员会发现投标人的投标报价明显低于其他投标人报价或者在设有标底时明显低于其他投标人报价或者在设有标底时明显低于标底的，应当要求该投标人对相应投标报价作出书面说明，并提供相关证明材料。投标人不能证明可以按照其报价以及招标文件规定的质量标准和履行期限完成招标项目的，评标委员会应当认定该投标人以低于成本价竞标，并否决其投标。</w:t>
      </w:r>
    </w:p>
    <w:p>
      <w:pPr>
        <w:pStyle w:val="2"/>
        <w:spacing w:before="120" w:beforeLines="50" w:after="0" w:line="400" w:lineRule="exact"/>
        <w:jc w:val="both"/>
        <w:rPr>
          <w:rFonts w:ascii="宋体" w:hAnsi="宋体"/>
          <w:sz w:val="24"/>
          <w:szCs w:val="24"/>
          <w:highlight w:val="none"/>
        </w:rPr>
      </w:pPr>
      <w:r>
        <w:rPr>
          <w:rFonts w:ascii="宋体" w:hAnsi="宋体"/>
          <w:sz w:val="24"/>
          <w:szCs w:val="24"/>
          <w:highlight w:val="none"/>
        </w:rPr>
        <w:t>3.3  投标文件的澄清和补正</w:t>
      </w:r>
    </w:p>
    <w:p>
      <w:pPr>
        <w:spacing w:line="400" w:lineRule="exact"/>
        <w:ind w:firstLine="480" w:firstLineChars="200"/>
        <w:rPr>
          <w:rFonts w:hint="eastAsia" w:ascii="宋体" w:hAnsi="宋体"/>
          <w:sz w:val="24"/>
          <w:highlight w:val="none"/>
        </w:rPr>
      </w:pPr>
      <w:r>
        <w:rPr>
          <w:rFonts w:hint="eastAsia" w:ascii="宋体" w:hAnsi="宋体"/>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hint="eastAsia" w:ascii="宋体" w:hAnsi="宋体"/>
          <w:sz w:val="24"/>
          <w:highlight w:val="none"/>
        </w:rPr>
      </w:pPr>
      <w:r>
        <w:rPr>
          <w:rFonts w:hint="eastAsia" w:ascii="宋体" w:hAnsi="宋体"/>
          <w:sz w:val="24"/>
          <w:highlight w:val="none"/>
        </w:rPr>
        <w:t>3.3.2 澄清、说明和补正不得改变投标文件的实质性内容（算术性错误修正的除外）。投标人的书面澄清、说明和补正属于投标文件的组成部分。</w:t>
      </w:r>
    </w:p>
    <w:p>
      <w:pPr>
        <w:spacing w:line="400" w:lineRule="exact"/>
        <w:ind w:firstLine="480" w:firstLineChars="200"/>
        <w:rPr>
          <w:rFonts w:hint="eastAsia" w:ascii="宋体" w:hAnsi="宋体"/>
          <w:sz w:val="24"/>
          <w:highlight w:val="none"/>
        </w:rPr>
      </w:pPr>
      <w:r>
        <w:rPr>
          <w:rFonts w:hint="eastAsia" w:ascii="宋体" w:hAnsi="宋体"/>
          <w:sz w:val="24"/>
          <w:highlight w:val="none"/>
        </w:rPr>
        <w:t>3.3.3 评标委员会对投标人提交的澄清、说明或补正有疑问的，可以要求投标人进一步澄清、说明或补正，直至满足评标委员会的要求。</w:t>
      </w:r>
    </w:p>
    <w:p>
      <w:pPr>
        <w:spacing w:line="400" w:lineRule="exact"/>
        <w:ind w:firstLine="480" w:firstLineChars="200"/>
        <w:rPr>
          <w:rFonts w:hint="eastAsia" w:ascii="宋体" w:hAnsi="宋体"/>
          <w:sz w:val="24"/>
          <w:highlight w:val="none"/>
        </w:rPr>
      </w:pPr>
      <w:r>
        <w:rPr>
          <w:rFonts w:hint="eastAsia" w:ascii="宋体" w:hAnsi="宋体"/>
          <w:sz w:val="24"/>
          <w:highlight w:val="none"/>
        </w:rPr>
        <w:t>3.3.4 凡超出招标文件规定的或给发包人带来未曾要求的利益的变化、偏差或其他因素在评标时不予考虑。</w:t>
      </w:r>
    </w:p>
    <w:p>
      <w:pPr>
        <w:pStyle w:val="2"/>
        <w:spacing w:before="120" w:beforeLines="50" w:after="0" w:line="400" w:lineRule="exact"/>
        <w:jc w:val="both"/>
        <w:rPr>
          <w:rFonts w:ascii="宋体" w:hAnsi="宋体"/>
          <w:sz w:val="24"/>
          <w:szCs w:val="24"/>
          <w:highlight w:val="none"/>
        </w:rPr>
      </w:pPr>
      <w:r>
        <w:rPr>
          <w:rFonts w:ascii="宋体" w:hAnsi="宋体"/>
          <w:sz w:val="24"/>
          <w:szCs w:val="24"/>
          <w:highlight w:val="none"/>
        </w:rPr>
        <w:t>3.4  评标结果</w:t>
      </w:r>
    </w:p>
    <w:p>
      <w:pPr>
        <w:spacing w:line="400" w:lineRule="exact"/>
        <w:ind w:firstLine="480" w:firstLineChars="200"/>
        <w:rPr>
          <w:rFonts w:hint="eastAsia" w:ascii="宋体" w:hAnsi="宋体"/>
          <w:sz w:val="24"/>
          <w:highlight w:val="none"/>
        </w:rPr>
      </w:pPr>
      <w:r>
        <w:rPr>
          <w:rFonts w:hint="eastAsia" w:ascii="宋体" w:hAnsi="宋体"/>
          <w:sz w:val="24"/>
          <w:highlight w:val="none"/>
        </w:rPr>
        <w:t>3.4.1除第二章“投标人须知”前附表授权直接确定中标人外，评标委员会按照得分由高到低的顺序推荐中标候选人。</w:t>
      </w:r>
    </w:p>
    <w:p>
      <w:pPr>
        <w:ind w:firstLine="485" w:firstLineChars="202"/>
        <w:rPr>
          <w:rFonts w:ascii="黑体" w:hAnsi="黑体" w:eastAsia="黑体"/>
          <w:b/>
          <w:sz w:val="24"/>
          <w:highlight w:val="none"/>
        </w:rPr>
      </w:pPr>
      <w:r>
        <w:rPr>
          <w:rFonts w:hint="eastAsia" w:ascii="宋体" w:hAnsi="宋体"/>
          <w:sz w:val="24"/>
          <w:highlight w:val="none"/>
        </w:rPr>
        <w:t>3.4.2 评标委员会完成评标后，应当向招标人提交书面评标报告。</w:t>
      </w:r>
    </w:p>
    <w:p>
      <w:pPr>
        <w:ind w:firstLine="487" w:firstLineChars="202"/>
        <w:rPr>
          <w:rFonts w:ascii="黑体" w:hAnsi="黑体" w:eastAsia="黑体"/>
          <w:b/>
          <w:sz w:val="24"/>
          <w:highlight w:val="none"/>
        </w:rPr>
      </w:pPr>
      <w:r>
        <w:rPr>
          <w:rFonts w:ascii="黑体" w:hAnsi="黑体" w:eastAsia="黑体"/>
          <w:b/>
          <w:sz w:val="24"/>
          <w:highlight w:val="none"/>
        </w:rPr>
        <w:t>评标报告应当载明下列内容：</w:t>
      </w:r>
    </w:p>
    <w:p>
      <w:pPr>
        <w:ind w:firstLine="487" w:firstLineChars="202"/>
        <w:rPr>
          <w:rFonts w:ascii="黑体" w:hAnsi="黑体" w:eastAsia="黑体"/>
          <w:b/>
          <w:sz w:val="24"/>
          <w:highlight w:val="none"/>
        </w:rPr>
      </w:pPr>
      <w:r>
        <w:rPr>
          <w:rFonts w:ascii="黑体" w:hAnsi="黑体" w:eastAsia="黑体"/>
          <w:b/>
          <w:sz w:val="24"/>
          <w:highlight w:val="none"/>
        </w:rPr>
        <w:t>（一）招标项目基本情况；</w:t>
      </w:r>
    </w:p>
    <w:p>
      <w:pPr>
        <w:ind w:firstLine="487" w:firstLineChars="202"/>
        <w:rPr>
          <w:rFonts w:ascii="黑体" w:hAnsi="黑体" w:eastAsia="黑体"/>
          <w:b/>
          <w:sz w:val="24"/>
          <w:highlight w:val="none"/>
        </w:rPr>
      </w:pPr>
      <w:r>
        <w:rPr>
          <w:rFonts w:ascii="黑体" w:hAnsi="黑体" w:eastAsia="黑体"/>
          <w:b/>
          <w:sz w:val="24"/>
          <w:highlight w:val="none"/>
        </w:rPr>
        <w:t>（二）评标委员会成员名单；</w:t>
      </w:r>
    </w:p>
    <w:p>
      <w:pPr>
        <w:ind w:firstLine="487" w:firstLineChars="202"/>
        <w:rPr>
          <w:rFonts w:ascii="黑体" w:hAnsi="黑体" w:eastAsia="黑体"/>
          <w:b/>
          <w:sz w:val="24"/>
          <w:highlight w:val="none"/>
        </w:rPr>
      </w:pPr>
      <w:r>
        <w:rPr>
          <w:rFonts w:ascii="黑体" w:hAnsi="黑体" w:eastAsia="黑体"/>
          <w:b/>
          <w:sz w:val="24"/>
          <w:highlight w:val="none"/>
        </w:rPr>
        <w:t>（三）监督人员名单；</w:t>
      </w:r>
    </w:p>
    <w:p>
      <w:pPr>
        <w:ind w:firstLine="487" w:firstLineChars="202"/>
        <w:rPr>
          <w:rFonts w:ascii="黑体" w:hAnsi="黑体" w:eastAsia="黑体"/>
          <w:b/>
          <w:sz w:val="24"/>
          <w:highlight w:val="none"/>
        </w:rPr>
      </w:pPr>
      <w:r>
        <w:rPr>
          <w:rFonts w:ascii="黑体" w:hAnsi="黑体" w:eastAsia="黑体"/>
          <w:b/>
          <w:sz w:val="24"/>
          <w:highlight w:val="none"/>
        </w:rPr>
        <w:t>（四）开标记录；</w:t>
      </w:r>
    </w:p>
    <w:p>
      <w:pPr>
        <w:ind w:firstLine="487" w:firstLineChars="202"/>
        <w:rPr>
          <w:rFonts w:ascii="黑体" w:hAnsi="黑体" w:eastAsia="黑体"/>
          <w:b/>
          <w:sz w:val="24"/>
          <w:highlight w:val="none"/>
        </w:rPr>
      </w:pPr>
      <w:r>
        <w:rPr>
          <w:rFonts w:ascii="黑体" w:hAnsi="黑体" w:eastAsia="黑体"/>
          <w:b/>
          <w:sz w:val="24"/>
          <w:highlight w:val="none"/>
        </w:rPr>
        <w:t>（五）符合要求的投标人名单；</w:t>
      </w:r>
    </w:p>
    <w:p>
      <w:pPr>
        <w:ind w:firstLine="487" w:firstLineChars="202"/>
        <w:rPr>
          <w:rFonts w:ascii="黑体" w:hAnsi="黑体" w:eastAsia="黑体"/>
          <w:b/>
          <w:sz w:val="24"/>
          <w:highlight w:val="none"/>
        </w:rPr>
      </w:pPr>
      <w:r>
        <w:rPr>
          <w:rFonts w:ascii="黑体" w:hAnsi="黑体" w:eastAsia="黑体"/>
          <w:b/>
          <w:sz w:val="24"/>
          <w:highlight w:val="none"/>
        </w:rPr>
        <w:t>（六）否决的投标人名单以及否决理由；</w:t>
      </w:r>
    </w:p>
    <w:p>
      <w:pPr>
        <w:ind w:firstLine="487" w:firstLineChars="202"/>
        <w:rPr>
          <w:rFonts w:ascii="黑体" w:hAnsi="黑体" w:eastAsia="黑体"/>
          <w:b/>
          <w:sz w:val="24"/>
          <w:highlight w:val="none"/>
        </w:rPr>
      </w:pPr>
      <w:r>
        <w:rPr>
          <w:rFonts w:ascii="黑体" w:hAnsi="黑体" w:eastAsia="黑体"/>
          <w:b/>
          <w:sz w:val="24"/>
          <w:highlight w:val="none"/>
        </w:rPr>
        <w:t>（七）串通投标情形的评审情况说明；</w:t>
      </w:r>
    </w:p>
    <w:p>
      <w:pPr>
        <w:ind w:firstLine="487" w:firstLineChars="202"/>
        <w:rPr>
          <w:rFonts w:ascii="黑体" w:hAnsi="黑体" w:eastAsia="黑体"/>
          <w:b/>
          <w:sz w:val="24"/>
          <w:highlight w:val="none"/>
        </w:rPr>
      </w:pPr>
      <w:r>
        <w:rPr>
          <w:rFonts w:ascii="黑体" w:hAnsi="黑体" w:eastAsia="黑体"/>
          <w:b/>
          <w:sz w:val="24"/>
          <w:highlight w:val="none"/>
        </w:rPr>
        <w:t>（八）评分情况；</w:t>
      </w:r>
    </w:p>
    <w:p>
      <w:pPr>
        <w:ind w:firstLine="487" w:firstLineChars="202"/>
        <w:rPr>
          <w:rFonts w:ascii="黑体" w:hAnsi="黑体" w:eastAsia="黑体"/>
          <w:b/>
          <w:sz w:val="24"/>
          <w:highlight w:val="none"/>
        </w:rPr>
      </w:pPr>
      <w:r>
        <w:rPr>
          <w:rFonts w:ascii="黑体" w:hAnsi="黑体" w:eastAsia="黑体"/>
          <w:b/>
          <w:sz w:val="24"/>
          <w:highlight w:val="none"/>
        </w:rPr>
        <w:t>（九）经评审的投标人排序；</w:t>
      </w:r>
    </w:p>
    <w:p>
      <w:pPr>
        <w:ind w:firstLine="487" w:firstLineChars="202"/>
        <w:rPr>
          <w:rFonts w:ascii="黑体" w:hAnsi="黑体" w:eastAsia="黑体"/>
          <w:b/>
          <w:sz w:val="24"/>
          <w:highlight w:val="none"/>
        </w:rPr>
      </w:pPr>
      <w:r>
        <w:rPr>
          <w:rFonts w:ascii="黑体" w:hAnsi="黑体" w:eastAsia="黑体"/>
          <w:b/>
          <w:sz w:val="24"/>
          <w:highlight w:val="none"/>
        </w:rPr>
        <w:t>（十）中标候选人名单；</w:t>
      </w:r>
    </w:p>
    <w:p>
      <w:pPr>
        <w:ind w:firstLine="487" w:firstLineChars="202"/>
        <w:rPr>
          <w:rFonts w:ascii="黑体" w:hAnsi="黑体" w:eastAsia="黑体"/>
          <w:b/>
          <w:sz w:val="24"/>
          <w:highlight w:val="none"/>
        </w:rPr>
      </w:pPr>
      <w:r>
        <w:rPr>
          <w:rFonts w:ascii="黑体" w:hAnsi="黑体" w:eastAsia="黑体"/>
          <w:b/>
          <w:sz w:val="24"/>
          <w:highlight w:val="none"/>
        </w:rPr>
        <w:t>（十一）澄清、说明事项纪要；</w:t>
      </w:r>
    </w:p>
    <w:p>
      <w:pPr>
        <w:ind w:firstLine="487" w:firstLineChars="202"/>
        <w:rPr>
          <w:rFonts w:ascii="黑体" w:hAnsi="黑体" w:eastAsia="黑体"/>
          <w:b/>
          <w:sz w:val="24"/>
          <w:highlight w:val="none"/>
        </w:rPr>
      </w:pPr>
      <w:r>
        <w:rPr>
          <w:rFonts w:ascii="黑体" w:hAnsi="黑体" w:eastAsia="黑体"/>
          <w:b/>
          <w:sz w:val="24"/>
          <w:highlight w:val="none"/>
        </w:rPr>
        <w:t>（十二）需要说明的其他事项；</w:t>
      </w:r>
    </w:p>
    <w:p>
      <w:pPr>
        <w:ind w:firstLine="487" w:firstLineChars="202"/>
        <w:rPr>
          <w:rFonts w:ascii="黑体" w:hAnsi="黑体" w:eastAsia="黑体"/>
          <w:b/>
          <w:sz w:val="24"/>
          <w:highlight w:val="none"/>
        </w:rPr>
      </w:pPr>
      <w:r>
        <w:rPr>
          <w:rFonts w:ascii="黑体" w:hAnsi="黑体" w:eastAsia="黑体"/>
          <w:b/>
          <w:sz w:val="24"/>
          <w:highlight w:val="none"/>
        </w:rPr>
        <w:t>（十三）评标附表。</w:t>
      </w:r>
    </w:p>
    <w:p>
      <w:pPr>
        <w:ind w:firstLine="487" w:firstLineChars="202"/>
        <w:rPr>
          <w:rFonts w:ascii="黑体" w:hAnsi="黑体" w:eastAsia="黑体"/>
          <w:b/>
          <w:sz w:val="24"/>
          <w:highlight w:val="none"/>
        </w:rPr>
      </w:pPr>
      <w:r>
        <w:rPr>
          <w:rFonts w:ascii="黑体" w:hAnsi="黑体" w:eastAsia="黑体"/>
          <w:b/>
          <w:sz w:val="24"/>
          <w:highlight w:val="none"/>
        </w:rPr>
        <w:t>对评标监督人员或者招标人代表干预正常评标活动，以及对招标投标活动的其他不正当言行，评标委员会应当在评标报告第（十二）项内容中如实记录。</w:t>
      </w:r>
    </w:p>
    <w:p>
      <w:pPr>
        <w:ind w:firstLine="487" w:firstLineChars="202"/>
        <w:rPr>
          <w:rFonts w:ascii="黑体" w:hAnsi="黑体" w:eastAsia="黑体"/>
          <w:b/>
          <w:sz w:val="24"/>
          <w:highlight w:val="none"/>
        </w:rPr>
      </w:pPr>
      <w:r>
        <w:rPr>
          <w:rFonts w:ascii="黑体" w:hAnsi="黑体" w:eastAsia="黑体"/>
          <w:b/>
          <w:sz w:val="24"/>
          <w:highlight w:val="none"/>
        </w:rPr>
        <w:t>除第二款规定的第（一）、（三）、（四）项内容外，评标委员会所有成员应当在评标报告上逐页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400" w:lineRule="exact"/>
        <w:ind w:firstLine="480" w:firstLineChars="200"/>
        <w:rPr>
          <w:rFonts w:hint="eastAsia" w:ascii="宋体" w:hAnsi="宋体"/>
          <w:sz w:val="24"/>
          <w:highlight w:val="none"/>
        </w:rPr>
      </w:pPr>
    </w:p>
    <w:p>
      <w:pPr>
        <w:spacing w:line="400" w:lineRule="exact"/>
        <w:ind w:firstLine="482" w:firstLineChars="200"/>
        <w:rPr>
          <w:rFonts w:hint="eastAsia" w:ascii="黑体" w:hAnsi="黑体" w:eastAsia="黑体"/>
          <w:b/>
          <w:sz w:val="24"/>
          <w:highlight w:val="none"/>
        </w:rPr>
      </w:pPr>
      <w:r>
        <w:rPr>
          <w:rFonts w:hint="eastAsia" w:ascii="黑体" w:hAnsi="黑体" w:eastAsia="黑体"/>
          <w:b/>
          <w:sz w:val="24"/>
          <w:highlight w:val="none"/>
        </w:rPr>
        <w:t>3.4.3评标委员会对投标文件进行评审后，因有效投标不足3个使得投标明显缺乏竞争的,可以否决全部投标。未否决全部投标的，评标委员会应当在评标报告中阐明理由并推荐中标候选人。</w:t>
      </w:r>
    </w:p>
    <w:p>
      <w:pPr>
        <w:ind w:firstLine="487" w:firstLineChars="202"/>
        <w:rPr>
          <w:rFonts w:ascii="黑体" w:hAnsi="黑体" w:eastAsia="黑体"/>
          <w:b/>
          <w:sz w:val="24"/>
          <w:highlight w:val="none"/>
        </w:rPr>
      </w:pPr>
      <w:r>
        <w:rPr>
          <w:rFonts w:ascii="黑体" w:hAnsi="黑体" w:eastAsia="黑体"/>
          <w:b/>
          <w:sz w:val="24"/>
          <w:highlight w:val="none"/>
        </w:rPr>
        <w:t>投标文件按照招标文件规定采用双信封形式密封的，通过第一信封商务文件和技术文件评审的投标人在3个以上的，招标人应当按照</w:t>
      </w:r>
      <w:r>
        <w:rPr>
          <w:rFonts w:hint="eastAsia" w:ascii="黑体" w:hAnsi="黑体" w:eastAsia="黑体"/>
          <w:b/>
          <w:sz w:val="24"/>
          <w:highlight w:val="none"/>
        </w:rPr>
        <w:t>招标文件</w:t>
      </w:r>
      <w:r>
        <w:rPr>
          <w:rFonts w:ascii="黑体" w:hAnsi="黑体" w:eastAsia="黑体"/>
          <w:b/>
          <w:sz w:val="24"/>
          <w:highlight w:val="none"/>
        </w:rPr>
        <w:t>规定的程序进行第二信封报价文件开标；在对报价文件进行评审后，有效投标不足3个的，评标委员会应当按照本条第一款规定执行。</w:t>
      </w:r>
    </w:p>
    <w:p>
      <w:pPr>
        <w:ind w:firstLine="487" w:firstLineChars="202"/>
        <w:rPr>
          <w:rFonts w:ascii="黑体" w:hAnsi="黑体" w:eastAsia="黑体"/>
          <w:b/>
          <w:sz w:val="24"/>
          <w:highlight w:val="none"/>
        </w:rPr>
      </w:pPr>
      <w:r>
        <w:rPr>
          <w:rFonts w:ascii="黑体" w:hAnsi="黑体" w:eastAsia="黑体"/>
          <w:b/>
          <w:sz w:val="24"/>
          <w:highlight w:val="none"/>
        </w:rPr>
        <w:t>通过第一信封商务文件和技术文件评审的投标人少于3个的，评标委员会可以否决全部投标；未否决全部投标的，评标委员会应当在评标报告中阐明理由，招标人应当按照</w:t>
      </w:r>
      <w:r>
        <w:rPr>
          <w:rFonts w:hint="eastAsia" w:ascii="黑体" w:hAnsi="黑体" w:eastAsia="黑体"/>
          <w:b/>
          <w:sz w:val="24"/>
          <w:highlight w:val="none"/>
        </w:rPr>
        <w:t>招标文件</w:t>
      </w:r>
      <w:r>
        <w:rPr>
          <w:rFonts w:ascii="黑体" w:hAnsi="黑体" w:eastAsia="黑体"/>
          <w:b/>
          <w:sz w:val="24"/>
          <w:highlight w:val="none"/>
        </w:rPr>
        <w:t>规定的程序进行第二信封报价文件开标，但评标委员会在进行报价文件评审时仍有权否决全部投标；评标委员会未在报价文件评审时否决全部投标的，应当在评标报告中阐明理由并推荐中标候选人。</w:t>
      </w:r>
    </w:p>
    <w:p>
      <w:pPr>
        <w:rPr>
          <w:highlight w:val="none"/>
        </w:rPr>
      </w:pPr>
    </w:p>
    <w:p>
      <w:pPr>
        <w:pStyle w:val="2"/>
        <w:spacing w:before="120" w:beforeLines="50" w:after="0" w:line="400" w:lineRule="exact"/>
        <w:jc w:val="both"/>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重新招标</w:t>
      </w:r>
    </w:p>
    <w:p>
      <w:pPr>
        <w:ind w:firstLine="487" w:firstLineChars="202"/>
        <w:rPr>
          <w:rFonts w:ascii="黑体" w:hAnsi="黑体" w:eastAsia="黑体"/>
          <w:b/>
          <w:sz w:val="24"/>
          <w:highlight w:val="none"/>
        </w:rPr>
      </w:pPr>
      <w:r>
        <w:rPr>
          <w:rFonts w:hint="eastAsia" w:ascii="黑体" w:hAnsi="黑体" w:eastAsia="黑体"/>
          <w:b/>
          <w:sz w:val="24"/>
          <w:highlight w:val="none"/>
        </w:rPr>
        <w:t>3.5.1</w:t>
      </w:r>
      <w:r>
        <w:rPr>
          <w:rFonts w:ascii="黑体" w:hAnsi="黑体" w:eastAsia="黑体"/>
          <w:b/>
          <w:sz w:val="24"/>
          <w:highlight w:val="none"/>
        </w:rPr>
        <w:t>依法必须进行招标的公路工程建设项目，有下列情形之一的，招标人在分析招标失败的原因并采取相应措施后，应当依照本办法重新招标：</w:t>
      </w:r>
    </w:p>
    <w:p>
      <w:pPr>
        <w:ind w:firstLine="487" w:firstLineChars="202"/>
        <w:rPr>
          <w:rFonts w:ascii="黑体" w:hAnsi="黑体" w:eastAsia="黑体"/>
          <w:b/>
          <w:sz w:val="24"/>
          <w:highlight w:val="none"/>
        </w:rPr>
      </w:pPr>
      <w:r>
        <w:rPr>
          <w:rFonts w:ascii="黑体" w:hAnsi="黑体" w:eastAsia="黑体"/>
          <w:b/>
          <w:sz w:val="24"/>
          <w:highlight w:val="none"/>
        </w:rPr>
        <w:t>（</w:t>
      </w:r>
      <w:r>
        <w:rPr>
          <w:rFonts w:hint="eastAsia" w:ascii="黑体" w:hAnsi="黑体" w:eastAsia="黑体"/>
          <w:b/>
          <w:sz w:val="24"/>
          <w:highlight w:val="none"/>
        </w:rPr>
        <w:t>1</w:t>
      </w:r>
      <w:r>
        <w:rPr>
          <w:rFonts w:ascii="黑体" w:hAnsi="黑体" w:eastAsia="黑体"/>
          <w:b/>
          <w:sz w:val="24"/>
          <w:highlight w:val="none"/>
        </w:rPr>
        <w:t>）</w:t>
      </w:r>
      <w:r>
        <w:rPr>
          <w:rFonts w:hint="eastAsia" w:ascii="黑体" w:hAnsi="黑体" w:eastAsia="黑体"/>
          <w:b/>
          <w:sz w:val="24"/>
          <w:highlight w:val="none"/>
        </w:rPr>
        <w:t>递交投标文件的</w:t>
      </w:r>
      <w:r>
        <w:rPr>
          <w:rFonts w:ascii="黑体" w:hAnsi="黑体" w:eastAsia="黑体"/>
          <w:b/>
          <w:sz w:val="24"/>
          <w:highlight w:val="none"/>
        </w:rPr>
        <w:t>投标人少于3个的；</w:t>
      </w:r>
    </w:p>
    <w:p>
      <w:pPr>
        <w:ind w:firstLine="487" w:firstLineChars="202"/>
        <w:rPr>
          <w:rFonts w:ascii="黑体" w:hAnsi="黑体" w:eastAsia="黑体"/>
          <w:b/>
          <w:sz w:val="24"/>
          <w:highlight w:val="none"/>
        </w:rPr>
      </w:pPr>
      <w:r>
        <w:rPr>
          <w:rFonts w:ascii="黑体" w:hAnsi="黑体" w:eastAsia="黑体"/>
          <w:b/>
          <w:sz w:val="24"/>
          <w:highlight w:val="none"/>
        </w:rPr>
        <w:t>（</w:t>
      </w:r>
      <w:r>
        <w:rPr>
          <w:rFonts w:hint="eastAsia" w:ascii="黑体" w:hAnsi="黑体" w:eastAsia="黑体"/>
          <w:b/>
          <w:sz w:val="24"/>
          <w:highlight w:val="none"/>
        </w:rPr>
        <w:t>2</w:t>
      </w:r>
      <w:r>
        <w:rPr>
          <w:rFonts w:ascii="黑体" w:hAnsi="黑体" w:eastAsia="黑体"/>
          <w:b/>
          <w:sz w:val="24"/>
          <w:highlight w:val="none"/>
        </w:rPr>
        <w:t>）所有投标均被否决的；</w:t>
      </w:r>
    </w:p>
    <w:p>
      <w:pPr>
        <w:ind w:firstLine="487" w:firstLineChars="202"/>
        <w:rPr>
          <w:rFonts w:ascii="黑体" w:hAnsi="黑体" w:eastAsia="黑体"/>
          <w:b/>
          <w:sz w:val="24"/>
          <w:highlight w:val="none"/>
        </w:rPr>
      </w:pPr>
      <w:r>
        <w:rPr>
          <w:rFonts w:ascii="黑体" w:hAnsi="黑体" w:eastAsia="黑体"/>
          <w:b/>
          <w:sz w:val="24"/>
          <w:highlight w:val="none"/>
        </w:rPr>
        <w:t>（</w:t>
      </w:r>
      <w:r>
        <w:rPr>
          <w:rFonts w:hint="eastAsia" w:ascii="黑体" w:hAnsi="黑体" w:eastAsia="黑体"/>
          <w:b/>
          <w:sz w:val="24"/>
          <w:highlight w:val="none"/>
        </w:rPr>
        <w:t>3</w:t>
      </w:r>
      <w:r>
        <w:rPr>
          <w:rFonts w:ascii="黑体" w:hAnsi="黑体" w:eastAsia="黑体"/>
          <w:b/>
          <w:sz w:val="24"/>
          <w:highlight w:val="none"/>
        </w:rPr>
        <w:t>）中标候选人均未与招标人订立书面合同的。</w:t>
      </w:r>
    </w:p>
    <w:p>
      <w:pPr>
        <w:ind w:firstLine="487" w:firstLineChars="202"/>
        <w:rPr>
          <w:rFonts w:ascii="黑体" w:hAnsi="黑体" w:eastAsia="黑体"/>
          <w:b/>
          <w:sz w:val="24"/>
          <w:highlight w:val="none"/>
        </w:rPr>
      </w:pPr>
      <w:r>
        <w:rPr>
          <w:rFonts w:ascii="黑体" w:hAnsi="黑体" w:eastAsia="黑体"/>
          <w:b/>
          <w:sz w:val="24"/>
          <w:highlight w:val="none"/>
        </w:rPr>
        <w:t>重新招标的，招标文件和招标投标情况的书面报告应当按规定重新报交通运输主管部门备案。</w:t>
      </w:r>
    </w:p>
    <w:p>
      <w:pPr>
        <w:ind w:firstLine="487" w:firstLineChars="202"/>
        <w:rPr>
          <w:rFonts w:ascii="黑体" w:hAnsi="黑体" w:eastAsia="黑体"/>
          <w:b/>
          <w:sz w:val="24"/>
          <w:highlight w:val="none"/>
        </w:rPr>
      </w:pPr>
      <w:r>
        <w:rPr>
          <w:rFonts w:ascii="黑体" w:hAnsi="黑体" w:eastAsia="黑体"/>
          <w:b/>
          <w:sz w:val="24"/>
          <w:highlight w:val="none"/>
        </w:rPr>
        <w:t>重新招标后投标人仍少于3个的，属于按照国家有关规定需要履行项目审批</w:t>
      </w:r>
      <w:r>
        <w:rPr>
          <w:rFonts w:hint="eastAsia" w:ascii="黑体" w:hAnsi="黑体" w:eastAsia="黑体"/>
          <w:b/>
          <w:sz w:val="24"/>
          <w:highlight w:val="none"/>
        </w:rPr>
        <w:t>、</w:t>
      </w:r>
      <w:r>
        <w:rPr>
          <w:rFonts w:ascii="黑体" w:hAnsi="黑体" w:eastAsia="黑体"/>
          <w:b/>
          <w:sz w:val="24"/>
          <w:highlight w:val="none"/>
        </w:rPr>
        <w:t>核准手续的依法必须进行招标的公路工程建设项目，报经项目审批</w:t>
      </w:r>
      <w:r>
        <w:rPr>
          <w:rFonts w:hint="eastAsia" w:ascii="黑体" w:hAnsi="黑体" w:eastAsia="黑体"/>
          <w:b/>
          <w:sz w:val="24"/>
          <w:highlight w:val="none"/>
        </w:rPr>
        <w:t>、</w:t>
      </w:r>
      <w:r>
        <w:rPr>
          <w:rFonts w:ascii="黑体" w:hAnsi="黑体" w:eastAsia="黑体"/>
          <w:b/>
          <w:sz w:val="24"/>
          <w:highlight w:val="none"/>
        </w:rPr>
        <w:t>核准部门批准后可以不再进行招标；其他项目可由招标人自行决定不再进行招标。</w:t>
      </w:r>
    </w:p>
    <w:p>
      <w:pPr>
        <w:ind w:firstLine="487" w:firstLineChars="202"/>
        <w:rPr>
          <w:rFonts w:ascii="黑体" w:hAnsi="黑体" w:eastAsia="黑体"/>
          <w:b/>
          <w:sz w:val="24"/>
          <w:highlight w:val="none"/>
        </w:rPr>
      </w:pPr>
      <w:r>
        <w:rPr>
          <w:rFonts w:ascii="黑体" w:hAnsi="黑体" w:eastAsia="黑体"/>
          <w:b/>
          <w:sz w:val="24"/>
          <w:highlight w:val="none"/>
        </w:rPr>
        <w:t>依照规定不再进行招标的，招标人可以邀请已提交投标文件的投标人进行谈判，确定项目承担单位，并将谈判报告报对该项目具有招标监督职责的交通运输主管部门备案。</w:t>
      </w:r>
    </w:p>
    <w:p>
      <w:pPr>
        <w:spacing w:line="400" w:lineRule="exact"/>
        <w:ind w:firstLine="480" w:firstLineChars="200"/>
        <w:rPr>
          <w:rFonts w:hint="eastAsia" w:ascii="宋体" w:hAnsi="宋体"/>
          <w:sz w:val="24"/>
          <w:highlight w:val="none"/>
        </w:rPr>
      </w:pPr>
    </w:p>
    <w:p>
      <w:pPr>
        <w:spacing w:line="400" w:lineRule="exact"/>
        <w:ind w:firstLine="480" w:firstLineChars="200"/>
        <w:rPr>
          <w:rFonts w:hint="eastAsia" w:ascii="宋体" w:hAnsi="宋体"/>
          <w:sz w:val="24"/>
          <w:highlight w:val="none"/>
        </w:rPr>
      </w:pPr>
    </w:p>
    <w:p>
      <w:pPr>
        <w:pStyle w:val="12"/>
        <w:spacing w:line="560" w:lineRule="exact"/>
        <w:rPr>
          <w:rFonts w:hint="eastAsia"/>
          <w:b/>
          <w:color w:val="auto"/>
          <w:szCs w:val="36"/>
          <w:highlight w:val="none"/>
        </w:rPr>
      </w:pPr>
      <w:r>
        <w:rPr>
          <w:rFonts w:hAnsi="宋体"/>
          <w:color w:val="auto"/>
          <w:spacing w:val="30"/>
          <w:highlight w:val="none"/>
        </w:rPr>
        <w:br w:type="page"/>
      </w:r>
      <w:r>
        <w:rPr>
          <w:rFonts w:hint="eastAsia"/>
          <w:b/>
          <w:color w:val="auto"/>
          <w:szCs w:val="36"/>
          <w:highlight w:val="none"/>
        </w:rPr>
        <w:t>附件3：随机分配标段办法</w:t>
      </w:r>
    </w:p>
    <w:p>
      <w:pPr>
        <w:pStyle w:val="3"/>
        <w:spacing w:line="520" w:lineRule="exact"/>
        <w:rPr>
          <w:rFonts w:hint="eastAsia" w:hAnsi="Calibri" w:cs="宋体"/>
          <w:b/>
          <w:kern w:val="0"/>
          <w:szCs w:val="36"/>
          <w:highlight w:val="none"/>
        </w:rPr>
      </w:pPr>
      <w:r>
        <w:rPr>
          <w:rFonts w:hint="eastAsia" w:hAnsi="Calibri" w:cs="宋体"/>
          <w:b/>
          <w:kern w:val="0"/>
          <w:szCs w:val="36"/>
          <w:highlight w:val="none"/>
        </w:rPr>
        <w:t xml:space="preserve">  随机分配标段办法</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一、随机分配标段规则</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随机分配标段开始之前，招标人应现场宣读随机分配标段规则，参与的各方当事人（以下简称“各方”）应当严格遵守。 </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（一）各方应严格遵守现场纪律，确保随机分配标段活动有序进行。</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二）具体摇号开始之前，公证人员应当场出示并宣读摇号器具（摇号机及号码球）的产品合格证明，检查摇号机和摇号球，并进行两次试摇号后，宣布摇号机运转情况。若投标人对摇号器具有异议，应当即提出。</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三）如遇摇号器具发生故障，导致摇号过程中断等特殊情况时，发生故障之前的摇号结果依然有效。故障排除或更换摇号器具后，招标人继续后续的摇号。如在摇号现场不能及时排除故障或更换摇号器具，招标人将另行安排摇号时间，并通知投标人参加后续的摇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（四）各方应认可随机分配标段产生的结果。摇号完毕，招标人代表、投标人、监督人员三方当场对随机分配标段结果进行签字确认，未签字确认的视为默认标段分配结果。</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如投标人对随机分配标段结果有异议，应当即提出，招标人应现场予以解释。如双方当事人不能取得一致意见，由现场监督人员现场裁决，各方对裁决意见应遵照执行。</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二、随机分配标段资格的确定</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只有通过投标文件第一信封（商务和技术文件）评审的投标人，才能取得随机分配标段资格。</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三、随机分配标段</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按招标工程类别随机分配投标人所投标段，相关信息应及时通过电子大屏幕或版式向投标人公布。当某招标工程类别随机分配标段完成后，再进行下一招标工程类别的摇号，具体操作分三步进行。</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第一步：确定各标段的号码球代码</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按照某招标工程类别标段号从小到大的自然顺序排序，依次确定各号码球代表的标段号。如，某招标工程类别有3个标段，分别是G6标段、G7标段、G10标段，则可设定号码球“01”代表 G6标段，号码球“02”代表 G7标段，号码球“03”代表G10标段。</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第二步：确定各标段的投标人数量</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1.根据招标工程类别按算术平均法计算各标段投标人数量X，Z为取得某招标工程类别随机分配标段资格的投标人可投标段总数，M为该类别的标段数。</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⑴当按算术平均法计算X没有余数时，各标段的投标人数量X=Z/M；</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⑵当按算术平均法计算X有余数Y时，在摇号机内投入代表该招标工程类别所有标段号的M个号码球，摇出Y个号码球，每次摇出的号码球代表该标段相应增加一个投标人。比如，摇出来的号码球数字为01、02，相应的标段号为G6、G7，那么表示G6标段、G7标段各增加一个投标人，即G6、G7标段投标人数量各为X=ROUNDDOWN（Z/M，0）+1，其它标段的投标人数量为X= ROUNDDOWN（Z/M，0），</w:t>
      </w:r>
      <w:r>
        <w:rPr>
          <w:rFonts w:ascii="宋体" w:hAnsi="宋体"/>
          <w:sz w:val="24"/>
          <w:szCs w:val="24"/>
          <w:highlight w:val="none"/>
        </w:rPr>
        <w:t>ROUNDDOWN</w:t>
      </w:r>
      <w:r>
        <w:rPr>
          <w:rFonts w:hint="eastAsia" w:ascii="宋体" w:hAnsi="宋体"/>
          <w:sz w:val="24"/>
          <w:szCs w:val="24"/>
          <w:highlight w:val="none"/>
        </w:rPr>
        <w:t>为</w:t>
      </w:r>
      <w:r>
        <w:rPr>
          <w:rFonts w:ascii="宋体" w:hAnsi="宋体"/>
          <w:sz w:val="24"/>
          <w:szCs w:val="24"/>
          <w:highlight w:val="none"/>
        </w:rPr>
        <w:t>向下</w:t>
      </w:r>
      <w:r>
        <w:rPr>
          <w:rFonts w:hint="eastAsia" w:ascii="宋体" w:hAnsi="宋体"/>
          <w:sz w:val="24"/>
          <w:szCs w:val="24"/>
          <w:highlight w:val="none"/>
        </w:rPr>
        <w:t>舍数字</w:t>
      </w:r>
      <w:r>
        <w:rPr>
          <w:rFonts w:ascii="宋体" w:hAnsi="宋体"/>
          <w:sz w:val="24"/>
          <w:szCs w:val="24"/>
          <w:highlight w:val="none"/>
        </w:rPr>
        <w:t>函数</w:t>
      </w:r>
      <w:r>
        <w:rPr>
          <w:rFonts w:hint="eastAsia" w:ascii="宋体" w:hAnsi="宋体"/>
          <w:sz w:val="24"/>
          <w:szCs w:val="24"/>
          <w:highlight w:val="none"/>
        </w:rPr>
        <w:t>。</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2.准备相应号码球</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按照各标段投标人数量准备标有相应数字及数量的号码球。如， G6 标段的投标人数量是5家，即要准备5个标有数字“01”的号码球；G7标段的投标人数量是6家，即要准备6个标有数字“02”的号码球；G10标段的投标人数量是6家，即要准备6个标有数字“03”的号码球……</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第三步：随机分配投标人的标段号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首先，摇号随机分配利益相关企业投标人的标段号，然后，摇号确定获得购买多个招标文件机会的投标人的标段号，最后摇号确定具有一个标段的投标机会的投标人的标段号。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（一）摇号随机分配利益相关企业投标人的标段号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一）分别确定利益相关企业团体的摇号顺序号和该团体利益相关企业投标人的分配顺序号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1.确定利益相关企业团体的摇号顺序号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利益相关企业团体是指单位负责人为同一人或者存在控股、管理关系的不同单位，或具有直接管理和被管理关系的母子（分）公司，或同一母公司的子（分）公司</w:t>
      </w:r>
      <w:r>
        <w:rPr>
          <w:rStyle w:val="10"/>
          <w:rFonts w:ascii="宋体" w:hAnsi="宋体"/>
          <w:sz w:val="24"/>
          <w:szCs w:val="24"/>
          <w:highlight w:val="none"/>
        </w:rPr>
        <w:footnoteReference w:id="5"/>
      </w:r>
      <w:r>
        <w:rPr>
          <w:rFonts w:hint="eastAsia" w:ascii="宋体" w:hAnsi="宋体"/>
          <w:sz w:val="24"/>
          <w:szCs w:val="24"/>
          <w:highlight w:val="none"/>
        </w:rPr>
        <w:t>的不同单位组成的利益相关体。</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按利益相关企业团体可投标段总数（H）的多少（含奖励增加数量）排序，可投标段总数多的摇号顺序号排前；利益相关企业团体可投标段总数相同时，按各利益相关企业团体中最早向招标人递交投标文件的投标人的先后顺序排序，确定利益相关企业团体的摇号顺序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2.确定该（某）团体利益相关企业投标人的分配顺序号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利益相关企业投标人是指利益相关企业团体中的任意一家投标人。</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按利益相关企业投标人向招标人递交投标文件的先后顺序排序，分别确定利益相关企业投标人的分配顺序号，获得购买多个招标文件机会的投标人的分配顺序号相同。</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二）随机分配利益相关企业团体中利益相关企业投标人的标段号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1.在摇号机内投入代表该招标工程类别所有标段号的M个号码球，根据利益相关企业团体可投标段总数（H）确定摇出H个号码球，依次摇出的号码球分别代表利益相关企业团体中按分配顺序号对应的投标人所投标段号，获得购买多个标段招标文件机会的投标人按分配的顺序号摇出的多个号码球代表该投标人相应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下一摇号顺序利益相关企业团体摇号前，补充摇出的号码球使摇号机内有代表该招标工程类别所有标段号的M个号码球（但若同一号码球摇出的次数等于该标段投标人数量时，不再补充该号码球），依上述步骤分配利益相关企业投标人的标段号，直至分配完所有利益相关企业团体的所有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比如，标段总数M为10,号码球01-10分别表示1-10标段 某利益相关企业团体可投标段总数H为3, 则摇出3个号码球，其中有一家投标人可投标段数为2，其摇号顺序为1，如摇出来的号码球数字依次为05、08、02，那么表示利益相关企业团体中摇号顺序为1的投标人（可投标段数为2）可投05.08标，摇号顺序为2的投标人可投02标。在为下一位摇号顺序的利益相关企业团体摇号前，补充05、08、02号球投入摇号机（若2标段共4家投标人，02号球已经摇出4次，则不再补充02号球，此时摇号机内仅有9个球），依前步骤分配下一摇号顺序的利益相关企业团体中的各个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（二）摇号确定获得购买多个招标文件机会的投标人的标段号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1.摇号顺序号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按投标人向招标人递交投标文件的先后顺序排序，先递交的摇号顺序号排前，分别确定摇号顺序号。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2.投标人可投标段数（H）等于标段数（M）时，其可投标段号即为招标标段号。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3.投标人可投标段数（H）小于标段数（M）的标段号分配。</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按第1项确定的摇号顺序依次摇号确定投标人的标段号。在摇号机内投入代表该招标工程类别所有标段号的M个号码球根据投标人可投标段数（H）摇出H个号码球，摇出的号码球则代表该投标人的可投标段号。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下一投标人分配标段前，补充摇出的号码球使摇号机内有代表该招标工程类别所有标段号的M个号码球（但若同一号码球摇出的次数等于该标段投标人数量时，不再补充该号码球），依前步骤摇出下一位投标人的可投标段号，直至确定所有获得购买多个招标文件机会的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例如：标段总数M为10,,号码球01-10分别表示1-10标段。投标人可投标段数H为2，则摇出2个号码球，摇出来的号码球数字依次为08、05,那么表示获得购买多个招标文件机会的该投标人可投8、5标。在为下一位获得购买多个招标文件机会的投标人摇号前，补充08、05号球投入摇号机（若8标段共4家投标人，08号球已经摇出4次，则不再补充08号球，此时摇号机内仅有9个球），依前步骤确定下一位获得购买多个招标文件机会的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（三）摇号确定获得一个标段的投标机会的投标人的标段号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1.投标人的摇号顺序号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按投标人向招标人递交投标文件的先后顺序排序，先递交的摇号顺序号排前，分别确定投标人的摇号顺序号。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2.投标人的标段号分配</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将取得随机分配标段资格的所有投标人可投标段总数（Z）减去已确定标段号所剩余的其它全部号码球投入摇号机，按第1项确定的摇号顺序号依次摇号分配，号码球对应的号码代表该投标人所投标段的标段号。</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五、摇号结果的确认</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1、每个号码球摇出后，招标人应及时登记摇号结果并当即通过大屏幕或版式向投标人公布。摇号完毕，招标人代表、投标人、监督人员三方当场对随机分配标段结果进行签字确认，未签字确认的视为默认标段分配结果。</w:t>
      </w:r>
    </w:p>
    <w:p>
      <w:pPr>
        <w:spacing w:line="400" w:lineRule="exact"/>
        <w:ind w:firstLine="470" w:firstLineChars="196"/>
        <w:rPr>
          <w:rFonts w:hint="eastAsia" w:ascii="宋体" w:hAnsi="宋体"/>
          <w:b/>
          <w:sz w:val="24"/>
          <w:szCs w:val="24"/>
          <w:highlight w:val="none"/>
        </w:rPr>
      </w:pPr>
      <w:r>
        <w:rPr>
          <w:rFonts w:hint="eastAsia" w:ascii="宋体" w:hAnsi="宋体"/>
          <w:sz w:val="24"/>
          <w:szCs w:val="24"/>
          <w:highlight w:val="none"/>
        </w:rPr>
        <w:t>2、</w:t>
      </w:r>
      <w:r>
        <w:rPr>
          <w:rFonts w:hint="eastAsia" w:ascii="宋体" w:hAnsi="宋体"/>
          <w:b/>
          <w:sz w:val="24"/>
          <w:szCs w:val="24"/>
          <w:highlight w:val="none"/>
        </w:rPr>
        <w:t>若在随机分配标段期间发现投标人存在投标人须知附录4第(15)条所述的情形,招标人将取消同一招标工程类别所有利益相关企业的所有随机分配标段资格。</w:t>
      </w:r>
    </w:p>
    <w:p>
      <w:pPr>
        <w:spacing w:line="420" w:lineRule="exact"/>
        <w:ind w:firstLine="482" w:firstLineChars="200"/>
        <w:rPr>
          <w:rFonts w:hint="eastAsia" w:ascii="宋体" w:hAnsi="宋体"/>
          <w:b/>
          <w:iCs/>
          <w:sz w:val="24"/>
          <w:szCs w:val="24"/>
          <w:highlight w:val="none"/>
        </w:rPr>
      </w:pPr>
      <w:r>
        <w:rPr>
          <w:rFonts w:hint="eastAsia" w:ascii="宋体" w:hAnsi="宋体"/>
          <w:b/>
          <w:iCs/>
          <w:sz w:val="24"/>
          <w:szCs w:val="24"/>
          <w:highlight w:val="none"/>
        </w:rPr>
        <w:t>3、利益相关企业应被分配至不同的标段。</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4、公证人员现场宣读公证词，并由公证机关出具公证书。</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5、招标人对整个随机分配标段活动全程摄像存档备查。</w:t>
      </w:r>
    </w:p>
    <w:p>
      <w:pPr>
        <w:pStyle w:val="12"/>
        <w:spacing w:line="560" w:lineRule="exact"/>
        <w:rPr>
          <w:rFonts w:ascii="黑体" w:eastAsia="黑体"/>
          <w:color w:val="auto"/>
          <w:sz w:val="36"/>
          <w:szCs w:val="36"/>
          <w:highlight w:val="none"/>
        </w:rPr>
      </w:pPr>
      <w:r>
        <w:rPr>
          <w:rFonts w:ascii="黑体" w:eastAsia="黑体"/>
          <w:color w:val="auto"/>
          <w:sz w:val="36"/>
          <w:szCs w:val="36"/>
          <w:highlight w:val="none"/>
        </w:rPr>
        <w:br w:type="page"/>
      </w:r>
    </w:p>
    <w:p>
      <w:pPr>
        <w:pStyle w:val="12"/>
        <w:spacing w:line="360" w:lineRule="exact"/>
        <w:rPr>
          <w:rFonts w:hint="eastAsia" w:ascii="黑体" w:eastAsia="黑体"/>
          <w:color w:val="auto"/>
          <w:sz w:val="36"/>
          <w:szCs w:val="36"/>
          <w:highlight w:val="none"/>
        </w:rPr>
      </w:pPr>
      <w:r>
        <w:rPr>
          <w:rFonts w:hint="eastAsia" w:ascii="黑体" w:eastAsia="黑体"/>
          <w:color w:val="auto"/>
          <w:sz w:val="36"/>
          <w:szCs w:val="36"/>
          <w:highlight w:val="none"/>
        </w:rPr>
        <w:t>附件4  项目建设概况</w:t>
      </w:r>
    </w:p>
    <w:p>
      <w:pPr>
        <w:spacing w:line="460" w:lineRule="exact"/>
        <w:rPr>
          <w:rFonts w:hint="eastAsia" w:ascii="宋体" w:hAnsi="宋体"/>
          <w:b/>
          <w:bCs/>
          <w:sz w:val="24"/>
          <w:highlight w:val="none"/>
        </w:rPr>
      </w:pPr>
    </w:p>
    <w:p>
      <w:pPr>
        <w:spacing w:line="460" w:lineRule="exact"/>
        <w:rPr>
          <w:rFonts w:ascii="宋体" w:hAnsi="宋体"/>
          <w:b/>
          <w:bCs/>
          <w:sz w:val="24"/>
          <w:highlight w:val="none"/>
        </w:rPr>
      </w:pPr>
      <w:r>
        <w:rPr>
          <w:rFonts w:hint="eastAsia" w:ascii="宋体" w:hAnsi="宋体"/>
          <w:b/>
          <w:bCs/>
          <w:sz w:val="24"/>
          <w:highlight w:val="none"/>
        </w:rPr>
        <w:t>1  项目位置</w:t>
      </w:r>
    </w:p>
    <w:p>
      <w:pPr>
        <w:spacing w:line="460" w:lineRule="exact"/>
        <w:rPr>
          <w:rFonts w:hint="eastAsia" w:ascii="宋体" w:hAnsi="宋体"/>
          <w:sz w:val="24"/>
          <w:highlight w:val="none"/>
        </w:rPr>
      </w:pPr>
      <w:r>
        <w:rPr>
          <w:rFonts w:hint="eastAsia" w:ascii="宋体" w:hAnsi="宋体"/>
          <w:b/>
          <w:bCs/>
          <w:sz w:val="24"/>
          <w:highlight w:val="none"/>
        </w:rPr>
        <w:t>1.1  项目名称：</w:t>
      </w:r>
      <w:r>
        <w:rPr>
          <w:rFonts w:hint="eastAsia" w:ascii="宋体" w:hAnsi="宋体"/>
          <w:sz w:val="24"/>
          <w:highlight w:val="none"/>
          <w:u w:val="single"/>
        </w:rPr>
        <w:t>G5513长沙至益阳高速公路扩容工程项目</w:t>
      </w:r>
    </w:p>
    <w:p>
      <w:pPr>
        <w:spacing w:line="460" w:lineRule="exact"/>
        <w:rPr>
          <w:rFonts w:hint="eastAsia" w:ascii="宋体" w:hAnsi="宋体"/>
          <w:b/>
          <w:bCs/>
          <w:sz w:val="24"/>
          <w:highlight w:val="none"/>
        </w:rPr>
      </w:pPr>
      <w:r>
        <w:rPr>
          <w:rFonts w:ascii="宋体" w:hAnsi="宋体"/>
          <w:b/>
          <w:bCs/>
          <w:sz w:val="24"/>
          <w:highlight w:val="none"/>
        </w:rPr>
        <w:t>1.2</w:t>
      </w:r>
      <w:r>
        <w:rPr>
          <w:rFonts w:hint="eastAsia" w:ascii="宋体" w:hAnsi="宋体"/>
          <w:b/>
          <w:bCs/>
          <w:sz w:val="24"/>
          <w:highlight w:val="none"/>
        </w:rPr>
        <w:t xml:space="preserve"> </w:t>
      </w:r>
      <w:r>
        <w:rPr>
          <w:rFonts w:ascii="宋体" w:hAnsi="宋体"/>
          <w:b/>
          <w:bCs/>
          <w:sz w:val="24"/>
          <w:highlight w:val="none"/>
        </w:rPr>
        <w:t xml:space="preserve"> </w:t>
      </w:r>
      <w:r>
        <w:rPr>
          <w:rFonts w:hint="eastAsia" w:ascii="宋体" w:hAnsi="宋体"/>
          <w:b/>
          <w:bCs/>
          <w:sz w:val="24"/>
          <w:highlight w:val="none"/>
        </w:rPr>
        <w:t>概述</w:t>
      </w:r>
    </w:p>
    <w:p>
      <w:pPr>
        <w:spacing w:line="460" w:lineRule="exact"/>
        <w:rPr>
          <w:rFonts w:hint="eastAsia" w:ascii="宋体" w:hAnsi="宋体"/>
          <w:sz w:val="24"/>
          <w:highlight w:val="none"/>
        </w:rPr>
      </w:pPr>
      <w:r>
        <w:rPr>
          <w:rFonts w:hint="eastAsia" w:ascii="宋体" w:hAnsi="宋体"/>
          <w:sz w:val="24"/>
          <w:highlight w:val="none"/>
        </w:rPr>
        <w:t xml:space="preserve">     本项目位于长沙、益阳市境内，路线起于长沙绕城高速西北段，途径长沙望城区、宁乡县、益阳赫山区，过泉交河镇后于笔架山乡布置互通预留平江至益阳高速公路（以下简称“平益高速”）接口及本项目西延接口，后沿平益高速规划往南接长益高速，对接益阳绕城高速。通过本项目的建设，连同益马、马安、官安等高速，将形成湘西片区连接长株潭的一条新通道。</w:t>
      </w:r>
    </w:p>
    <w:p>
      <w:pPr>
        <w:spacing w:line="460" w:lineRule="exact"/>
        <w:rPr>
          <w:rFonts w:hint="eastAsia" w:ascii="宋体" w:hAnsi="宋体"/>
          <w:b/>
          <w:bCs/>
          <w:sz w:val="24"/>
          <w:highlight w:val="none"/>
        </w:rPr>
      </w:pPr>
      <w:r>
        <w:rPr>
          <w:rFonts w:hint="eastAsia" w:ascii="宋体" w:hAnsi="宋体"/>
          <w:b/>
          <w:bCs/>
          <w:sz w:val="24"/>
          <w:highlight w:val="none"/>
        </w:rPr>
        <w:t>1.3  项目建设</w:t>
      </w:r>
    </w:p>
    <w:p>
      <w:pPr>
        <w:spacing w:line="460" w:lineRule="exact"/>
        <w:rPr>
          <w:rFonts w:hint="eastAsia" w:ascii="宋体" w:hAnsi="宋体"/>
          <w:sz w:val="24"/>
          <w:highlight w:val="none"/>
        </w:rPr>
      </w:pPr>
      <w:r>
        <w:rPr>
          <w:rFonts w:hint="eastAsia" w:ascii="宋体" w:hAnsi="宋体"/>
          <w:b/>
          <w:sz w:val="24"/>
          <w:highlight w:val="none"/>
        </w:rPr>
        <w:t xml:space="preserve">    路线走向：</w:t>
      </w:r>
      <w:r>
        <w:rPr>
          <w:rFonts w:hint="eastAsia" w:ascii="宋体" w:hAnsi="宋体"/>
          <w:sz w:val="24"/>
          <w:highlight w:val="none"/>
        </w:rPr>
        <w:t>长沙市望城区、双江口镇、朱良桥、泉交河、苏家坝互通</w:t>
      </w:r>
    </w:p>
    <w:p>
      <w:pPr>
        <w:spacing w:line="400" w:lineRule="exact"/>
        <w:ind w:firstLine="480"/>
        <w:rPr>
          <w:rFonts w:hint="eastAsia" w:ascii="宋体" w:hAnsi="宋体"/>
          <w:sz w:val="24"/>
          <w:highlight w:val="none"/>
        </w:rPr>
      </w:pPr>
      <w:r>
        <w:rPr>
          <w:rFonts w:hint="eastAsia" w:ascii="宋体" w:hAnsi="宋体"/>
          <w:b/>
          <w:sz w:val="24"/>
          <w:highlight w:val="none"/>
        </w:rPr>
        <w:t>沿线主要城镇：长沙市望城区、宁乡县、益阳市赫山区</w:t>
      </w:r>
    </w:p>
    <w:p>
      <w:pPr>
        <w:spacing w:line="400" w:lineRule="exact"/>
        <w:ind w:firstLine="480"/>
        <w:rPr>
          <w:rFonts w:hint="eastAsia" w:ascii="宋体" w:hAnsi="宋体"/>
          <w:sz w:val="24"/>
          <w:highlight w:val="none"/>
        </w:rPr>
      </w:pPr>
      <w:r>
        <w:rPr>
          <w:rFonts w:hint="eastAsia" w:ascii="宋体" w:hAnsi="宋体"/>
          <w:b/>
          <w:sz w:val="24"/>
          <w:highlight w:val="none"/>
        </w:rPr>
        <w:t>沿线主要河流：</w:t>
      </w:r>
      <w:r>
        <w:rPr>
          <w:rFonts w:hint="eastAsia" w:ascii="宋体" w:hAnsi="宋体"/>
          <w:sz w:val="24"/>
          <w:highlight w:val="none"/>
        </w:rPr>
        <w:t xml:space="preserve"> 伪水及其支流</w:t>
      </w:r>
    </w:p>
    <w:p>
      <w:pPr>
        <w:spacing w:line="400" w:lineRule="exact"/>
        <w:ind w:firstLine="480"/>
        <w:rPr>
          <w:rFonts w:hint="eastAsia" w:ascii="宋体" w:hAnsi="宋体"/>
          <w:sz w:val="24"/>
          <w:highlight w:val="none"/>
        </w:rPr>
      </w:pPr>
      <w:r>
        <w:rPr>
          <w:rFonts w:hint="eastAsia" w:ascii="宋体" w:hAnsi="宋体"/>
          <w:b/>
          <w:sz w:val="24"/>
          <w:highlight w:val="none"/>
        </w:rPr>
        <w:t>沿线主要公路：</w:t>
      </w:r>
      <w:r>
        <w:rPr>
          <w:rFonts w:hint="eastAsia" w:ascii="宋体" w:hAnsi="宋体"/>
          <w:sz w:val="24"/>
          <w:highlight w:val="none"/>
        </w:rPr>
        <w:t xml:space="preserve"> 长沙绕城高速、岳临高速、S108、S223、S228等国省交通干道</w:t>
      </w:r>
    </w:p>
    <w:p>
      <w:pPr>
        <w:spacing w:line="400" w:lineRule="exact"/>
        <w:ind w:firstLine="480"/>
        <w:rPr>
          <w:rFonts w:hint="eastAsia" w:ascii="宋体" w:hAnsi="宋体"/>
          <w:b/>
          <w:bCs/>
          <w:sz w:val="24"/>
          <w:highlight w:val="none"/>
        </w:rPr>
      </w:pPr>
      <w:r>
        <w:rPr>
          <w:rFonts w:hint="eastAsia" w:ascii="宋体" w:hAnsi="宋体"/>
          <w:b/>
          <w:sz w:val="24"/>
          <w:highlight w:val="none"/>
        </w:rPr>
        <w:t>沿线主要铁路：</w:t>
      </w:r>
      <w:r>
        <w:rPr>
          <w:rFonts w:hint="eastAsia" w:ascii="宋体" w:hAnsi="宋体"/>
          <w:highlight w:val="none"/>
        </w:rPr>
        <w:t xml:space="preserve">   </w:t>
      </w:r>
      <w:r>
        <w:rPr>
          <w:rFonts w:hint="eastAsia" w:ascii="宋体" w:hAnsi="宋体"/>
          <w:sz w:val="24"/>
          <w:highlight w:val="none"/>
        </w:rPr>
        <w:t xml:space="preserve">石长铁路 </w:t>
      </w:r>
    </w:p>
    <w:p>
      <w:pPr>
        <w:spacing w:line="460" w:lineRule="exact"/>
        <w:rPr>
          <w:rFonts w:hint="eastAsia" w:ascii="宋体" w:hAnsi="宋体"/>
          <w:b/>
          <w:bCs/>
          <w:sz w:val="24"/>
          <w:highlight w:val="none"/>
        </w:rPr>
      </w:pPr>
      <w:r>
        <w:rPr>
          <w:rFonts w:hint="eastAsia" w:ascii="宋体" w:hAnsi="宋体"/>
          <w:b/>
          <w:bCs/>
          <w:sz w:val="24"/>
          <w:highlight w:val="none"/>
        </w:rPr>
        <w:t>2  技术标准</w:t>
      </w:r>
    </w:p>
    <w:p>
      <w:pPr>
        <w:spacing w:line="360" w:lineRule="exact"/>
        <w:ind w:firstLine="482" w:firstLineChars="200"/>
        <w:rPr>
          <w:rFonts w:hint="eastAsia" w:ascii="宋体" w:hAnsi="宋体"/>
          <w:sz w:val="24"/>
          <w:highlight w:val="none"/>
        </w:rPr>
      </w:pPr>
      <w:r>
        <w:rPr>
          <w:rFonts w:hint="eastAsia" w:ascii="宋体" w:hAnsi="宋体"/>
          <w:b/>
          <w:sz w:val="24"/>
          <w:highlight w:val="none"/>
          <w14:shadow w14:blurRad="50800" w14:dist="38100" w14:dir="2700000" w14:sx="100000" w14:sy="100000" w14:kx="0" w14:ky="0" w14:algn="tl">
            <w14:srgbClr w14:val="000000">
              <w14:alpha w14:val="60000"/>
            </w14:srgbClr>
          </w14:shadow>
        </w:rPr>
        <w:t>主线：</w:t>
      </w:r>
      <w:r>
        <w:rPr>
          <w:rFonts w:hint="eastAsia" w:ascii="宋体" w:hAnsi="宋体"/>
          <w:sz w:val="24"/>
          <w:highlight w:val="none"/>
        </w:rPr>
        <w:t>本项目路线全长50.284km，主线按双向6车道高速公路标准建设，设计速度采用120km/h，路基宽度采用33.5 m。</w:t>
      </w:r>
    </w:p>
    <w:p>
      <w:pPr>
        <w:spacing w:line="460" w:lineRule="exact"/>
        <w:ind w:firstLine="482" w:firstLineChars="200"/>
        <w:rPr>
          <w:rFonts w:hint="eastAsia"/>
          <w:sz w:val="24"/>
          <w:highlight w:val="none"/>
        </w:rPr>
      </w:pPr>
      <w:r>
        <w:rPr>
          <w:rFonts w:hint="eastAsia"/>
          <w:b/>
          <w:sz w:val="24"/>
          <w:highlight w:val="none"/>
          <w14:shadow w14:blurRad="50800" w14:dist="38100" w14:dir="2700000" w14:sx="100000" w14:sy="100000" w14:kx="0" w14:ky="0" w14:algn="tl">
            <w14:srgbClr w14:val="000000">
              <w14:alpha w14:val="60000"/>
            </w14:srgbClr>
          </w14:shadow>
        </w:rPr>
        <w:t xml:space="preserve"> </w:t>
      </w:r>
      <w:r>
        <w:rPr>
          <w:rFonts w:hint="eastAsia"/>
          <w:sz w:val="24"/>
          <w:highlight w:val="none"/>
        </w:rPr>
        <w:t>有关技术指标执行《公路工程技术标准》JTG B01-2014及相关技术标准、规范、规程的规定。</w:t>
      </w:r>
    </w:p>
    <w:p>
      <w:pPr>
        <w:spacing w:line="700" w:lineRule="exact"/>
        <w:jc w:val="center"/>
        <w:rPr>
          <w:rFonts w:hint="eastAsia" w:ascii="黑体" w:eastAsia="黑体"/>
          <w:bCs/>
          <w:sz w:val="24"/>
          <w:highlight w:val="none"/>
        </w:rPr>
      </w:pPr>
      <w:r>
        <w:rPr>
          <w:rFonts w:hint="eastAsia" w:ascii="黑体" w:eastAsia="黑体"/>
          <w:bCs/>
          <w:sz w:val="24"/>
          <w:highlight w:val="none"/>
        </w:rPr>
        <w:t>主线主要技术标准表</w:t>
      </w:r>
    </w:p>
    <w:tbl>
      <w:tblPr>
        <w:tblStyle w:val="11"/>
        <w:tblW w:w="8658"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411"/>
        <w:gridCol w:w="1559"/>
        <w:gridCol w:w="1276"/>
        <w:gridCol w:w="850"/>
        <w:gridCol w:w="1585"/>
        <w:gridCol w:w="1701"/>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tblHeader/>
          <w:jc w:val="center"/>
        </w:trPr>
        <w:tc>
          <w:tcPr>
            <w:tcW w:w="411" w:type="dxa"/>
            <w:vAlign w:val="center"/>
          </w:tcPr>
          <w:p>
            <w:pPr>
              <w:pStyle w:val="15"/>
              <w:rPr>
                <w:szCs w:val="24"/>
                <w:highlight w:val="none"/>
              </w:rPr>
            </w:pPr>
            <w:r>
              <w:rPr>
                <w:szCs w:val="24"/>
                <w:highlight w:val="none"/>
              </w:rPr>
              <w:t>序号</w:t>
            </w:r>
          </w:p>
        </w:tc>
        <w:tc>
          <w:tcPr>
            <w:tcW w:w="2835" w:type="dxa"/>
            <w:gridSpan w:val="2"/>
            <w:vAlign w:val="center"/>
          </w:tcPr>
          <w:p>
            <w:pPr>
              <w:pStyle w:val="15"/>
              <w:rPr>
                <w:rFonts w:hint="eastAsia"/>
                <w:szCs w:val="24"/>
                <w:highlight w:val="none"/>
              </w:rPr>
            </w:pPr>
            <w:r>
              <w:rPr>
                <w:szCs w:val="24"/>
                <w:highlight w:val="none"/>
              </w:rPr>
              <w:t>项  目</w:t>
            </w:r>
          </w:p>
        </w:tc>
        <w:tc>
          <w:tcPr>
            <w:tcW w:w="850" w:type="dxa"/>
            <w:vAlign w:val="center"/>
          </w:tcPr>
          <w:p>
            <w:pPr>
              <w:pStyle w:val="15"/>
              <w:rPr>
                <w:szCs w:val="24"/>
                <w:highlight w:val="none"/>
              </w:rPr>
            </w:pPr>
            <w:r>
              <w:rPr>
                <w:szCs w:val="24"/>
                <w:highlight w:val="none"/>
              </w:rPr>
              <w:t>单位</w:t>
            </w:r>
          </w:p>
        </w:tc>
        <w:tc>
          <w:tcPr>
            <w:tcW w:w="1585" w:type="dxa"/>
            <w:tcBorders>
              <w:right w:val="single" w:color="auto" w:sz="4" w:space="0"/>
            </w:tcBorders>
            <w:vAlign w:val="center"/>
          </w:tcPr>
          <w:p>
            <w:pPr>
              <w:pStyle w:val="15"/>
              <w:rPr>
                <w:rFonts w:hint="eastAsia"/>
                <w:szCs w:val="24"/>
                <w:highlight w:val="none"/>
              </w:rPr>
            </w:pPr>
            <w:r>
              <w:rPr>
                <w:rFonts w:hint="eastAsia"/>
                <w:szCs w:val="24"/>
                <w:highlight w:val="none"/>
              </w:rPr>
              <w:t>本项目主线</w:t>
            </w:r>
          </w:p>
        </w:tc>
        <w:tc>
          <w:tcPr>
            <w:tcW w:w="1701" w:type="dxa"/>
            <w:tcBorders>
              <w:left w:val="single" w:color="auto" w:sz="4" w:space="0"/>
            </w:tcBorders>
            <w:vAlign w:val="center"/>
          </w:tcPr>
          <w:p>
            <w:pPr>
              <w:pStyle w:val="15"/>
              <w:rPr>
                <w:rFonts w:hint="eastAsia"/>
                <w:szCs w:val="24"/>
                <w:highlight w:val="none"/>
              </w:rPr>
            </w:pPr>
            <w:r>
              <w:rPr>
                <w:rFonts w:hint="eastAsia"/>
                <w:szCs w:val="24"/>
                <w:highlight w:val="none"/>
              </w:rPr>
              <w:t>与规划平益</w:t>
            </w:r>
          </w:p>
          <w:p>
            <w:pPr>
              <w:pStyle w:val="15"/>
              <w:rPr>
                <w:rFonts w:hint="eastAsia"/>
                <w:szCs w:val="24"/>
                <w:highlight w:val="none"/>
              </w:rPr>
            </w:pPr>
            <w:r>
              <w:rPr>
                <w:rFonts w:hint="eastAsia"/>
                <w:szCs w:val="24"/>
                <w:highlight w:val="none"/>
              </w:rPr>
              <w:t>高速共线段</w:t>
            </w:r>
          </w:p>
        </w:tc>
        <w:tc>
          <w:tcPr>
            <w:tcW w:w="1276" w:type="dxa"/>
            <w:vAlign w:val="center"/>
          </w:tcPr>
          <w:p>
            <w:pPr>
              <w:pStyle w:val="15"/>
              <w:rPr>
                <w:rFonts w:hint="eastAsia"/>
                <w:szCs w:val="24"/>
                <w:highlight w:val="none"/>
              </w:rPr>
            </w:pPr>
            <w:r>
              <w:rPr>
                <w:rFonts w:hint="eastAsia"/>
                <w:szCs w:val="24"/>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1</w:t>
            </w:r>
          </w:p>
        </w:tc>
        <w:tc>
          <w:tcPr>
            <w:tcW w:w="2835" w:type="dxa"/>
            <w:gridSpan w:val="2"/>
            <w:vAlign w:val="center"/>
          </w:tcPr>
          <w:p>
            <w:pPr>
              <w:pStyle w:val="15"/>
              <w:rPr>
                <w:szCs w:val="24"/>
                <w:highlight w:val="none"/>
              </w:rPr>
            </w:pPr>
            <w:r>
              <w:rPr>
                <w:rFonts w:hint="eastAsia"/>
                <w:szCs w:val="24"/>
                <w:highlight w:val="none"/>
              </w:rPr>
              <w:t>路段里程</w:t>
            </w:r>
          </w:p>
        </w:tc>
        <w:tc>
          <w:tcPr>
            <w:tcW w:w="850" w:type="dxa"/>
            <w:vAlign w:val="center"/>
          </w:tcPr>
          <w:p>
            <w:pPr>
              <w:pStyle w:val="15"/>
              <w:rPr>
                <w:szCs w:val="24"/>
                <w:highlight w:val="none"/>
              </w:rPr>
            </w:pPr>
            <w:r>
              <w:rPr>
                <w:szCs w:val="24"/>
                <w:highlight w:val="none"/>
              </w:rPr>
              <w:t>km</w:t>
            </w:r>
          </w:p>
        </w:tc>
        <w:tc>
          <w:tcPr>
            <w:tcW w:w="1585" w:type="dxa"/>
            <w:tcBorders>
              <w:right w:val="single" w:color="auto" w:sz="4" w:space="0"/>
            </w:tcBorders>
            <w:vAlign w:val="center"/>
          </w:tcPr>
          <w:p>
            <w:pPr>
              <w:pStyle w:val="15"/>
              <w:rPr>
                <w:szCs w:val="24"/>
                <w:highlight w:val="none"/>
              </w:rPr>
            </w:pPr>
            <w:r>
              <w:rPr>
                <w:rFonts w:hint="eastAsia"/>
                <w:szCs w:val="24"/>
                <w:highlight w:val="none"/>
              </w:rPr>
              <w:t>50.284</w:t>
            </w:r>
          </w:p>
        </w:tc>
        <w:tc>
          <w:tcPr>
            <w:tcW w:w="1701" w:type="dxa"/>
            <w:tcBorders>
              <w:left w:val="single" w:color="auto" w:sz="4" w:space="0"/>
            </w:tcBorders>
            <w:vAlign w:val="center"/>
          </w:tcPr>
          <w:p>
            <w:pPr>
              <w:pStyle w:val="15"/>
              <w:rPr>
                <w:szCs w:val="24"/>
                <w:highlight w:val="none"/>
              </w:rPr>
            </w:pPr>
            <w:r>
              <w:rPr>
                <w:rFonts w:hint="eastAsia"/>
                <w:szCs w:val="24"/>
                <w:highlight w:val="none"/>
              </w:rPr>
              <w:t>3.205</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2</w:t>
            </w:r>
          </w:p>
        </w:tc>
        <w:tc>
          <w:tcPr>
            <w:tcW w:w="2835" w:type="dxa"/>
            <w:gridSpan w:val="2"/>
            <w:vAlign w:val="center"/>
          </w:tcPr>
          <w:p>
            <w:pPr>
              <w:pStyle w:val="15"/>
              <w:rPr>
                <w:szCs w:val="24"/>
                <w:highlight w:val="none"/>
              </w:rPr>
            </w:pPr>
            <w:r>
              <w:rPr>
                <w:szCs w:val="24"/>
                <w:highlight w:val="none"/>
              </w:rPr>
              <w:t>公路等级</w:t>
            </w:r>
          </w:p>
        </w:tc>
        <w:tc>
          <w:tcPr>
            <w:tcW w:w="850" w:type="dxa"/>
            <w:vAlign w:val="center"/>
          </w:tcPr>
          <w:p>
            <w:pPr>
              <w:pStyle w:val="15"/>
              <w:rPr>
                <w:szCs w:val="24"/>
                <w:highlight w:val="none"/>
              </w:rPr>
            </w:pPr>
          </w:p>
        </w:tc>
        <w:tc>
          <w:tcPr>
            <w:tcW w:w="3286" w:type="dxa"/>
            <w:gridSpan w:val="2"/>
            <w:vAlign w:val="center"/>
          </w:tcPr>
          <w:p>
            <w:pPr>
              <w:pStyle w:val="15"/>
              <w:rPr>
                <w:szCs w:val="24"/>
                <w:highlight w:val="none"/>
              </w:rPr>
            </w:pPr>
            <w:r>
              <w:rPr>
                <w:rFonts w:hint="eastAsia"/>
                <w:szCs w:val="24"/>
                <w:highlight w:val="none"/>
              </w:rPr>
              <w:t>高速公路</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3</w:t>
            </w:r>
          </w:p>
        </w:tc>
        <w:tc>
          <w:tcPr>
            <w:tcW w:w="2835" w:type="dxa"/>
            <w:gridSpan w:val="2"/>
            <w:vAlign w:val="center"/>
          </w:tcPr>
          <w:p>
            <w:pPr>
              <w:pStyle w:val="15"/>
              <w:rPr>
                <w:szCs w:val="24"/>
                <w:highlight w:val="none"/>
              </w:rPr>
            </w:pPr>
            <w:r>
              <w:rPr>
                <w:szCs w:val="24"/>
                <w:highlight w:val="none"/>
              </w:rPr>
              <w:t>设计速度</w:t>
            </w:r>
          </w:p>
        </w:tc>
        <w:tc>
          <w:tcPr>
            <w:tcW w:w="850" w:type="dxa"/>
            <w:vAlign w:val="center"/>
          </w:tcPr>
          <w:p>
            <w:pPr>
              <w:pStyle w:val="15"/>
              <w:rPr>
                <w:szCs w:val="24"/>
                <w:highlight w:val="none"/>
              </w:rPr>
            </w:pPr>
            <w:r>
              <w:rPr>
                <w:szCs w:val="24"/>
                <w:highlight w:val="none"/>
              </w:rPr>
              <w:t>km/h</w:t>
            </w:r>
          </w:p>
        </w:tc>
        <w:tc>
          <w:tcPr>
            <w:tcW w:w="1585" w:type="dxa"/>
            <w:tcBorders>
              <w:right w:val="single" w:color="auto" w:sz="4" w:space="0"/>
            </w:tcBorders>
            <w:vAlign w:val="center"/>
          </w:tcPr>
          <w:p>
            <w:pPr>
              <w:pStyle w:val="15"/>
              <w:rPr>
                <w:szCs w:val="24"/>
                <w:highlight w:val="none"/>
              </w:rPr>
            </w:pPr>
            <w:r>
              <w:rPr>
                <w:rFonts w:hint="eastAsia"/>
                <w:szCs w:val="24"/>
                <w:highlight w:val="none"/>
              </w:rPr>
              <w:t>120</w:t>
            </w:r>
          </w:p>
        </w:tc>
        <w:tc>
          <w:tcPr>
            <w:tcW w:w="1701" w:type="dxa"/>
            <w:tcBorders>
              <w:left w:val="single" w:color="auto" w:sz="4" w:space="0"/>
            </w:tcBorders>
            <w:vAlign w:val="center"/>
          </w:tcPr>
          <w:p>
            <w:pPr>
              <w:pStyle w:val="15"/>
              <w:rPr>
                <w:szCs w:val="24"/>
                <w:highlight w:val="none"/>
              </w:rPr>
            </w:pPr>
            <w:r>
              <w:rPr>
                <w:rFonts w:hint="eastAsia"/>
                <w:szCs w:val="24"/>
                <w:highlight w:val="none"/>
              </w:rPr>
              <w:t>100</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4</w:t>
            </w:r>
          </w:p>
        </w:tc>
        <w:tc>
          <w:tcPr>
            <w:tcW w:w="2835" w:type="dxa"/>
            <w:gridSpan w:val="2"/>
            <w:vAlign w:val="center"/>
          </w:tcPr>
          <w:p>
            <w:pPr>
              <w:pStyle w:val="15"/>
              <w:rPr>
                <w:szCs w:val="24"/>
                <w:highlight w:val="none"/>
              </w:rPr>
            </w:pPr>
            <w:r>
              <w:rPr>
                <w:szCs w:val="24"/>
                <w:highlight w:val="none"/>
              </w:rPr>
              <w:t>路基宽度</w:t>
            </w:r>
          </w:p>
        </w:tc>
        <w:tc>
          <w:tcPr>
            <w:tcW w:w="850" w:type="dxa"/>
            <w:vAlign w:val="center"/>
          </w:tcPr>
          <w:p>
            <w:pPr>
              <w:pStyle w:val="15"/>
              <w:rPr>
                <w:szCs w:val="24"/>
                <w:highlight w:val="none"/>
              </w:rPr>
            </w:pPr>
            <w:r>
              <w:rPr>
                <w:szCs w:val="24"/>
                <w:highlight w:val="none"/>
              </w:rPr>
              <w:t>m</w:t>
            </w:r>
          </w:p>
        </w:tc>
        <w:tc>
          <w:tcPr>
            <w:tcW w:w="1585" w:type="dxa"/>
            <w:tcBorders>
              <w:right w:val="single" w:color="auto" w:sz="4" w:space="0"/>
            </w:tcBorders>
            <w:vAlign w:val="center"/>
          </w:tcPr>
          <w:p>
            <w:pPr>
              <w:pStyle w:val="15"/>
              <w:rPr>
                <w:rFonts w:hint="eastAsia"/>
                <w:szCs w:val="24"/>
                <w:highlight w:val="none"/>
              </w:rPr>
            </w:pPr>
            <w:r>
              <w:rPr>
                <w:rFonts w:hint="eastAsia"/>
                <w:szCs w:val="24"/>
                <w:highlight w:val="none"/>
              </w:rPr>
              <w:t>33.5</w:t>
            </w:r>
          </w:p>
        </w:tc>
        <w:tc>
          <w:tcPr>
            <w:tcW w:w="1701" w:type="dxa"/>
            <w:tcBorders>
              <w:left w:val="single" w:color="auto" w:sz="4" w:space="0"/>
            </w:tcBorders>
            <w:vAlign w:val="center"/>
          </w:tcPr>
          <w:p>
            <w:pPr>
              <w:pStyle w:val="15"/>
              <w:rPr>
                <w:rFonts w:hint="eastAsia"/>
                <w:szCs w:val="24"/>
                <w:highlight w:val="none"/>
              </w:rPr>
            </w:pPr>
            <w:r>
              <w:rPr>
                <w:rFonts w:hint="eastAsia"/>
                <w:szCs w:val="24"/>
                <w:highlight w:val="none"/>
              </w:rPr>
              <w:t>33.5</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5</w:t>
            </w:r>
          </w:p>
        </w:tc>
        <w:tc>
          <w:tcPr>
            <w:tcW w:w="2835" w:type="dxa"/>
            <w:gridSpan w:val="2"/>
            <w:vAlign w:val="center"/>
          </w:tcPr>
          <w:p>
            <w:pPr>
              <w:pStyle w:val="15"/>
              <w:rPr>
                <w:szCs w:val="24"/>
                <w:highlight w:val="none"/>
              </w:rPr>
            </w:pPr>
            <w:r>
              <w:rPr>
                <w:szCs w:val="24"/>
                <w:highlight w:val="none"/>
              </w:rPr>
              <w:t>停车视距</w:t>
            </w:r>
          </w:p>
        </w:tc>
        <w:tc>
          <w:tcPr>
            <w:tcW w:w="850" w:type="dxa"/>
            <w:vAlign w:val="center"/>
          </w:tcPr>
          <w:p>
            <w:pPr>
              <w:pStyle w:val="15"/>
              <w:rPr>
                <w:szCs w:val="24"/>
                <w:highlight w:val="none"/>
              </w:rPr>
            </w:pPr>
            <w:r>
              <w:rPr>
                <w:szCs w:val="24"/>
                <w:highlight w:val="none"/>
              </w:rPr>
              <w:t>m</w:t>
            </w:r>
          </w:p>
        </w:tc>
        <w:tc>
          <w:tcPr>
            <w:tcW w:w="1585" w:type="dxa"/>
            <w:tcBorders>
              <w:right w:val="single" w:color="auto" w:sz="4" w:space="0"/>
            </w:tcBorders>
            <w:vAlign w:val="center"/>
          </w:tcPr>
          <w:p>
            <w:pPr>
              <w:pStyle w:val="15"/>
              <w:rPr>
                <w:szCs w:val="24"/>
                <w:highlight w:val="none"/>
              </w:rPr>
            </w:pPr>
            <w:r>
              <w:rPr>
                <w:rFonts w:hint="eastAsia"/>
                <w:szCs w:val="24"/>
                <w:highlight w:val="none"/>
              </w:rPr>
              <w:t>210</w:t>
            </w:r>
          </w:p>
        </w:tc>
        <w:tc>
          <w:tcPr>
            <w:tcW w:w="1701" w:type="dxa"/>
            <w:tcBorders>
              <w:left w:val="single" w:color="auto" w:sz="4" w:space="0"/>
            </w:tcBorders>
            <w:vAlign w:val="center"/>
          </w:tcPr>
          <w:p>
            <w:pPr>
              <w:pStyle w:val="15"/>
              <w:rPr>
                <w:szCs w:val="24"/>
                <w:highlight w:val="none"/>
              </w:rPr>
            </w:pPr>
            <w:r>
              <w:rPr>
                <w:rFonts w:hint="eastAsia"/>
                <w:szCs w:val="24"/>
                <w:highlight w:val="none"/>
              </w:rPr>
              <w:t>160</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6</w:t>
            </w:r>
          </w:p>
        </w:tc>
        <w:tc>
          <w:tcPr>
            <w:tcW w:w="2835" w:type="dxa"/>
            <w:gridSpan w:val="2"/>
            <w:vAlign w:val="center"/>
          </w:tcPr>
          <w:p>
            <w:pPr>
              <w:pStyle w:val="15"/>
              <w:rPr>
                <w:szCs w:val="24"/>
                <w:highlight w:val="none"/>
              </w:rPr>
            </w:pPr>
            <w:r>
              <w:rPr>
                <w:szCs w:val="24"/>
                <w:highlight w:val="none"/>
              </w:rPr>
              <w:t>平曲线一般最小半径</w:t>
            </w:r>
          </w:p>
        </w:tc>
        <w:tc>
          <w:tcPr>
            <w:tcW w:w="850" w:type="dxa"/>
            <w:vAlign w:val="center"/>
          </w:tcPr>
          <w:p>
            <w:pPr>
              <w:pStyle w:val="15"/>
              <w:rPr>
                <w:szCs w:val="24"/>
                <w:highlight w:val="none"/>
              </w:rPr>
            </w:pPr>
            <w:r>
              <w:rPr>
                <w:szCs w:val="24"/>
                <w:highlight w:val="none"/>
              </w:rPr>
              <w:t>m</w:t>
            </w:r>
          </w:p>
        </w:tc>
        <w:tc>
          <w:tcPr>
            <w:tcW w:w="1585" w:type="dxa"/>
            <w:tcBorders>
              <w:right w:val="single" w:color="auto" w:sz="4" w:space="0"/>
            </w:tcBorders>
            <w:vAlign w:val="center"/>
          </w:tcPr>
          <w:p>
            <w:pPr>
              <w:pStyle w:val="15"/>
              <w:rPr>
                <w:szCs w:val="24"/>
                <w:highlight w:val="none"/>
              </w:rPr>
            </w:pPr>
            <w:r>
              <w:rPr>
                <w:rFonts w:hint="eastAsia"/>
                <w:szCs w:val="24"/>
                <w:highlight w:val="none"/>
              </w:rPr>
              <w:t>1000</w:t>
            </w:r>
          </w:p>
        </w:tc>
        <w:tc>
          <w:tcPr>
            <w:tcW w:w="1701" w:type="dxa"/>
            <w:tcBorders>
              <w:left w:val="single" w:color="auto" w:sz="4" w:space="0"/>
            </w:tcBorders>
            <w:vAlign w:val="center"/>
          </w:tcPr>
          <w:p>
            <w:pPr>
              <w:pStyle w:val="15"/>
              <w:rPr>
                <w:szCs w:val="24"/>
                <w:highlight w:val="none"/>
              </w:rPr>
            </w:pPr>
            <w:r>
              <w:rPr>
                <w:rFonts w:hint="eastAsia"/>
                <w:szCs w:val="24"/>
                <w:highlight w:val="none"/>
              </w:rPr>
              <w:t>700</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7</w:t>
            </w:r>
          </w:p>
        </w:tc>
        <w:tc>
          <w:tcPr>
            <w:tcW w:w="2835" w:type="dxa"/>
            <w:gridSpan w:val="2"/>
            <w:vAlign w:val="center"/>
          </w:tcPr>
          <w:p>
            <w:pPr>
              <w:pStyle w:val="15"/>
              <w:rPr>
                <w:szCs w:val="24"/>
                <w:highlight w:val="none"/>
              </w:rPr>
            </w:pPr>
            <w:r>
              <w:rPr>
                <w:szCs w:val="24"/>
                <w:highlight w:val="none"/>
              </w:rPr>
              <w:t>不设超高最小平曲线半径</w:t>
            </w:r>
          </w:p>
        </w:tc>
        <w:tc>
          <w:tcPr>
            <w:tcW w:w="850" w:type="dxa"/>
            <w:vAlign w:val="center"/>
          </w:tcPr>
          <w:p>
            <w:pPr>
              <w:pStyle w:val="15"/>
              <w:rPr>
                <w:szCs w:val="24"/>
                <w:highlight w:val="none"/>
              </w:rPr>
            </w:pPr>
            <w:r>
              <w:rPr>
                <w:szCs w:val="24"/>
                <w:highlight w:val="none"/>
              </w:rPr>
              <w:t>m</w:t>
            </w:r>
          </w:p>
        </w:tc>
        <w:tc>
          <w:tcPr>
            <w:tcW w:w="1585" w:type="dxa"/>
            <w:tcBorders>
              <w:right w:val="single" w:color="auto" w:sz="4" w:space="0"/>
            </w:tcBorders>
            <w:vAlign w:val="center"/>
          </w:tcPr>
          <w:p>
            <w:pPr>
              <w:pStyle w:val="15"/>
              <w:rPr>
                <w:szCs w:val="24"/>
                <w:highlight w:val="none"/>
              </w:rPr>
            </w:pPr>
            <w:r>
              <w:rPr>
                <w:rFonts w:hint="eastAsia"/>
                <w:szCs w:val="24"/>
                <w:highlight w:val="none"/>
              </w:rPr>
              <w:t>5500</w:t>
            </w:r>
          </w:p>
        </w:tc>
        <w:tc>
          <w:tcPr>
            <w:tcW w:w="1701" w:type="dxa"/>
            <w:tcBorders>
              <w:left w:val="single" w:color="auto" w:sz="4" w:space="0"/>
            </w:tcBorders>
            <w:vAlign w:val="center"/>
          </w:tcPr>
          <w:p>
            <w:pPr>
              <w:pStyle w:val="15"/>
              <w:rPr>
                <w:szCs w:val="24"/>
                <w:highlight w:val="none"/>
              </w:rPr>
            </w:pPr>
            <w:r>
              <w:rPr>
                <w:rFonts w:hint="eastAsia"/>
                <w:szCs w:val="24"/>
                <w:highlight w:val="none"/>
              </w:rPr>
              <w:t>4000</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8</w:t>
            </w:r>
          </w:p>
        </w:tc>
        <w:tc>
          <w:tcPr>
            <w:tcW w:w="2835" w:type="dxa"/>
            <w:gridSpan w:val="2"/>
            <w:vAlign w:val="center"/>
          </w:tcPr>
          <w:p>
            <w:pPr>
              <w:pStyle w:val="15"/>
              <w:rPr>
                <w:szCs w:val="24"/>
                <w:highlight w:val="none"/>
              </w:rPr>
            </w:pPr>
            <w:r>
              <w:rPr>
                <w:szCs w:val="24"/>
                <w:highlight w:val="none"/>
              </w:rPr>
              <w:t>最大纵坡</w:t>
            </w:r>
          </w:p>
        </w:tc>
        <w:tc>
          <w:tcPr>
            <w:tcW w:w="850" w:type="dxa"/>
            <w:vAlign w:val="center"/>
          </w:tcPr>
          <w:p>
            <w:pPr>
              <w:pStyle w:val="15"/>
              <w:rPr>
                <w:szCs w:val="24"/>
                <w:highlight w:val="none"/>
              </w:rPr>
            </w:pPr>
            <w:r>
              <w:rPr>
                <w:szCs w:val="24"/>
                <w:highlight w:val="none"/>
              </w:rPr>
              <w:t>%</w:t>
            </w:r>
          </w:p>
        </w:tc>
        <w:tc>
          <w:tcPr>
            <w:tcW w:w="1585" w:type="dxa"/>
            <w:tcBorders>
              <w:right w:val="single" w:color="auto" w:sz="4" w:space="0"/>
            </w:tcBorders>
            <w:vAlign w:val="center"/>
          </w:tcPr>
          <w:p>
            <w:pPr>
              <w:pStyle w:val="15"/>
              <w:rPr>
                <w:szCs w:val="24"/>
                <w:highlight w:val="none"/>
              </w:rPr>
            </w:pPr>
            <w:r>
              <w:rPr>
                <w:rFonts w:hint="eastAsia"/>
                <w:szCs w:val="24"/>
                <w:highlight w:val="none"/>
              </w:rPr>
              <w:t>3</w:t>
            </w:r>
          </w:p>
        </w:tc>
        <w:tc>
          <w:tcPr>
            <w:tcW w:w="1701" w:type="dxa"/>
            <w:tcBorders>
              <w:left w:val="single" w:color="auto" w:sz="4" w:space="0"/>
            </w:tcBorders>
            <w:vAlign w:val="center"/>
          </w:tcPr>
          <w:p>
            <w:pPr>
              <w:pStyle w:val="15"/>
              <w:rPr>
                <w:szCs w:val="24"/>
                <w:highlight w:val="none"/>
              </w:rPr>
            </w:pPr>
            <w:r>
              <w:rPr>
                <w:rFonts w:hint="eastAsia"/>
                <w:szCs w:val="24"/>
                <w:highlight w:val="none"/>
              </w:rPr>
              <w:t>4</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9</w:t>
            </w:r>
          </w:p>
        </w:tc>
        <w:tc>
          <w:tcPr>
            <w:tcW w:w="2835" w:type="dxa"/>
            <w:gridSpan w:val="2"/>
            <w:vAlign w:val="center"/>
          </w:tcPr>
          <w:p>
            <w:pPr>
              <w:pStyle w:val="15"/>
              <w:rPr>
                <w:szCs w:val="24"/>
                <w:highlight w:val="none"/>
              </w:rPr>
            </w:pPr>
            <w:r>
              <w:rPr>
                <w:szCs w:val="24"/>
                <w:highlight w:val="none"/>
              </w:rPr>
              <w:t>最小坡长</w:t>
            </w:r>
          </w:p>
        </w:tc>
        <w:tc>
          <w:tcPr>
            <w:tcW w:w="850" w:type="dxa"/>
            <w:vAlign w:val="center"/>
          </w:tcPr>
          <w:p>
            <w:pPr>
              <w:pStyle w:val="15"/>
              <w:rPr>
                <w:szCs w:val="24"/>
                <w:highlight w:val="none"/>
              </w:rPr>
            </w:pPr>
            <w:r>
              <w:rPr>
                <w:szCs w:val="24"/>
                <w:highlight w:val="none"/>
              </w:rPr>
              <w:t>m</w:t>
            </w:r>
          </w:p>
        </w:tc>
        <w:tc>
          <w:tcPr>
            <w:tcW w:w="1585" w:type="dxa"/>
            <w:tcBorders>
              <w:right w:val="single" w:color="auto" w:sz="4" w:space="0"/>
            </w:tcBorders>
            <w:vAlign w:val="center"/>
          </w:tcPr>
          <w:p>
            <w:pPr>
              <w:pStyle w:val="15"/>
              <w:rPr>
                <w:szCs w:val="24"/>
                <w:highlight w:val="none"/>
              </w:rPr>
            </w:pPr>
            <w:r>
              <w:rPr>
                <w:rFonts w:hint="eastAsia"/>
                <w:szCs w:val="24"/>
                <w:highlight w:val="none"/>
              </w:rPr>
              <w:t>300</w:t>
            </w:r>
          </w:p>
        </w:tc>
        <w:tc>
          <w:tcPr>
            <w:tcW w:w="1701" w:type="dxa"/>
            <w:tcBorders>
              <w:left w:val="single" w:color="auto" w:sz="4" w:space="0"/>
            </w:tcBorders>
            <w:vAlign w:val="center"/>
          </w:tcPr>
          <w:p>
            <w:pPr>
              <w:pStyle w:val="15"/>
              <w:rPr>
                <w:szCs w:val="24"/>
                <w:highlight w:val="none"/>
              </w:rPr>
            </w:pPr>
            <w:r>
              <w:rPr>
                <w:rFonts w:hint="eastAsia"/>
                <w:szCs w:val="24"/>
                <w:highlight w:val="none"/>
              </w:rPr>
              <w:t>250</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Merge w:val="restart"/>
            <w:vAlign w:val="center"/>
          </w:tcPr>
          <w:p>
            <w:pPr>
              <w:pStyle w:val="15"/>
              <w:rPr>
                <w:szCs w:val="24"/>
                <w:highlight w:val="none"/>
              </w:rPr>
            </w:pPr>
            <w:r>
              <w:rPr>
                <w:szCs w:val="24"/>
                <w:highlight w:val="none"/>
              </w:rPr>
              <w:t>1</w:t>
            </w:r>
            <w:r>
              <w:rPr>
                <w:rFonts w:hint="eastAsia"/>
                <w:szCs w:val="24"/>
                <w:highlight w:val="none"/>
              </w:rPr>
              <w:t>0</w:t>
            </w:r>
          </w:p>
        </w:tc>
        <w:tc>
          <w:tcPr>
            <w:tcW w:w="1559" w:type="dxa"/>
            <w:vMerge w:val="restart"/>
            <w:vAlign w:val="center"/>
          </w:tcPr>
          <w:p>
            <w:pPr>
              <w:pStyle w:val="15"/>
              <w:rPr>
                <w:szCs w:val="24"/>
                <w:highlight w:val="none"/>
              </w:rPr>
            </w:pPr>
            <w:r>
              <w:rPr>
                <w:szCs w:val="24"/>
                <w:highlight w:val="none"/>
              </w:rPr>
              <w:t>竖曲线</w:t>
            </w:r>
          </w:p>
          <w:p>
            <w:pPr>
              <w:pStyle w:val="15"/>
              <w:rPr>
                <w:szCs w:val="24"/>
                <w:highlight w:val="none"/>
              </w:rPr>
            </w:pPr>
            <w:r>
              <w:rPr>
                <w:szCs w:val="24"/>
                <w:highlight w:val="none"/>
              </w:rPr>
              <w:t>最小半径</w:t>
            </w:r>
          </w:p>
        </w:tc>
        <w:tc>
          <w:tcPr>
            <w:tcW w:w="1276" w:type="dxa"/>
            <w:vAlign w:val="center"/>
          </w:tcPr>
          <w:p>
            <w:pPr>
              <w:pStyle w:val="15"/>
              <w:rPr>
                <w:szCs w:val="24"/>
                <w:highlight w:val="none"/>
              </w:rPr>
            </w:pPr>
            <w:r>
              <w:rPr>
                <w:szCs w:val="24"/>
                <w:highlight w:val="none"/>
              </w:rPr>
              <w:t>凸型</w:t>
            </w:r>
          </w:p>
        </w:tc>
        <w:tc>
          <w:tcPr>
            <w:tcW w:w="850" w:type="dxa"/>
            <w:vAlign w:val="center"/>
          </w:tcPr>
          <w:p>
            <w:pPr>
              <w:pStyle w:val="15"/>
              <w:rPr>
                <w:szCs w:val="24"/>
                <w:highlight w:val="none"/>
              </w:rPr>
            </w:pPr>
            <w:r>
              <w:rPr>
                <w:szCs w:val="24"/>
                <w:highlight w:val="none"/>
              </w:rPr>
              <w:t>m</w:t>
            </w:r>
          </w:p>
        </w:tc>
        <w:tc>
          <w:tcPr>
            <w:tcW w:w="1585" w:type="dxa"/>
            <w:tcBorders>
              <w:right w:val="single" w:color="auto" w:sz="4" w:space="0"/>
            </w:tcBorders>
            <w:vAlign w:val="center"/>
          </w:tcPr>
          <w:p>
            <w:pPr>
              <w:pStyle w:val="15"/>
              <w:rPr>
                <w:szCs w:val="24"/>
                <w:highlight w:val="none"/>
              </w:rPr>
            </w:pPr>
            <w:r>
              <w:rPr>
                <w:rFonts w:hint="eastAsia"/>
                <w:szCs w:val="24"/>
                <w:highlight w:val="none"/>
              </w:rPr>
              <w:t>11000</w:t>
            </w:r>
          </w:p>
        </w:tc>
        <w:tc>
          <w:tcPr>
            <w:tcW w:w="1701" w:type="dxa"/>
            <w:tcBorders>
              <w:left w:val="single" w:color="auto" w:sz="4" w:space="0"/>
            </w:tcBorders>
            <w:vAlign w:val="center"/>
          </w:tcPr>
          <w:p>
            <w:pPr>
              <w:pStyle w:val="15"/>
              <w:rPr>
                <w:szCs w:val="24"/>
                <w:highlight w:val="none"/>
              </w:rPr>
            </w:pPr>
            <w:r>
              <w:rPr>
                <w:rFonts w:hint="eastAsia"/>
                <w:szCs w:val="24"/>
                <w:highlight w:val="none"/>
              </w:rPr>
              <w:t>6500</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Merge w:val="continue"/>
            <w:vAlign w:val="center"/>
          </w:tcPr>
          <w:p>
            <w:pPr>
              <w:pStyle w:val="15"/>
              <w:rPr>
                <w:szCs w:val="24"/>
                <w:highlight w:val="none"/>
              </w:rPr>
            </w:pPr>
          </w:p>
        </w:tc>
        <w:tc>
          <w:tcPr>
            <w:tcW w:w="1559" w:type="dxa"/>
            <w:vMerge w:val="continue"/>
            <w:vAlign w:val="center"/>
          </w:tcPr>
          <w:p>
            <w:pPr>
              <w:pStyle w:val="15"/>
              <w:rPr>
                <w:szCs w:val="24"/>
                <w:highlight w:val="none"/>
              </w:rPr>
            </w:pPr>
          </w:p>
        </w:tc>
        <w:tc>
          <w:tcPr>
            <w:tcW w:w="1276" w:type="dxa"/>
            <w:vAlign w:val="center"/>
          </w:tcPr>
          <w:p>
            <w:pPr>
              <w:pStyle w:val="15"/>
              <w:rPr>
                <w:szCs w:val="24"/>
                <w:highlight w:val="none"/>
              </w:rPr>
            </w:pPr>
            <w:r>
              <w:rPr>
                <w:szCs w:val="24"/>
                <w:highlight w:val="none"/>
              </w:rPr>
              <w:t>凹型</w:t>
            </w:r>
          </w:p>
        </w:tc>
        <w:tc>
          <w:tcPr>
            <w:tcW w:w="850" w:type="dxa"/>
            <w:vAlign w:val="center"/>
          </w:tcPr>
          <w:p>
            <w:pPr>
              <w:pStyle w:val="15"/>
              <w:rPr>
                <w:szCs w:val="24"/>
                <w:highlight w:val="none"/>
              </w:rPr>
            </w:pPr>
            <w:r>
              <w:rPr>
                <w:rFonts w:hint="eastAsia"/>
                <w:szCs w:val="24"/>
                <w:highlight w:val="none"/>
              </w:rPr>
              <w:t>m</w:t>
            </w:r>
          </w:p>
        </w:tc>
        <w:tc>
          <w:tcPr>
            <w:tcW w:w="1585" w:type="dxa"/>
            <w:tcBorders>
              <w:right w:val="single" w:color="auto" w:sz="4" w:space="0"/>
            </w:tcBorders>
            <w:vAlign w:val="center"/>
          </w:tcPr>
          <w:p>
            <w:pPr>
              <w:pStyle w:val="15"/>
              <w:rPr>
                <w:szCs w:val="24"/>
                <w:highlight w:val="none"/>
              </w:rPr>
            </w:pPr>
            <w:r>
              <w:rPr>
                <w:rFonts w:hint="eastAsia"/>
                <w:szCs w:val="24"/>
                <w:highlight w:val="none"/>
              </w:rPr>
              <w:t>4000</w:t>
            </w:r>
          </w:p>
        </w:tc>
        <w:tc>
          <w:tcPr>
            <w:tcW w:w="1701" w:type="dxa"/>
            <w:tcBorders>
              <w:left w:val="single" w:color="auto" w:sz="4" w:space="0"/>
            </w:tcBorders>
            <w:vAlign w:val="center"/>
          </w:tcPr>
          <w:p>
            <w:pPr>
              <w:pStyle w:val="15"/>
              <w:rPr>
                <w:szCs w:val="24"/>
                <w:highlight w:val="none"/>
              </w:rPr>
            </w:pPr>
            <w:r>
              <w:rPr>
                <w:rFonts w:hint="eastAsia"/>
                <w:szCs w:val="24"/>
                <w:highlight w:val="none"/>
              </w:rPr>
              <w:t>3000</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1</w:t>
            </w:r>
            <w:r>
              <w:rPr>
                <w:rFonts w:hint="eastAsia"/>
                <w:szCs w:val="24"/>
                <w:highlight w:val="none"/>
              </w:rPr>
              <w:t>1</w:t>
            </w:r>
          </w:p>
        </w:tc>
        <w:tc>
          <w:tcPr>
            <w:tcW w:w="2835" w:type="dxa"/>
            <w:gridSpan w:val="2"/>
            <w:vAlign w:val="center"/>
          </w:tcPr>
          <w:p>
            <w:pPr>
              <w:pStyle w:val="15"/>
              <w:rPr>
                <w:szCs w:val="24"/>
                <w:highlight w:val="none"/>
              </w:rPr>
            </w:pPr>
            <w:r>
              <w:rPr>
                <w:szCs w:val="24"/>
                <w:highlight w:val="none"/>
              </w:rPr>
              <w:t>行车道宽度</w:t>
            </w:r>
          </w:p>
        </w:tc>
        <w:tc>
          <w:tcPr>
            <w:tcW w:w="850" w:type="dxa"/>
            <w:vAlign w:val="center"/>
          </w:tcPr>
          <w:p>
            <w:pPr>
              <w:pStyle w:val="15"/>
              <w:rPr>
                <w:szCs w:val="24"/>
                <w:highlight w:val="none"/>
              </w:rPr>
            </w:pPr>
            <w:r>
              <w:rPr>
                <w:szCs w:val="24"/>
                <w:highlight w:val="none"/>
              </w:rPr>
              <w:t>m</w:t>
            </w:r>
          </w:p>
        </w:tc>
        <w:tc>
          <w:tcPr>
            <w:tcW w:w="3286" w:type="dxa"/>
            <w:gridSpan w:val="2"/>
            <w:vAlign w:val="center"/>
          </w:tcPr>
          <w:p>
            <w:pPr>
              <w:pStyle w:val="15"/>
              <w:rPr>
                <w:szCs w:val="24"/>
                <w:highlight w:val="none"/>
              </w:rPr>
            </w:pPr>
            <w:r>
              <w:rPr>
                <w:szCs w:val="24"/>
                <w:highlight w:val="none"/>
              </w:rPr>
              <w:t>2-</w:t>
            </w:r>
            <w:r>
              <w:rPr>
                <w:rFonts w:hint="eastAsia"/>
                <w:szCs w:val="24"/>
                <w:highlight w:val="none"/>
              </w:rPr>
              <w:t>3</w:t>
            </w:r>
            <w:r>
              <w:rPr>
                <w:szCs w:val="24"/>
                <w:highlight w:val="none"/>
              </w:rPr>
              <w:t>×3.75</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Merge w:val="restart"/>
            <w:vAlign w:val="center"/>
          </w:tcPr>
          <w:p>
            <w:pPr>
              <w:pStyle w:val="15"/>
              <w:rPr>
                <w:szCs w:val="24"/>
                <w:highlight w:val="none"/>
              </w:rPr>
            </w:pPr>
            <w:r>
              <w:rPr>
                <w:szCs w:val="24"/>
                <w:highlight w:val="none"/>
              </w:rPr>
              <w:t>12</w:t>
            </w:r>
          </w:p>
        </w:tc>
        <w:tc>
          <w:tcPr>
            <w:tcW w:w="1559" w:type="dxa"/>
            <w:vMerge w:val="restart"/>
            <w:tcBorders>
              <w:right w:val="single" w:color="auto" w:sz="4" w:space="0"/>
            </w:tcBorders>
            <w:vAlign w:val="center"/>
          </w:tcPr>
          <w:p>
            <w:pPr>
              <w:pStyle w:val="15"/>
              <w:rPr>
                <w:szCs w:val="24"/>
                <w:highlight w:val="none"/>
              </w:rPr>
            </w:pPr>
            <w:r>
              <w:rPr>
                <w:szCs w:val="24"/>
                <w:highlight w:val="none"/>
              </w:rPr>
              <w:t>荷载等级</w:t>
            </w:r>
          </w:p>
        </w:tc>
        <w:tc>
          <w:tcPr>
            <w:tcW w:w="1276" w:type="dxa"/>
            <w:tcBorders>
              <w:left w:val="single" w:color="auto" w:sz="4" w:space="0"/>
            </w:tcBorders>
            <w:vAlign w:val="center"/>
          </w:tcPr>
          <w:p>
            <w:pPr>
              <w:pStyle w:val="16"/>
              <w:spacing w:before="48" w:after="48"/>
              <w:rPr>
                <w:szCs w:val="24"/>
                <w:highlight w:val="none"/>
              </w:rPr>
            </w:pPr>
            <w:r>
              <w:rPr>
                <w:rFonts w:hint="eastAsia"/>
                <w:szCs w:val="24"/>
                <w:highlight w:val="none"/>
              </w:rPr>
              <w:t>桥涵、路基</w:t>
            </w:r>
          </w:p>
        </w:tc>
        <w:tc>
          <w:tcPr>
            <w:tcW w:w="850" w:type="dxa"/>
            <w:vAlign w:val="center"/>
          </w:tcPr>
          <w:p>
            <w:pPr>
              <w:pStyle w:val="15"/>
              <w:rPr>
                <w:szCs w:val="24"/>
                <w:highlight w:val="none"/>
              </w:rPr>
            </w:pPr>
          </w:p>
        </w:tc>
        <w:tc>
          <w:tcPr>
            <w:tcW w:w="3286" w:type="dxa"/>
            <w:gridSpan w:val="2"/>
            <w:vAlign w:val="center"/>
          </w:tcPr>
          <w:p>
            <w:pPr>
              <w:pStyle w:val="15"/>
              <w:rPr>
                <w:szCs w:val="24"/>
                <w:highlight w:val="none"/>
              </w:rPr>
            </w:pPr>
            <w:r>
              <w:rPr>
                <w:szCs w:val="24"/>
                <w:highlight w:val="none"/>
              </w:rPr>
              <w:t>公路</w:t>
            </w:r>
            <w:r>
              <w:rPr>
                <w:rFonts w:hint="eastAsia"/>
                <w:szCs w:val="24"/>
                <w:highlight w:val="none"/>
              </w:rPr>
              <w:t>-Ⅰ</w:t>
            </w:r>
            <w:r>
              <w:rPr>
                <w:szCs w:val="24"/>
                <w:highlight w:val="none"/>
              </w:rPr>
              <w:t>级</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Merge w:val="continue"/>
            <w:vAlign w:val="center"/>
          </w:tcPr>
          <w:p>
            <w:pPr>
              <w:pStyle w:val="15"/>
              <w:rPr>
                <w:szCs w:val="24"/>
                <w:highlight w:val="none"/>
              </w:rPr>
            </w:pPr>
          </w:p>
        </w:tc>
        <w:tc>
          <w:tcPr>
            <w:tcW w:w="1559" w:type="dxa"/>
            <w:vMerge w:val="continue"/>
            <w:tcBorders>
              <w:right w:val="single" w:color="auto" w:sz="4" w:space="0"/>
            </w:tcBorders>
            <w:vAlign w:val="center"/>
          </w:tcPr>
          <w:p>
            <w:pPr>
              <w:pStyle w:val="15"/>
              <w:rPr>
                <w:rFonts w:hint="eastAsia"/>
                <w:szCs w:val="24"/>
                <w:highlight w:val="none"/>
              </w:rPr>
            </w:pPr>
          </w:p>
        </w:tc>
        <w:tc>
          <w:tcPr>
            <w:tcW w:w="1276" w:type="dxa"/>
            <w:tcBorders>
              <w:left w:val="single" w:color="auto" w:sz="4" w:space="0"/>
            </w:tcBorders>
            <w:vAlign w:val="center"/>
          </w:tcPr>
          <w:p>
            <w:pPr>
              <w:pStyle w:val="16"/>
              <w:spacing w:before="48" w:after="48"/>
              <w:rPr>
                <w:szCs w:val="24"/>
                <w:highlight w:val="none"/>
              </w:rPr>
            </w:pPr>
            <w:r>
              <w:rPr>
                <w:rFonts w:hint="eastAsia"/>
                <w:szCs w:val="24"/>
                <w:highlight w:val="none"/>
              </w:rPr>
              <w:t>路面</w:t>
            </w:r>
          </w:p>
        </w:tc>
        <w:tc>
          <w:tcPr>
            <w:tcW w:w="850" w:type="dxa"/>
            <w:vAlign w:val="center"/>
          </w:tcPr>
          <w:p>
            <w:pPr>
              <w:pStyle w:val="15"/>
              <w:rPr>
                <w:szCs w:val="24"/>
                <w:highlight w:val="none"/>
              </w:rPr>
            </w:pPr>
          </w:p>
        </w:tc>
        <w:tc>
          <w:tcPr>
            <w:tcW w:w="3286" w:type="dxa"/>
            <w:gridSpan w:val="2"/>
            <w:vAlign w:val="center"/>
          </w:tcPr>
          <w:p>
            <w:pPr>
              <w:pStyle w:val="15"/>
              <w:rPr>
                <w:szCs w:val="24"/>
                <w:highlight w:val="none"/>
              </w:rPr>
            </w:pPr>
            <w:r>
              <w:rPr>
                <w:rFonts w:hint="eastAsia"/>
                <w:szCs w:val="24"/>
                <w:highlight w:val="none"/>
              </w:rPr>
              <w:t>BZZ－100</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13</w:t>
            </w:r>
          </w:p>
        </w:tc>
        <w:tc>
          <w:tcPr>
            <w:tcW w:w="2835" w:type="dxa"/>
            <w:gridSpan w:val="2"/>
            <w:vAlign w:val="center"/>
          </w:tcPr>
          <w:p>
            <w:pPr>
              <w:pStyle w:val="15"/>
              <w:rPr>
                <w:szCs w:val="24"/>
                <w:highlight w:val="none"/>
              </w:rPr>
            </w:pPr>
            <w:r>
              <w:rPr>
                <w:szCs w:val="24"/>
                <w:highlight w:val="none"/>
              </w:rPr>
              <w:t>桥</w:t>
            </w:r>
            <w:r>
              <w:rPr>
                <w:rFonts w:hint="eastAsia"/>
                <w:szCs w:val="24"/>
                <w:highlight w:val="none"/>
              </w:rPr>
              <w:t>梁</w:t>
            </w:r>
            <w:r>
              <w:rPr>
                <w:szCs w:val="24"/>
                <w:highlight w:val="none"/>
              </w:rPr>
              <w:t>宽</w:t>
            </w:r>
            <w:r>
              <w:rPr>
                <w:rFonts w:hint="eastAsia"/>
                <w:szCs w:val="24"/>
                <w:highlight w:val="none"/>
              </w:rPr>
              <w:t>度</w:t>
            </w:r>
          </w:p>
        </w:tc>
        <w:tc>
          <w:tcPr>
            <w:tcW w:w="850" w:type="dxa"/>
            <w:vAlign w:val="center"/>
          </w:tcPr>
          <w:p>
            <w:pPr>
              <w:pStyle w:val="15"/>
              <w:rPr>
                <w:szCs w:val="24"/>
                <w:highlight w:val="none"/>
              </w:rPr>
            </w:pPr>
            <w:r>
              <w:rPr>
                <w:szCs w:val="24"/>
                <w:highlight w:val="none"/>
              </w:rPr>
              <w:t>m</w:t>
            </w:r>
          </w:p>
        </w:tc>
        <w:tc>
          <w:tcPr>
            <w:tcW w:w="3286" w:type="dxa"/>
            <w:gridSpan w:val="2"/>
            <w:vAlign w:val="center"/>
          </w:tcPr>
          <w:p>
            <w:pPr>
              <w:pStyle w:val="15"/>
              <w:rPr>
                <w:szCs w:val="24"/>
                <w:highlight w:val="none"/>
              </w:rPr>
            </w:pPr>
            <w:r>
              <w:rPr>
                <w:rFonts w:hint="eastAsia"/>
                <w:szCs w:val="24"/>
                <w:highlight w:val="none"/>
              </w:rPr>
              <w:t>2</w:t>
            </w:r>
            <w:r>
              <w:rPr>
                <w:szCs w:val="24"/>
                <w:highlight w:val="none"/>
              </w:rPr>
              <w:t>×</w:t>
            </w:r>
            <w:r>
              <w:rPr>
                <w:rFonts w:hint="eastAsia"/>
                <w:szCs w:val="24"/>
                <w:highlight w:val="none"/>
              </w:rPr>
              <w:t>16.5</w:t>
            </w:r>
          </w:p>
        </w:tc>
        <w:tc>
          <w:tcPr>
            <w:tcW w:w="1276" w:type="dxa"/>
            <w:vAlign w:val="center"/>
          </w:tcPr>
          <w:p>
            <w:pPr>
              <w:pStyle w:val="15"/>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397" w:hRule="atLeast"/>
          <w:jc w:val="center"/>
        </w:trPr>
        <w:tc>
          <w:tcPr>
            <w:tcW w:w="411" w:type="dxa"/>
            <w:vAlign w:val="center"/>
          </w:tcPr>
          <w:p>
            <w:pPr>
              <w:pStyle w:val="15"/>
              <w:rPr>
                <w:szCs w:val="24"/>
                <w:highlight w:val="none"/>
              </w:rPr>
            </w:pPr>
            <w:r>
              <w:rPr>
                <w:szCs w:val="24"/>
                <w:highlight w:val="none"/>
              </w:rPr>
              <w:t>14</w:t>
            </w:r>
          </w:p>
        </w:tc>
        <w:tc>
          <w:tcPr>
            <w:tcW w:w="2835" w:type="dxa"/>
            <w:gridSpan w:val="2"/>
            <w:vAlign w:val="center"/>
          </w:tcPr>
          <w:p>
            <w:pPr>
              <w:pStyle w:val="15"/>
              <w:rPr>
                <w:szCs w:val="24"/>
                <w:highlight w:val="none"/>
              </w:rPr>
            </w:pPr>
            <w:r>
              <w:rPr>
                <w:szCs w:val="24"/>
                <w:highlight w:val="none"/>
              </w:rPr>
              <w:t>隧道净宽</w:t>
            </w:r>
          </w:p>
        </w:tc>
        <w:tc>
          <w:tcPr>
            <w:tcW w:w="850" w:type="dxa"/>
            <w:vAlign w:val="center"/>
          </w:tcPr>
          <w:p>
            <w:pPr>
              <w:pStyle w:val="15"/>
              <w:rPr>
                <w:szCs w:val="24"/>
                <w:highlight w:val="none"/>
              </w:rPr>
            </w:pPr>
            <w:r>
              <w:rPr>
                <w:szCs w:val="24"/>
                <w:highlight w:val="none"/>
              </w:rPr>
              <w:t>m</w:t>
            </w:r>
          </w:p>
        </w:tc>
        <w:tc>
          <w:tcPr>
            <w:tcW w:w="3286" w:type="dxa"/>
            <w:gridSpan w:val="2"/>
            <w:vAlign w:val="center"/>
          </w:tcPr>
          <w:p>
            <w:pPr>
              <w:pStyle w:val="15"/>
              <w:rPr>
                <w:szCs w:val="24"/>
                <w:highlight w:val="none"/>
              </w:rPr>
            </w:pPr>
            <w:r>
              <w:rPr>
                <w:szCs w:val="24"/>
                <w:highlight w:val="none"/>
              </w:rPr>
              <w:t>2×</w:t>
            </w:r>
            <w:r>
              <w:rPr>
                <w:rFonts w:hint="eastAsia"/>
                <w:szCs w:val="24"/>
                <w:highlight w:val="none"/>
              </w:rPr>
              <w:t>15.5</w:t>
            </w:r>
          </w:p>
        </w:tc>
        <w:tc>
          <w:tcPr>
            <w:tcW w:w="1276" w:type="dxa"/>
            <w:vAlign w:val="center"/>
          </w:tcPr>
          <w:p>
            <w:pPr>
              <w:pStyle w:val="15"/>
              <w:rPr>
                <w:szCs w:val="24"/>
                <w:highlight w:val="none"/>
              </w:rPr>
            </w:pPr>
          </w:p>
        </w:tc>
      </w:tr>
    </w:tbl>
    <w:p>
      <w:pPr>
        <w:spacing w:line="460" w:lineRule="exact"/>
        <w:ind w:firstLine="480" w:firstLineChars="200"/>
        <w:rPr>
          <w:rFonts w:hint="eastAsia"/>
          <w:sz w:val="24"/>
          <w:highlight w:val="none"/>
        </w:rPr>
      </w:pPr>
    </w:p>
    <w:p>
      <w:pPr>
        <w:spacing w:line="460" w:lineRule="exact"/>
        <w:rPr>
          <w:rFonts w:hint="eastAsia" w:ascii="宋体" w:hAnsi="宋体"/>
          <w:b/>
          <w:bCs/>
          <w:sz w:val="24"/>
          <w:highlight w:val="none"/>
          <w:u w:val="single"/>
        </w:rPr>
      </w:pPr>
      <w:r>
        <w:rPr>
          <w:rFonts w:hint="eastAsia" w:ascii="宋体" w:hAnsi="宋体"/>
          <w:b/>
          <w:bCs/>
          <w:sz w:val="24"/>
          <w:highlight w:val="none"/>
        </w:rPr>
        <w:t>3  气象与水文简况</w:t>
      </w:r>
    </w:p>
    <w:p>
      <w:pPr>
        <w:spacing w:line="460" w:lineRule="exact"/>
        <w:ind w:firstLine="480" w:firstLineChars="200"/>
        <w:rPr>
          <w:rFonts w:hint="eastAsia" w:ascii="宋体" w:hAnsi="宋体"/>
          <w:sz w:val="24"/>
          <w:highlight w:val="none"/>
        </w:rPr>
      </w:pPr>
      <w:r>
        <w:rPr>
          <w:rFonts w:hint="eastAsia" w:ascii="宋体" w:hAnsi="宋体"/>
          <w:sz w:val="24"/>
          <w:highlight w:val="none"/>
        </w:rPr>
        <w:t>本区属亚热带季风湿润气候，四季分明，温暖湿润，雨量充沛，春湿多雨，夏秋多旱，严寒期短，暑热期长。降水多集中于3～8月，其中4～6月为雨季，3个月降水量占全年降雨量的37～46%，多年平均气温17.4℃，极端最高、最低气温分别为40.5℃、-11.5℃。多年平均降水量1412.2mm，最大日降水量195.7mm。多年平均相对湿度、蒸发量、风速分别为79%、1369.8mm及2.2m/s。</w:t>
      </w:r>
    </w:p>
    <w:p>
      <w:pPr>
        <w:spacing w:line="460" w:lineRule="exact"/>
        <w:ind w:firstLine="480" w:firstLineChars="200"/>
        <w:rPr>
          <w:rFonts w:hint="eastAsia" w:ascii="宋体" w:hAnsi="宋体"/>
          <w:sz w:val="24"/>
          <w:highlight w:val="none"/>
        </w:rPr>
      </w:pPr>
      <w:r>
        <w:rPr>
          <w:rFonts w:hint="eastAsia" w:ascii="宋体" w:hAnsi="宋体"/>
          <w:sz w:val="24"/>
          <w:highlight w:val="none"/>
        </w:rPr>
        <w:t>项目区K14+000～K31+784属湘江水系，沿线经过的河流主要有沩水及其支流八曲河，其余支流规模较小。</w:t>
      </w:r>
    </w:p>
    <w:p>
      <w:pPr>
        <w:spacing w:line="460" w:lineRule="exact"/>
        <w:ind w:firstLine="480" w:firstLineChars="200"/>
        <w:rPr>
          <w:rFonts w:hint="eastAsia" w:ascii="宋体" w:hAnsi="宋体"/>
          <w:sz w:val="24"/>
          <w:highlight w:val="none"/>
        </w:rPr>
      </w:pPr>
      <w:r>
        <w:rPr>
          <w:rFonts w:hint="eastAsia" w:ascii="宋体" w:hAnsi="宋体"/>
          <w:sz w:val="24"/>
          <w:highlight w:val="none"/>
        </w:rPr>
        <w:t>项目区K31+784～K47+078.802、CK0+254.516～CK3+459.118地表水属资江水系，多经人工改道，流源短，径流小，易干涸。公路沿线范围最大河流为人工河新河，其次还有一些小支流水系、干渠及配套的人工沟渠，地表水位和流量的变化与降水量有密切的关系。由于公路沿线区域属于洞庭湖区，水库河道星罗棋布，数量众多，其中距离本项目较近的水库有嵩家塘水库、德家塘水库、渣波塘水库等人工水库和众多大小水塘。</w:t>
      </w:r>
    </w:p>
    <w:p>
      <w:pPr>
        <w:spacing w:line="460" w:lineRule="exact"/>
        <w:rPr>
          <w:rFonts w:hint="eastAsia" w:ascii="宋体" w:hAnsi="宋体"/>
          <w:b/>
          <w:bCs/>
          <w:sz w:val="24"/>
          <w:highlight w:val="none"/>
        </w:rPr>
      </w:pPr>
    </w:p>
    <w:p>
      <w:pPr>
        <w:rPr>
          <w:rFonts w:hint="eastAsia" w:ascii="宋体" w:hAnsi="宋体"/>
          <w:b/>
          <w:bCs/>
          <w:sz w:val="24"/>
          <w:highlight w:val="none"/>
        </w:rPr>
      </w:pPr>
      <w:r>
        <w:rPr>
          <w:rFonts w:hint="eastAsia" w:ascii="宋体" w:hAnsi="宋体"/>
          <w:b/>
          <w:bCs/>
          <w:sz w:val="24"/>
          <w:highlight w:val="none"/>
        </w:rPr>
        <w:t>4  地形与地质简况</w:t>
      </w:r>
    </w:p>
    <w:p>
      <w:pPr>
        <w:rPr>
          <w:rFonts w:hint="eastAsia" w:ascii="宋体" w:hAnsi="宋体"/>
          <w:b/>
          <w:bCs/>
          <w:sz w:val="24"/>
          <w:highlight w:val="none"/>
        </w:rPr>
      </w:pPr>
      <w:r>
        <w:rPr>
          <w:rFonts w:hint="eastAsia" w:ascii="宋体" w:hAnsi="宋体"/>
          <w:b/>
          <w:bCs/>
          <w:sz w:val="24"/>
          <w:highlight w:val="none"/>
        </w:rPr>
        <w:t xml:space="preserve">   4.1地形地貌</w:t>
      </w:r>
    </w:p>
    <w:p>
      <w:pPr>
        <w:rPr>
          <w:rFonts w:hint="eastAsia" w:ascii="宋体" w:hAnsi="宋体"/>
          <w:b/>
          <w:bCs/>
          <w:sz w:val="24"/>
          <w:highlight w:val="none"/>
        </w:rPr>
      </w:pPr>
      <w:r>
        <w:rPr>
          <w:rFonts w:hint="eastAsia" w:ascii="宋体" w:hAnsi="宋体"/>
          <w:b/>
          <w:bCs/>
          <w:sz w:val="24"/>
          <w:highlight w:val="none"/>
        </w:rPr>
        <w:t xml:space="preserve">    路线走廊带位于湖南省洞庭湖南侧丘岗区、平原区及丘陵区，地势总体东部高，西部低。地形起伏小，丘岗与平原相间分布，地表水系发育。最大标高166m，一般标高35～65m，相对高差10～50m。农田、村舍广布，植被较发育。</w:t>
      </w:r>
    </w:p>
    <w:p>
      <w:pPr>
        <w:rPr>
          <w:rFonts w:hint="eastAsia" w:ascii="宋体" w:hAnsi="宋体"/>
          <w:b/>
          <w:bCs/>
          <w:sz w:val="24"/>
          <w:highlight w:val="none"/>
        </w:rPr>
      </w:pPr>
      <w:r>
        <w:rPr>
          <w:rFonts w:hint="eastAsia" w:ascii="宋体" w:hAnsi="宋体"/>
          <w:b/>
          <w:bCs/>
          <w:sz w:val="24"/>
          <w:highlight w:val="none"/>
        </w:rPr>
        <w:t>本项目K0+000～K14+000为丘陵板岩区，该区地形起伏相对较大。</w:t>
      </w:r>
    </w:p>
    <w:p>
      <w:pPr>
        <w:rPr>
          <w:rFonts w:hint="eastAsia" w:ascii="宋体" w:hAnsi="宋体"/>
          <w:b/>
          <w:bCs/>
          <w:sz w:val="24"/>
          <w:highlight w:val="none"/>
        </w:rPr>
      </w:pPr>
      <w:r>
        <w:rPr>
          <w:rFonts w:hint="eastAsia" w:ascii="宋体" w:hAnsi="宋体"/>
          <w:b/>
          <w:bCs/>
          <w:sz w:val="24"/>
          <w:highlight w:val="none"/>
        </w:rPr>
        <w:t>K14+000～K47+078.802、CK0+254.516～CK3+495.118为丘岗、平原区，地形起伏小，丘岗与平原相间分布。</w:t>
      </w:r>
    </w:p>
    <w:p>
      <w:pPr>
        <w:rPr>
          <w:rFonts w:hint="eastAsia" w:ascii="宋体" w:hAnsi="宋体"/>
          <w:b/>
          <w:bCs/>
          <w:sz w:val="24"/>
          <w:highlight w:val="none"/>
        </w:rPr>
      </w:pPr>
      <w:r>
        <w:rPr>
          <w:rFonts w:hint="eastAsia" w:ascii="宋体" w:hAnsi="宋体"/>
          <w:b/>
          <w:bCs/>
          <w:sz w:val="24"/>
          <w:highlight w:val="none"/>
        </w:rPr>
        <w:t xml:space="preserve">    4.2地震及区域地质稳定性评价</w:t>
      </w:r>
    </w:p>
    <w:p>
      <w:pPr>
        <w:rPr>
          <w:rFonts w:hint="eastAsia" w:ascii="宋体" w:hAnsi="宋体"/>
          <w:b/>
          <w:bCs/>
          <w:sz w:val="24"/>
          <w:highlight w:val="none"/>
        </w:rPr>
      </w:pPr>
      <w:r>
        <w:rPr>
          <w:rFonts w:hint="eastAsia" w:ascii="宋体" w:hAnsi="宋体"/>
          <w:b/>
          <w:bCs/>
          <w:sz w:val="24"/>
          <w:highlight w:val="none"/>
        </w:rPr>
        <w:t xml:space="preserve">    洞庭湖区是湖南省地震活动强度相对较大频率较高的地区，据历史记载区内共发生大小有记录的地震144次，4—6级地震有5次，曾经发生过2次破坏性地震。1631年常德—澧县发生6.5级八度地震，1509年宁乡—益阳发生4.75级地震。近代仪器记录1—3.8级地震13次，有感地震7次。</w:t>
      </w:r>
    </w:p>
    <w:p>
      <w:pPr>
        <w:rPr>
          <w:rFonts w:hint="eastAsia" w:ascii="宋体" w:hAnsi="宋体"/>
          <w:b/>
          <w:bCs/>
          <w:sz w:val="24"/>
          <w:highlight w:val="none"/>
        </w:rPr>
      </w:pPr>
      <w:r>
        <w:rPr>
          <w:rFonts w:hint="eastAsia" w:ascii="宋体" w:hAnsi="宋体"/>
          <w:b/>
          <w:bCs/>
          <w:sz w:val="24"/>
          <w:highlight w:val="none"/>
        </w:rPr>
        <w:t>据国家质量技术监督局《中国地震动参数区划图》（2001），路线所经地域的地震动反应谱特征周期为0.35s，地震动峰值加速度为0.05g。依据《公路工程技术标准》JTG B01-2003、《公路工程抗震设计规范》（JTG B02-2013)、《公路桥梁抗震设计细则》JTG/T B02-01-2008的规定，公路工程可采用简易抗震设防。</w:t>
      </w:r>
    </w:p>
    <w:p>
      <w:pPr>
        <w:rPr>
          <w:rFonts w:hint="eastAsia" w:ascii="宋体" w:hAnsi="宋体"/>
          <w:b/>
          <w:bCs/>
          <w:sz w:val="24"/>
          <w:highlight w:val="none"/>
        </w:rPr>
      </w:pPr>
      <w:r>
        <w:rPr>
          <w:rFonts w:hint="eastAsia" w:ascii="宋体" w:hAnsi="宋体"/>
          <w:b/>
          <w:bCs/>
          <w:sz w:val="24"/>
          <w:highlight w:val="none"/>
        </w:rPr>
        <w:t>4.3沿线工程地质条件</w:t>
      </w:r>
    </w:p>
    <w:p>
      <w:pPr>
        <w:rPr>
          <w:rFonts w:hint="eastAsia" w:ascii="宋体" w:hAnsi="宋体"/>
          <w:b/>
          <w:bCs/>
          <w:sz w:val="24"/>
          <w:highlight w:val="none"/>
        </w:rPr>
      </w:pPr>
      <w:r>
        <w:rPr>
          <w:rFonts w:hint="eastAsia" w:ascii="宋体" w:hAnsi="宋体"/>
          <w:b/>
          <w:bCs/>
          <w:sz w:val="24"/>
          <w:highlight w:val="none"/>
        </w:rPr>
        <w:t xml:space="preserve">     4.3.1地层岩性</w:t>
      </w:r>
    </w:p>
    <w:p>
      <w:pPr>
        <w:rPr>
          <w:rFonts w:hint="eastAsia" w:ascii="宋体" w:hAnsi="宋体"/>
          <w:b/>
          <w:bCs/>
          <w:sz w:val="24"/>
          <w:highlight w:val="none"/>
        </w:rPr>
      </w:pPr>
      <w:r>
        <w:rPr>
          <w:rFonts w:hint="eastAsia" w:ascii="宋体" w:hAnsi="宋体"/>
          <w:b/>
          <w:bCs/>
          <w:sz w:val="24"/>
          <w:highlight w:val="none"/>
        </w:rPr>
        <w:t xml:space="preserve">     项目区覆盖层为第四系地层，主要以冲洪积成因的粉质黏土、黏土、卵石和残坡积的黏土、碎石等地层为主。</w:t>
      </w:r>
    </w:p>
    <w:p>
      <w:pPr>
        <w:rPr>
          <w:rFonts w:hint="eastAsia" w:ascii="宋体" w:hAnsi="宋体"/>
          <w:b/>
          <w:bCs/>
          <w:sz w:val="24"/>
          <w:highlight w:val="none"/>
        </w:rPr>
      </w:pPr>
      <w:r>
        <w:rPr>
          <w:rFonts w:hint="eastAsia" w:ascii="宋体" w:hAnsi="宋体"/>
          <w:b/>
          <w:bCs/>
          <w:sz w:val="24"/>
          <w:highlight w:val="none"/>
        </w:rPr>
        <w:t>基岩：在K0～K14+500为元古界冷家溪群下段泥质板岩，全强风化层较厚； K14+500～K17+900为下第三系砾岩，K17+900～K24+100基岩埋深较大，部分地段钻遇砾岩、泥质粉砂岩。K31+780～K47+078.802、CK0+254.516～CK3+4000基岩埋深较大，未钻到基岩。CK3+000～CK3+459.118下部基岩为印支期花岗岩，风化不均，全风化层较厚。</w:t>
      </w:r>
    </w:p>
    <w:p>
      <w:pPr>
        <w:rPr>
          <w:rFonts w:hint="eastAsia" w:ascii="宋体" w:hAnsi="宋体"/>
          <w:b/>
          <w:bCs/>
          <w:sz w:val="24"/>
          <w:highlight w:val="none"/>
        </w:rPr>
      </w:pPr>
      <w:r>
        <w:rPr>
          <w:rFonts w:hint="eastAsia" w:ascii="宋体" w:hAnsi="宋体"/>
          <w:b/>
          <w:bCs/>
          <w:sz w:val="24"/>
          <w:highlight w:val="none"/>
        </w:rPr>
        <w:t>4.3.2不良地质</w:t>
      </w:r>
    </w:p>
    <w:p>
      <w:pPr>
        <w:rPr>
          <w:rFonts w:hint="eastAsia" w:ascii="宋体" w:hAnsi="宋体"/>
          <w:b/>
          <w:bCs/>
          <w:sz w:val="24"/>
          <w:highlight w:val="none"/>
        </w:rPr>
      </w:pPr>
      <w:r>
        <w:rPr>
          <w:rFonts w:hint="eastAsia" w:ascii="宋体" w:hAnsi="宋体"/>
          <w:b/>
          <w:bCs/>
          <w:sz w:val="24"/>
          <w:highlight w:val="none"/>
        </w:rPr>
        <w:t>（1）不良地质</w:t>
      </w:r>
    </w:p>
    <w:p>
      <w:pPr>
        <w:rPr>
          <w:rFonts w:hint="eastAsia" w:ascii="宋体" w:hAnsi="宋体"/>
          <w:b/>
          <w:bCs/>
          <w:sz w:val="24"/>
          <w:highlight w:val="none"/>
        </w:rPr>
      </w:pPr>
      <w:r>
        <w:rPr>
          <w:rFonts w:hint="eastAsia" w:ascii="宋体" w:hAnsi="宋体"/>
          <w:b/>
          <w:bCs/>
          <w:sz w:val="24"/>
          <w:highlight w:val="none"/>
        </w:rPr>
        <w:t>路线走廊带内未发现大的不良地质现象。</w:t>
      </w:r>
    </w:p>
    <w:p>
      <w:pPr>
        <w:rPr>
          <w:rFonts w:hint="eastAsia" w:ascii="宋体" w:hAnsi="宋体"/>
          <w:b/>
          <w:bCs/>
          <w:sz w:val="24"/>
          <w:highlight w:val="none"/>
        </w:rPr>
      </w:pPr>
      <w:r>
        <w:rPr>
          <w:rFonts w:hint="eastAsia" w:ascii="宋体" w:hAnsi="宋体"/>
          <w:b/>
          <w:bCs/>
          <w:sz w:val="24"/>
          <w:highlight w:val="none"/>
        </w:rPr>
        <w:t>（2）特殊性岩土</w:t>
      </w:r>
    </w:p>
    <w:p>
      <w:pPr>
        <w:rPr>
          <w:rFonts w:hint="eastAsia" w:ascii="宋体" w:hAnsi="宋体"/>
          <w:b/>
          <w:bCs/>
          <w:sz w:val="24"/>
          <w:highlight w:val="none"/>
        </w:rPr>
      </w:pPr>
      <w:r>
        <w:rPr>
          <w:rFonts w:hint="eastAsia" w:ascii="宋体" w:hAnsi="宋体"/>
          <w:b/>
          <w:bCs/>
          <w:sz w:val="24"/>
          <w:highlight w:val="none"/>
        </w:rPr>
        <w:t>沿线的特殊性岩土主要为软土和膨胀土。</w:t>
      </w:r>
    </w:p>
    <w:p>
      <w:pPr>
        <w:rPr>
          <w:rFonts w:hint="eastAsia" w:ascii="宋体" w:hAnsi="宋体"/>
          <w:b/>
          <w:bCs/>
          <w:sz w:val="24"/>
          <w:highlight w:val="none"/>
        </w:rPr>
      </w:pPr>
      <w:r>
        <w:rPr>
          <w:rFonts w:hint="eastAsia" w:ascii="宋体" w:hAnsi="宋体"/>
          <w:b/>
          <w:bCs/>
          <w:sz w:val="24"/>
          <w:highlight w:val="none"/>
        </w:rPr>
        <w:t>软土：主要为沿线水塘中的淤泥和软塑状黏土，软土厚度小，规模不大，深度一般在2.0m以内。弱膨胀土：据现场工程地质调绘，弱膨胀土主要分布于K14+500～K31+780段丘岗、丘陵区及K33+400～K35+000、K40+440～K46+000段平原区。在网纹状红色黏土或圆砾土以下发育灰白色、褐黄色夹灰白色弱膨胀土，其力学性质受干湿状态影响较大，具有干缩湿胀的特点，风干时，土体收缩而致使边坡坡面易产生开裂、剥落的现象；遇水则极易膨胀、软化，土体抗剪强度降低，易导致边坡产生浅层滑动。弱膨胀土埋深一般在13～20m。K33+400～K35+000、K40+440～K46+000段埋藏深度35.0～45.0m，在路堑边坡开挖深度范围内，一般不会揭露到弱膨胀土。5  交通、电力、通讯及其他条件</w:t>
      </w:r>
    </w:p>
    <w:p>
      <w:pPr>
        <w:spacing w:line="460" w:lineRule="exact"/>
        <w:rPr>
          <w:rFonts w:hint="eastAsia" w:ascii="宋体" w:hAnsi="宋体"/>
          <w:b/>
          <w:bCs/>
          <w:sz w:val="24"/>
          <w:highlight w:val="none"/>
        </w:rPr>
      </w:pPr>
    </w:p>
    <w:p>
      <w:pPr>
        <w:spacing w:line="460" w:lineRule="exact"/>
        <w:rPr>
          <w:rFonts w:hint="eastAsia" w:ascii="宋体" w:hAnsi="宋体"/>
          <w:b/>
          <w:bCs/>
          <w:sz w:val="24"/>
          <w:highlight w:val="none"/>
        </w:rPr>
      </w:pPr>
      <w:r>
        <w:rPr>
          <w:rFonts w:hint="eastAsia" w:ascii="宋体" w:hAnsi="宋体"/>
          <w:b/>
          <w:bCs/>
          <w:sz w:val="24"/>
          <w:highlight w:val="none"/>
        </w:rPr>
        <w:t>5  交通、电力、通讯及其他条件</w:t>
      </w:r>
    </w:p>
    <w:p>
      <w:pPr>
        <w:spacing w:line="460" w:lineRule="exact"/>
        <w:rPr>
          <w:rFonts w:hint="eastAsia" w:ascii="宋体" w:hAnsi="宋体"/>
          <w:b/>
          <w:bCs/>
          <w:sz w:val="24"/>
          <w:highlight w:val="none"/>
        </w:rPr>
      </w:pPr>
      <w:r>
        <w:rPr>
          <w:rFonts w:hint="eastAsia" w:ascii="宋体" w:hAnsi="宋体"/>
          <w:b/>
          <w:bCs/>
          <w:sz w:val="24"/>
          <w:highlight w:val="none"/>
        </w:rPr>
        <w:t>5.1  沿线筑路材料</w:t>
      </w:r>
    </w:p>
    <w:p>
      <w:pPr>
        <w:spacing w:line="460" w:lineRule="exact"/>
        <w:ind w:firstLine="480" w:firstLineChars="200"/>
        <w:rPr>
          <w:rFonts w:hint="eastAsia" w:ascii="宋体" w:hAnsi="宋体"/>
          <w:sz w:val="24"/>
          <w:highlight w:val="none"/>
        </w:rPr>
      </w:pPr>
      <w:r>
        <w:rPr>
          <w:rFonts w:hint="eastAsia" w:ascii="宋体" w:hAnsi="宋体"/>
          <w:sz w:val="24"/>
          <w:highlight w:val="none"/>
        </w:rPr>
        <w:t>筑路材料主要包括路基填筑材料、路面、桥梁及其他结构物材料。路基填筑材料主要为土、石；路面、桥梁及其他结构物材料主要有钢材、水泥、沥青、砂石料等。</w:t>
      </w:r>
    </w:p>
    <w:p>
      <w:pPr>
        <w:spacing w:line="460" w:lineRule="exact"/>
        <w:ind w:firstLine="480" w:firstLineChars="200"/>
        <w:rPr>
          <w:rFonts w:hint="eastAsia" w:ascii="宋体" w:hAnsi="宋体"/>
          <w:sz w:val="24"/>
          <w:highlight w:val="none"/>
        </w:rPr>
      </w:pPr>
      <w:r>
        <w:rPr>
          <w:rFonts w:hint="eastAsia" w:ascii="宋体" w:hAnsi="宋体"/>
          <w:sz w:val="24"/>
          <w:highlight w:val="none"/>
        </w:rPr>
        <w:t>本项目沿线筑路材料比较丰富，四季宜采，基本可满足本项目施工的需要。各料场运输条件较为便利，沿线有S223、S228、S075、S076等道路及各个乡镇道路与路线相通。</w:t>
      </w:r>
    </w:p>
    <w:p>
      <w:pPr>
        <w:tabs>
          <w:tab w:val="left" w:pos="3960"/>
        </w:tabs>
        <w:spacing w:line="460" w:lineRule="exact"/>
        <w:ind w:firstLine="480" w:firstLineChars="200"/>
        <w:rPr>
          <w:rFonts w:hint="eastAsia" w:ascii="宋体" w:hAnsi="宋体"/>
          <w:sz w:val="24"/>
          <w:highlight w:val="none"/>
        </w:rPr>
      </w:pPr>
      <w:r>
        <w:rPr>
          <w:rFonts w:hint="eastAsia" w:ascii="宋体" w:hAnsi="宋体"/>
          <w:sz w:val="24"/>
          <w:highlight w:val="none"/>
        </w:rPr>
        <w:t>上述筑路材料及水电设施等，投标人应自行组织核实。</w:t>
      </w:r>
    </w:p>
    <w:p>
      <w:pPr>
        <w:tabs>
          <w:tab w:val="left" w:pos="3960"/>
        </w:tabs>
        <w:spacing w:line="460" w:lineRule="exact"/>
        <w:ind w:firstLine="480" w:firstLineChars="200"/>
        <w:rPr>
          <w:rFonts w:hint="eastAsia" w:ascii="宋体" w:hAnsi="宋体"/>
          <w:sz w:val="24"/>
          <w:highlight w:val="none"/>
        </w:rPr>
      </w:pPr>
      <w:r>
        <w:rPr>
          <w:rFonts w:hint="eastAsia" w:ascii="宋体" w:hAnsi="宋体"/>
          <w:sz w:val="24"/>
          <w:highlight w:val="none"/>
        </w:rPr>
        <w:t>上述筑路材料及水电设施等，投标人应自行组织核实。</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6  工程规模</w:t>
      </w:r>
    </w:p>
    <w:p>
      <w:pPr>
        <w:spacing w:before="120" w:beforeLines="50" w:line="440" w:lineRule="exact"/>
        <w:ind w:firstLine="481"/>
        <w:jc w:val="left"/>
        <w:rPr>
          <w:rFonts w:hint="eastAsia" w:ascii="宋体" w:hAnsi="宋体"/>
          <w:b/>
          <w:bCs/>
          <w:sz w:val="24"/>
          <w:highlight w:val="none"/>
        </w:rPr>
      </w:pPr>
      <w:r>
        <w:rPr>
          <w:rFonts w:hint="eastAsia" w:ascii="宋体" w:hAnsi="宋体"/>
          <w:sz w:val="24"/>
          <w:highlight w:val="none"/>
        </w:rPr>
        <w:t>本项目路线全长50.284km,共设主线桥梁（含互通主线桥）23620.4m/35座，其中特大桥13884.8/5座，大桥9219.6m/24座，中桥516m/6座；隧道815m/1座；路基挖方165.76万m3，路基填方329.06万m3；互通式立交8处（枢纽互通共4处），通道57处，天桥721m/7座；服务区1处</w:t>
      </w:r>
      <w:r>
        <w:rPr>
          <w:rFonts w:hint="eastAsia" w:ascii="宋体" w:hAnsi="宋体"/>
          <w:b/>
          <w:bCs/>
          <w:sz w:val="24"/>
          <w:highlight w:val="none"/>
        </w:rPr>
        <w:t>。</w:t>
      </w:r>
    </w:p>
    <w:p>
      <w:pPr>
        <w:spacing w:line="360" w:lineRule="auto"/>
        <w:rPr>
          <w:rFonts w:hint="eastAsia" w:ascii="宋体" w:hAnsi="宋体"/>
          <w:sz w:val="24"/>
          <w:highlight w:val="none"/>
        </w:rPr>
      </w:pPr>
    </w:p>
    <w:p>
      <w:pPr>
        <w:spacing w:line="360" w:lineRule="auto"/>
        <w:rPr>
          <w:rFonts w:hint="eastAsia" w:ascii="宋体" w:hAnsi="宋体"/>
          <w:sz w:val="24"/>
          <w:highlight w:val="none"/>
        </w:rPr>
      </w:pPr>
      <w:r>
        <w:rPr>
          <w:rFonts w:hint="eastAsia" w:ascii="宋体" w:hAnsi="宋体"/>
          <w:b/>
          <w:bCs/>
          <w:sz w:val="24"/>
          <w:highlight w:val="none"/>
        </w:rPr>
        <w:t>7  工程描述</w:t>
      </w:r>
    </w:p>
    <w:p>
      <w:pPr>
        <w:spacing w:line="360" w:lineRule="auto"/>
        <w:ind w:firstLine="442" w:firstLineChars="184"/>
        <w:jc w:val="left"/>
        <w:rPr>
          <w:rFonts w:hint="eastAsia" w:ascii="宋体" w:hAnsi="宋体"/>
          <w:sz w:val="24"/>
          <w:highlight w:val="none"/>
        </w:rPr>
      </w:pPr>
      <w:r>
        <w:rPr>
          <w:rFonts w:hint="eastAsia" w:ascii="宋体" w:hAnsi="宋体"/>
          <w:sz w:val="24"/>
          <w:highlight w:val="none"/>
        </w:rPr>
        <w:t>全线</w:t>
      </w:r>
      <w:r>
        <w:rPr>
          <w:rFonts w:hint="eastAsia" w:ascii="宋体" w:hAnsi="宋体"/>
          <w:sz w:val="24"/>
          <w:highlight w:val="none"/>
          <w:u w:val="single"/>
        </w:rPr>
        <w:t>土建</w:t>
      </w:r>
      <w:r>
        <w:rPr>
          <w:rFonts w:hint="eastAsia" w:ascii="宋体" w:hAnsi="宋体"/>
          <w:sz w:val="24"/>
          <w:highlight w:val="none"/>
        </w:rPr>
        <w:t>工程施工共划分为</w:t>
      </w:r>
      <w:r>
        <w:rPr>
          <w:rFonts w:hint="eastAsia" w:ascii="宋体" w:hAnsi="宋体"/>
          <w:sz w:val="24"/>
          <w:highlight w:val="none"/>
          <w:u w:val="single"/>
        </w:rPr>
        <w:t xml:space="preserve"> 7 </w:t>
      </w:r>
      <w:r>
        <w:rPr>
          <w:rFonts w:hint="eastAsia" w:ascii="宋体" w:hAnsi="宋体"/>
          <w:sz w:val="24"/>
          <w:highlight w:val="none"/>
        </w:rPr>
        <w:t>个标段，本次招标范围为第</w:t>
      </w:r>
      <w:r>
        <w:rPr>
          <w:rFonts w:hint="eastAsia" w:ascii="宋体" w:hAnsi="宋体"/>
          <w:sz w:val="24"/>
          <w:highlight w:val="none"/>
          <w:u w:val="single"/>
        </w:rPr>
        <w:t>1、3</w:t>
      </w:r>
      <w:r>
        <w:rPr>
          <w:rFonts w:hint="eastAsia" w:ascii="宋体" w:hAnsi="宋体"/>
          <w:sz w:val="24"/>
          <w:highlight w:val="none"/>
        </w:rPr>
        <w:t>标段，工程内容为：路基工程、路面工程（改线）、桥涵工程、交叉工程、其他工程等。</w:t>
      </w:r>
    </w:p>
    <w:p>
      <w:pPr>
        <w:spacing w:line="360" w:lineRule="auto"/>
        <w:outlineLvl w:val="0"/>
        <w:rPr>
          <w:rFonts w:hint="eastAsia" w:ascii="宋体" w:hAnsi="宋体"/>
          <w:b/>
          <w:bCs/>
          <w:sz w:val="24"/>
          <w:highlight w:val="none"/>
        </w:rPr>
      </w:pPr>
      <w:r>
        <w:rPr>
          <w:rFonts w:hint="eastAsia" w:ascii="宋体" w:hAnsi="宋体"/>
          <w:b/>
          <w:bCs/>
          <w:sz w:val="24"/>
          <w:highlight w:val="none"/>
        </w:rPr>
        <w:t>7</w:t>
      </w:r>
      <w:r>
        <w:rPr>
          <w:rFonts w:ascii="宋体" w:hAnsi="宋体"/>
          <w:b/>
          <w:bCs/>
          <w:sz w:val="24"/>
          <w:highlight w:val="none"/>
        </w:rPr>
        <w:t>.</w:t>
      </w:r>
      <w:r>
        <w:rPr>
          <w:rFonts w:hint="eastAsia" w:ascii="宋体" w:hAnsi="宋体"/>
          <w:b/>
          <w:bCs/>
          <w:sz w:val="24"/>
          <w:highlight w:val="none"/>
        </w:rPr>
        <w:t>1</w:t>
      </w:r>
      <w:r>
        <w:rPr>
          <w:rFonts w:ascii="宋体" w:hAnsi="宋体"/>
          <w:b/>
          <w:bCs/>
          <w:sz w:val="24"/>
          <w:highlight w:val="none"/>
        </w:rPr>
        <w:t xml:space="preserve"> </w:t>
      </w:r>
      <w:r>
        <w:rPr>
          <w:rFonts w:hint="eastAsia" w:ascii="宋体" w:hAnsi="宋体"/>
          <w:b/>
          <w:bCs/>
          <w:sz w:val="24"/>
          <w:highlight w:val="none"/>
        </w:rPr>
        <w:t xml:space="preserve"> </w:t>
      </w:r>
      <w:r>
        <w:rPr>
          <w:rFonts w:ascii="宋体" w:hAnsi="宋体"/>
          <w:b/>
          <w:bCs/>
          <w:sz w:val="24"/>
          <w:highlight w:val="none"/>
        </w:rPr>
        <w:t>各</w:t>
      </w:r>
      <w:r>
        <w:rPr>
          <w:rFonts w:hint="eastAsia" w:ascii="宋体" w:hAnsi="宋体"/>
          <w:b/>
          <w:bCs/>
          <w:sz w:val="24"/>
          <w:highlight w:val="none"/>
        </w:rPr>
        <w:t>标段</w:t>
      </w:r>
      <w:r>
        <w:rPr>
          <w:rFonts w:ascii="宋体" w:hAnsi="宋体"/>
          <w:b/>
          <w:bCs/>
          <w:sz w:val="24"/>
          <w:highlight w:val="none"/>
        </w:rPr>
        <w:t>划分及其主要工程数量</w:t>
      </w:r>
    </w:p>
    <w:p>
      <w:pPr>
        <w:spacing w:line="360" w:lineRule="auto"/>
        <w:ind w:firstLine="521" w:firstLineChars="217"/>
        <w:outlineLvl w:val="0"/>
        <w:rPr>
          <w:rFonts w:hint="eastAsia" w:ascii="宋体" w:hAnsi="宋体"/>
          <w:sz w:val="24"/>
          <w:highlight w:val="none"/>
        </w:rPr>
      </w:pPr>
      <w:r>
        <w:rPr>
          <w:rFonts w:hint="eastAsia" w:ascii="宋体" w:hAnsi="宋体"/>
          <w:sz w:val="24"/>
          <w:highlight w:val="none"/>
        </w:rPr>
        <w:t>见附表1《G5513长益高速扩容工程第1、3标段主要工程数量一览表》</w:t>
      </w:r>
    </w:p>
    <w:p>
      <w:pPr>
        <w:spacing w:line="360" w:lineRule="auto"/>
        <w:ind w:left="1" w:leftChars="-2" w:hanging="5" w:hangingChars="2"/>
        <w:jc w:val="left"/>
        <w:rPr>
          <w:rFonts w:hint="eastAsia" w:ascii="宋体" w:hAnsi="宋体"/>
          <w:b/>
          <w:bCs/>
          <w:sz w:val="24"/>
          <w:highlight w:val="none"/>
        </w:rPr>
      </w:pPr>
      <w:r>
        <w:rPr>
          <w:rFonts w:hint="eastAsia" w:ascii="宋体" w:hAnsi="宋体"/>
          <w:b/>
          <w:bCs/>
          <w:sz w:val="24"/>
          <w:highlight w:val="none"/>
        </w:rPr>
        <w:t>7</w:t>
      </w:r>
      <w:r>
        <w:rPr>
          <w:rFonts w:ascii="宋体" w:hAnsi="宋体"/>
          <w:b/>
          <w:bCs/>
          <w:sz w:val="24"/>
          <w:highlight w:val="none"/>
        </w:rPr>
        <w:t>.</w:t>
      </w:r>
      <w:r>
        <w:rPr>
          <w:rFonts w:hint="eastAsia" w:ascii="宋体" w:hAnsi="宋体"/>
          <w:b/>
          <w:bCs/>
          <w:sz w:val="24"/>
          <w:highlight w:val="none"/>
        </w:rPr>
        <w:t>2</w:t>
      </w:r>
      <w:r>
        <w:rPr>
          <w:rFonts w:ascii="宋体" w:hAnsi="宋体"/>
          <w:b/>
          <w:bCs/>
          <w:sz w:val="24"/>
          <w:highlight w:val="none"/>
        </w:rPr>
        <w:t xml:space="preserve"> </w:t>
      </w:r>
      <w:r>
        <w:rPr>
          <w:rFonts w:hint="eastAsia" w:ascii="宋体" w:hAnsi="宋体"/>
          <w:b/>
          <w:bCs/>
          <w:sz w:val="24"/>
          <w:highlight w:val="none"/>
        </w:rPr>
        <w:t xml:space="preserve"> </w:t>
      </w:r>
      <w:r>
        <w:rPr>
          <w:rFonts w:ascii="宋体" w:hAnsi="宋体"/>
          <w:b/>
          <w:bCs/>
          <w:sz w:val="24"/>
          <w:highlight w:val="none"/>
        </w:rPr>
        <w:t>桥梁</w:t>
      </w:r>
      <w:r>
        <w:rPr>
          <w:rFonts w:hint="eastAsia" w:ascii="宋体" w:hAnsi="宋体"/>
          <w:b/>
          <w:bCs/>
          <w:sz w:val="24"/>
          <w:highlight w:val="none"/>
        </w:rPr>
        <w:t xml:space="preserve">工程量 </w:t>
      </w:r>
    </w:p>
    <w:p>
      <w:pPr>
        <w:spacing w:line="360" w:lineRule="auto"/>
        <w:ind w:firstLine="521" w:firstLineChars="217"/>
        <w:outlineLvl w:val="0"/>
        <w:rPr>
          <w:rFonts w:hint="eastAsia" w:ascii="宋体" w:hAnsi="宋体"/>
          <w:sz w:val="24"/>
          <w:highlight w:val="none"/>
        </w:rPr>
      </w:pPr>
      <w:r>
        <w:rPr>
          <w:rFonts w:hint="eastAsia" w:ascii="宋体" w:hAnsi="宋体"/>
          <w:sz w:val="24"/>
          <w:highlight w:val="none"/>
        </w:rPr>
        <w:t>见附表2《G5513长益高速扩容工程第1、3标段桥梁一览表》</w:t>
      </w:r>
    </w:p>
    <w:p>
      <w:pPr>
        <w:spacing w:before="120" w:beforeLines="50" w:line="440" w:lineRule="exact"/>
        <w:jc w:val="left"/>
        <w:rPr>
          <w:rFonts w:hint="eastAsia" w:ascii="宋体" w:hAnsi="宋体"/>
          <w:b/>
          <w:sz w:val="24"/>
          <w:highlight w:val="none"/>
        </w:rPr>
      </w:pPr>
      <w:r>
        <w:rPr>
          <w:rFonts w:hint="eastAsia" w:ascii="宋体" w:hAnsi="宋体"/>
          <w:b/>
          <w:sz w:val="24"/>
          <w:highlight w:val="none"/>
        </w:rPr>
        <w:t>8.计划工期</w:t>
      </w:r>
    </w:p>
    <w:p>
      <w:pPr>
        <w:spacing w:line="440" w:lineRule="exact"/>
        <w:ind w:left="-6" w:leftChars="-3" w:firstLine="480" w:firstLineChars="200"/>
        <w:rPr>
          <w:rFonts w:hint="eastAsia" w:ascii="宋体" w:hAnsi="宋体"/>
          <w:sz w:val="24"/>
          <w:highlight w:val="none"/>
        </w:rPr>
      </w:pPr>
      <w:r>
        <w:rPr>
          <w:rFonts w:hint="eastAsia" w:ascii="宋体" w:hAnsi="宋体"/>
          <w:sz w:val="24"/>
          <w:highlight w:val="none"/>
        </w:rPr>
        <w:t>本项目</w:t>
      </w:r>
      <w:r>
        <w:rPr>
          <w:rFonts w:hint="eastAsia" w:ascii="宋体" w:hAnsi="宋体"/>
          <w:sz w:val="24"/>
          <w:highlight w:val="none"/>
          <w:u w:val="single"/>
        </w:rPr>
        <w:t>土建</w:t>
      </w:r>
      <w:r>
        <w:rPr>
          <w:rFonts w:hint="eastAsia" w:ascii="宋体" w:hAnsi="宋体"/>
          <w:sz w:val="24"/>
          <w:highlight w:val="none"/>
        </w:rPr>
        <w:t>工程计划工期：见投标人须知前附表1.3.2条；</w:t>
      </w:r>
    </w:p>
    <w:p>
      <w:pPr>
        <w:spacing w:line="440" w:lineRule="exact"/>
        <w:ind w:left="-6" w:leftChars="-3" w:firstLine="480" w:firstLineChars="200"/>
        <w:rPr>
          <w:rFonts w:ascii="黑体" w:hAnsi="华文中宋" w:eastAsia="黑体"/>
          <w:sz w:val="32"/>
          <w:szCs w:val="32"/>
          <w:highlight w:val="none"/>
          <w:u w:val="single"/>
        </w:rPr>
        <w:sectPr>
          <w:footnotePr>
            <w:numFmt w:val="decimalEnclosedCircleChinese"/>
            <w:numRestart w:val="eachPage"/>
          </w:footnotePr>
          <w:pgSz w:w="11906" w:h="16838"/>
          <w:pgMar w:top="1440" w:right="1361" w:bottom="1440" w:left="1361" w:header="851" w:footer="992" w:gutter="0"/>
          <w:cols w:space="720" w:num="1"/>
          <w:titlePg/>
          <w:docGrid w:linePitch="312" w:charSpace="0"/>
        </w:sectPr>
      </w:pPr>
      <w:r>
        <w:rPr>
          <w:rFonts w:hint="eastAsia" w:ascii="宋体" w:hAnsi="宋体"/>
          <w:sz w:val="24"/>
          <w:highlight w:val="none"/>
        </w:rPr>
        <w:t>暂定：</w:t>
      </w:r>
      <w:r>
        <w:rPr>
          <w:rFonts w:hint="eastAsia" w:ascii="宋体" w:hAnsi="宋体"/>
          <w:sz w:val="24"/>
          <w:highlight w:val="none"/>
          <w:u w:val="single"/>
        </w:rPr>
        <w:t>2017</w:t>
      </w:r>
      <w:r>
        <w:rPr>
          <w:rFonts w:hint="eastAsia" w:ascii="宋体" w:hAnsi="宋体"/>
          <w:sz w:val="24"/>
          <w:highlight w:val="none"/>
        </w:rPr>
        <w:t>年</w:t>
      </w:r>
      <w:r>
        <w:rPr>
          <w:rFonts w:hint="eastAsia" w:ascii="宋体" w:hAnsi="宋体"/>
          <w:sz w:val="24"/>
          <w:highlight w:val="none"/>
          <w:u w:val="single"/>
        </w:rPr>
        <w:t xml:space="preserve"> 6 </w:t>
      </w:r>
      <w:r>
        <w:rPr>
          <w:rFonts w:hint="eastAsia" w:ascii="宋体" w:hAnsi="宋体"/>
          <w:sz w:val="24"/>
          <w:highlight w:val="none"/>
        </w:rPr>
        <w:t>月</w:t>
      </w:r>
      <w:r>
        <w:rPr>
          <w:rFonts w:hint="eastAsia" w:ascii="宋体" w:hAnsi="宋体"/>
          <w:sz w:val="24"/>
          <w:highlight w:val="none"/>
          <w:u w:val="single"/>
        </w:rPr>
        <w:t xml:space="preserve"> 1 </w:t>
      </w:r>
      <w:r>
        <w:rPr>
          <w:rFonts w:hint="eastAsia" w:ascii="宋体" w:hAnsi="宋体"/>
          <w:sz w:val="24"/>
          <w:highlight w:val="none"/>
        </w:rPr>
        <w:t>日开工。</w:t>
      </w:r>
    </w:p>
    <w:p>
      <w:pPr>
        <w:rPr>
          <w:rFonts w:hint="eastAsia" w:ascii="宋体" w:hAnsi="宋体" w:cs="Batang"/>
          <w:b/>
          <w:bCs/>
          <w:kern w:val="0"/>
          <w:sz w:val="32"/>
          <w:szCs w:val="32"/>
          <w:highlight w:val="none"/>
        </w:rPr>
      </w:pPr>
      <w:r>
        <w:rPr>
          <w:rFonts w:hint="eastAsia" w:ascii="宋体" w:hAnsi="宋体" w:cs="宋体"/>
          <w:b/>
          <w:bCs/>
          <w:kern w:val="0"/>
          <w:sz w:val="24"/>
          <w:highlight w:val="none"/>
        </w:rPr>
        <w:t xml:space="preserve">附表1                                </w:t>
      </w:r>
    </w:p>
    <w:p>
      <w:pPr>
        <w:jc w:val="center"/>
        <w:rPr>
          <w:rFonts w:hint="eastAsia" w:ascii="宋体" w:hAnsi="宋体" w:cs="Batang"/>
          <w:b/>
          <w:bCs/>
          <w:kern w:val="0"/>
          <w:sz w:val="32"/>
          <w:szCs w:val="32"/>
          <w:highlight w:val="none"/>
        </w:rPr>
      </w:pPr>
      <w:r>
        <w:rPr>
          <w:rFonts w:hint="eastAsia" w:ascii="宋体" w:hAnsi="宋体" w:cs="Batang"/>
          <w:b/>
          <w:bCs/>
          <w:kern w:val="0"/>
          <w:sz w:val="32"/>
          <w:szCs w:val="32"/>
          <w:highlight w:val="none"/>
        </w:rPr>
        <w:t>G5513长益高速扩容工程第1、3标段主要工程数量一览表</w:t>
      </w:r>
    </w:p>
    <w:p>
      <w:pPr>
        <w:jc w:val="center"/>
        <w:rPr>
          <w:rFonts w:hint="eastAsia" w:ascii="宋体" w:hAnsi="宋体" w:cs="Batang"/>
          <w:b/>
          <w:bCs/>
          <w:kern w:val="0"/>
          <w:sz w:val="32"/>
          <w:szCs w:val="32"/>
          <w:highlight w:val="none"/>
        </w:rPr>
      </w:pPr>
    </w:p>
    <w:p>
      <w:pPr>
        <w:jc w:val="right"/>
        <w:rPr>
          <w:rFonts w:hint="eastAsia" w:ascii="宋体" w:hAnsi="宋体"/>
          <w:sz w:val="24"/>
          <w:highlight w:val="none"/>
        </w:rPr>
      </w:pPr>
      <w:r>
        <w:rPr>
          <w:rFonts w:hint="eastAsia" w:ascii="宋体" w:hAnsi="宋体"/>
          <w:sz w:val="24"/>
          <w:highlight w:val="none"/>
        </w:rPr>
        <w:t>第1页  共1页</w:t>
      </w:r>
    </w:p>
    <w:tbl>
      <w:tblPr>
        <w:tblStyle w:val="11"/>
        <w:tblW w:w="13785"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343"/>
        <w:gridCol w:w="1786"/>
        <w:gridCol w:w="726"/>
        <w:gridCol w:w="1010"/>
        <w:gridCol w:w="802"/>
        <w:gridCol w:w="737"/>
        <w:gridCol w:w="931"/>
        <w:gridCol w:w="905"/>
        <w:gridCol w:w="1164"/>
        <w:gridCol w:w="815"/>
        <w:gridCol w:w="510"/>
        <w:gridCol w:w="1248"/>
        <w:gridCol w:w="789"/>
        <w:gridCol w:w="767"/>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8" w:hRule="exact"/>
        </w:trPr>
        <w:tc>
          <w:tcPr>
            <w:tcW w:w="333" w:type="dxa"/>
            <w:vMerge w:val="restart"/>
            <w:vAlign w:val="center"/>
          </w:tcPr>
          <w:p>
            <w:pPr>
              <w:jc w:val="center"/>
              <w:rPr>
                <w:rFonts w:ascii="宋体" w:hAnsi="宋体" w:cs="宋体"/>
                <w:kern w:val="0"/>
                <w:szCs w:val="21"/>
                <w:highlight w:val="none"/>
              </w:rPr>
            </w:pPr>
            <w:r>
              <w:rPr>
                <w:rFonts w:hint="eastAsia" w:ascii="宋体" w:hAnsi="宋体" w:cs="宋体"/>
                <w:kern w:val="0"/>
                <w:szCs w:val="21"/>
                <w:highlight w:val="none"/>
              </w:rPr>
              <w:t>监理合同段</w:t>
            </w:r>
          </w:p>
        </w:tc>
        <w:tc>
          <w:tcPr>
            <w:tcW w:w="343" w:type="dxa"/>
            <w:vMerge w:val="restart"/>
            <w:vAlign w:val="center"/>
          </w:tcPr>
          <w:p>
            <w:pPr>
              <w:jc w:val="center"/>
              <w:rPr>
                <w:rFonts w:ascii="宋体" w:hAnsi="宋体"/>
                <w:b/>
                <w:szCs w:val="21"/>
                <w:highlight w:val="none"/>
              </w:rPr>
            </w:pPr>
            <w:r>
              <w:rPr>
                <w:rFonts w:hint="eastAsia" w:ascii="宋体" w:hAnsi="宋体" w:cs="宋体"/>
                <w:kern w:val="0"/>
                <w:szCs w:val="21"/>
                <w:highlight w:val="none"/>
              </w:rPr>
              <w:t xml:space="preserve"> 土建标段</w:t>
            </w:r>
          </w:p>
        </w:tc>
        <w:tc>
          <w:tcPr>
            <w:tcW w:w="1786" w:type="dxa"/>
            <w:vMerge w:val="restart"/>
            <w:vAlign w:val="center"/>
          </w:tcPr>
          <w:p>
            <w:pPr>
              <w:jc w:val="center"/>
              <w:rPr>
                <w:rFonts w:ascii="宋体" w:hAnsi="宋体"/>
                <w:b/>
                <w:szCs w:val="21"/>
                <w:highlight w:val="none"/>
              </w:rPr>
            </w:pPr>
            <w:r>
              <w:rPr>
                <w:rFonts w:hint="eastAsia" w:ascii="宋体" w:hAnsi="宋体" w:cs="宋体"/>
                <w:kern w:val="0"/>
                <w:szCs w:val="21"/>
                <w:highlight w:val="none"/>
              </w:rPr>
              <w:t>起讫桩号(施设桩号)</w:t>
            </w:r>
          </w:p>
        </w:tc>
        <w:tc>
          <w:tcPr>
            <w:tcW w:w="726" w:type="dxa"/>
            <w:vMerge w:val="restart"/>
            <w:vAlign w:val="center"/>
          </w:tcPr>
          <w:p>
            <w:pPr>
              <w:jc w:val="center"/>
              <w:rPr>
                <w:rFonts w:ascii="宋体" w:hAnsi="宋体"/>
                <w:b/>
                <w:szCs w:val="21"/>
                <w:highlight w:val="none"/>
              </w:rPr>
            </w:pPr>
            <w:r>
              <w:rPr>
                <w:rFonts w:hint="eastAsia" w:ascii="宋体" w:hAnsi="宋体" w:cs="宋体"/>
                <w:kern w:val="0"/>
                <w:szCs w:val="21"/>
                <w:highlight w:val="none"/>
              </w:rPr>
              <w:t>长度</w:t>
            </w:r>
          </w:p>
        </w:tc>
        <w:tc>
          <w:tcPr>
            <w:tcW w:w="2549" w:type="dxa"/>
            <w:gridSpan w:val="3"/>
            <w:vAlign w:val="center"/>
          </w:tcPr>
          <w:p>
            <w:pPr>
              <w:jc w:val="center"/>
              <w:rPr>
                <w:rFonts w:ascii="宋体" w:hAnsi="宋体" w:cs="宋体"/>
                <w:kern w:val="0"/>
                <w:szCs w:val="21"/>
                <w:highlight w:val="none"/>
              </w:rPr>
            </w:pPr>
            <w:r>
              <w:rPr>
                <w:rFonts w:hint="eastAsia" w:ascii="宋体" w:hAnsi="宋体" w:cs="宋体"/>
                <w:kern w:val="0"/>
                <w:szCs w:val="21"/>
                <w:highlight w:val="none"/>
              </w:rPr>
              <w:t>路基工程</w:t>
            </w:r>
          </w:p>
        </w:tc>
        <w:tc>
          <w:tcPr>
            <w:tcW w:w="931"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路面</w:t>
            </w:r>
          </w:p>
          <w:p>
            <w:pPr>
              <w:jc w:val="center"/>
              <w:rPr>
                <w:rFonts w:ascii="宋体" w:hAnsi="宋体" w:cs="宋体"/>
                <w:kern w:val="0"/>
                <w:szCs w:val="21"/>
                <w:highlight w:val="none"/>
              </w:rPr>
            </w:pPr>
            <w:r>
              <w:rPr>
                <w:rFonts w:hint="eastAsia" w:ascii="宋体" w:hAnsi="宋体" w:cs="宋体"/>
                <w:kern w:val="0"/>
                <w:szCs w:val="21"/>
                <w:highlight w:val="none"/>
              </w:rPr>
              <w:t>工程（改线）</w:t>
            </w:r>
          </w:p>
        </w:tc>
        <w:tc>
          <w:tcPr>
            <w:tcW w:w="905" w:type="dxa"/>
            <w:vAlign w:val="center"/>
          </w:tcPr>
          <w:p>
            <w:pPr>
              <w:jc w:val="center"/>
              <w:rPr>
                <w:rFonts w:ascii="宋体" w:hAnsi="宋体"/>
                <w:b/>
                <w:szCs w:val="21"/>
                <w:highlight w:val="none"/>
              </w:rPr>
            </w:pPr>
            <w:r>
              <w:rPr>
                <w:rFonts w:hint="eastAsia" w:ascii="宋体" w:hAnsi="宋体" w:cs="宋体"/>
                <w:kern w:val="0"/>
                <w:szCs w:val="21"/>
                <w:highlight w:val="none"/>
              </w:rPr>
              <w:t>桥梁</w:t>
            </w:r>
          </w:p>
          <w:p>
            <w:pPr>
              <w:jc w:val="center"/>
              <w:rPr>
                <w:rFonts w:ascii="宋体" w:hAnsi="宋体"/>
                <w:b/>
                <w:szCs w:val="21"/>
                <w:highlight w:val="none"/>
              </w:rPr>
            </w:pPr>
            <w:r>
              <w:rPr>
                <w:rFonts w:hint="eastAsia" w:ascii="宋体" w:hAnsi="宋体" w:cs="宋体"/>
                <w:kern w:val="0"/>
                <w:szCs w:val="21"/>
                <w:highlight w:val="none"/>
              </w:rPr>
              <w:t>(整幅)</w:t>
            </w:r>
          </w:p>
        </w:tc>
        <w:tc>
          <w:tcPr>
            <w:tcW w:w="1164" w:type="dxa"/>
            <w:vAlign w:val="center"/>
          </w:tcPr>
          <w:p>
            <w:pPr>
              <w:jc w:val="center"/>
              <w:rPr>
                <w:rFonts w:ascii="宋体" w:hAnsi="宋体"/>
                <w:b/>
                <w:szCs w:val="21"/>
                <w:highlight w:val="none"/>
              </w:rPr>
            </w:pPr>
            <w:r>
              <w:rPr>
                <w:rFonts w:hint="eastAsia" w:ascii="宋体" w:hAnsi="宋体" w:cs="宋体"/>
                <w:kern w:val="0"/>
                <w:szCs w:val="21"/>
                <w:highlight w:val="none"/>
              </w:rPr>
              <w:t>涵洞</w:t>
            </w:r>
          </w:p>
        </w:tc>
        <w:tc>
          <w:tcPr>
            <w:tcW w:w="5048" w:type="dxa"/>
            <w:gridSpan w:val="6"/>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路线交叉及沿线设施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trPr>
        <w:tc>
          <w:tcPr>
            <w:tcW w:w="333" w:type="dxa"/>
            <w:vMerge w:val="continue"/>
            <w:vAlign w:val="top"/>
          </w:tcPr>
          <w:p>
            <w:pPr>
              <w:jc w:val="center"/>
              <w:rPr>
                <w:rFonts w:ascii="宋体" w:hAnsi="宋体"/>
                <w:b/>
                <w:szCs w:val="21"/>
                <w:highlight w:val="none"/>
              </w:rPr>
            </w:pPr>
          </w:p>
        </w:tc>
        <w:tc>
          <w:tcPr>
            <w:tcW w:w="343" w:type="dxa"/>
            <w:vMerge w:val="continue"/>
            <w:vAlign w:val="center"/>
          </w:tcPr>
          <w:p>
            <w:pPr>
              <w:jc w:val="center"/>
              <w:rPr>
                <w:rFonts w:ascii="宋体" w:hAnsi="宋体"/>
                <w:b/>
                <w:szCs w:val="21"/>
                <w:highlight w:val="none"/>
              </w:rPr>
            </w:pPr>
          </w:p>
        </w:tc>
        <w:tc>
          <w:tcPr>
            <w:tcW w:w="1786" w:type="dxa"/>
            <w:vMerge w:val="continue"/>
            <w:vAlign w:val="center"/>
          </w:tcPr>
          <w:p>
            <w:pPr>
              <w:jc w:val="center"/>
              <w:rPr>
                <w:rFonts w:ascii="宋体" w:hAnsi="宋体"/>
                <w:b/>
                <w:szCs w:val="21"/>
                <w:highlight w:val="none"/>
              </w:rPr>
            </w:pPr>
          </w:p>
        </w:tc>
        <w:tc>
          <w:tcPr>
            <w:tcW w:w="726" w:type="dxa"/>
            <w:vMerge w:val="continue"/>
            <w:vAlign w:val="center"/>
          </w:tcPr>
          <w:p>
            <w:pPr>
              <w:jc w:val="center"/>
              <w:rPr>
                <w:rFonts w:ascii="宋体" w:hAnsi="宋体"/>
                <w:b/>
                <w:szCs w:val="21"/>
                <w:highlight w:val="none"/>
              </w:rPr>
            </w:pPr>
          </w:p>
        </w:tc>
        <w:tc>
          <w:tcPr>
            <w:tcW w:w="1010" w:type="dxa"/>
            <w:vAlign w:val="center"/>
          </w:tcPr>
          <w:p>
            <w:pPr>
              <w:jc w:val="center"/>
              <w:rPr>
                <w:rFonts w:ascii="宋体" w:hAnsi="宋体"/>
                <w:b/>
                <w:szCs w:val="21"/>
                <w:highlight w:val="none"/>
              </w:rPr>
            </w:pPr>
            <w:r>
              <w:rPr>
                <w:rFonts w:hint="eastAsia" w:ascii="宋体" w:hAnsi="宋体" w:cs="宋体"/>
                <w:kern w:val="0"/>
                <w:szCs w:val="21"/>
                <w:highlight w:val="none"/>
              </w:rPr>
              <w:t>土石方</w:t>
            </w:r>
          </w:p>
        </w:tc>
        <w:tc>
          <w:tcPr>
            <w:tcW w:w="802" w:type="dxa"/>
            <w:vAlign w:val="center"/>
          </w:tcPr>
          <w:p>
            <w:pPr>
              <w:jc w:val="center"/>
              <w:rPr>
                <w:rFonts w:ascii="宋体" w:hAnsi="宋体"/>
                <w:b/>
                <w:szCs w:val="21"/>
                <w:highlight w:val="none"/>
              </w:rPr>
            </w:pPr>
            <w:r>
              <w:rPr>
                <w:rFonts w:hint="eastAsia" w:ascii="宋体" w:hAnsi="宋体" w:cs="宋体"/>
                <w:kern w:val="0"/>
                <w:szCs w:val="21"/>
                <w:highlight w:val="none"/>
              </w:rPr>
              <w:t>防护</w:t>
            </w:r>
          </w:p>
          <w:p>
            <w:pPr>
              <w:jc w:val="center"/>
              <w:rPr>
                <w:rFonts w:ascii="宋体" w:hAnsi="宋体"/>
                <w:b/>
                <w:szCs w:val="21"/>
                <w:highlight w:val="none"/>
              </w:rPr>
            </w:pPr>
            <w:r>
              <w:rPr>
                <w:rFonts w:hint="eastAsia" w:ascii="宋体" w:hAnsi="宋体" w:cs="宋体"/>
                <w:kern w:val="0"/>
                <w:szCs w:val="21"/>
                <w:highlight w:val="none"/>
              </w:rPr>
              <w:t>工程</w:t>
            </w:r>
          </w:p>
        </w:tc>
        <w:tc>
          <w:tcPr>
            <w:tcW w:w="737" w:type="dxa"/>
            <w:vAlign w:val="center"/>
          </w:tcPr>
          <w:p>
            <w:pPr>
              <w:jc w:val="center"/>
              <w:rPr>
                <w:rFonts w:ascii="宋体" w:hAnsi="宋体"/>
                <w:b/>
                <w:szCs w:val="21"/>
                <w:highlight w:val="none"/>
              </w:rPr>
            </w:pPr>
            <w:r>
              <w:rPr>
                <w:rFonts w:hint="eastAsia" w:ascii="宋体" w:hAnsi="宋体" w:cs="宋体"/>
                <w:kern w:val="0"/>
                <w:szCs w:val="21"/>
                <w:highlight w:val="none"/>
              </w:rPr>
              <w:t>排水</w:t>
            </w:r>
          </w:p>
          <w:p>
            <w:pPr>
              <w:jc w:val="center"/>
              <w:rPr>
                <w:rFonts w:ascii="宋体" w:hAnsi="宋体"/>
                <w:b/>
                <w:szCs w:val="21"/>
                <w:highlight w:val="none"/>
              </w:rPr>
            </w:pPr>
            <w:r>
              <w:rPr>
                <w:rFonts w:hint="eastAsia" w:ascii="宋体" w:hAnsi="宋体" w:cs="宋体"/>
                <w:kern w:val="0"/>
                <w:szCs w:val="21"/>
                <w:highlight w:val="none"/>
              </w:rPr>
              <w:t>工程</w:t>
            </w:r>
          </w:p>
        </w:tc>
        <w:tc>
          <w:tcPr>
            <w:tcW w:w="931"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沥青</w:t>
            </w:r>
          </w:p>
          <w:p>
            <w:pPr>
              <w:jc w:val="center"/>
              <w:rPr>
                <w:rFonts w:ascii="宋体" w:hAnsi="宋体" w:cs="宋体"/>
                <w:kern w:val="0"/>
                <w:szCs w:val="21"/>
                <w:highlight w:val="none"/>
              </w:rPr>
            </w:pPr>
            <w:r>
              <w:rPr>
                <w:rFonts w:hint="eastAsia" w:ascii="宋体" w:hAnsi="宋体" w:cs="宋体"/>
                <w:kern w:val="0"/>
                <w:szCs w:val="21"/>
                <w:highlight w:val="none"/>
              </w:rPr>
              <w:t>混凝土</w:t>
            </w:r>
          </w:p>
        </w:tc>
        <w:tc>
          <w:tcPr>
            <w:tcW w:w="905" w:type="dxa"/>
            <w:vAlign w:val="center"/>
          </w:tcPr>
          <w:p>
            <w:pPr>
              <w:jc w:val="center"/>
              <w:rPr>
                <w:rFonts w:ascii="宋体" w:hAnsi="宋体"/>
                <w:b/>
                <w:szCs w:val="21"/>
                <w:highlight w:val="none"/>
              </w:rPr>
            </w:pPr>
          </w:p>
        </w:tc>
        <w:tc>
          <w:tcPr>
            <w:tcW w:w="1164" w:type="dxa"/>
            <w:vAlign w:val="center"/>
          </w:tcPr>
          <w:p>
            <w:pPr>
              <w:jc w:val="center"/>
              <w:rPr>
                <w:rFonts w:ascii="宋体" w:hAnsi="宋体"/>
                <w:b/>
                <w:szCs w:val="21"/>
                <w:highlight w:val="none"/>
              </w:rPr>
            </w:pPr>
          </w:p>
        </w:tc>
        <w:tc>
          <w:tcPr>
            <w:tcW w:w="815" w:type="dxa"/>
            <w:vAlign w:val="center"/>
          </w:tcPr>
          <w:p>
            <w:pPr>
              <w:jc w:val="center"/>
              <w:rPr>
                <w:rFonts w:ascii="宋体" w:hAnsi="宋体"/>
                <w:b/>
                <w:szCs w:val="21"/>
                <w:highlight w:val="none"/>
              </w:rPr>
            </w:pPr>
            <w:r>
              <w:rPr>
                <w:rFonts w:hint="eastAsia" w:ascii="宋体" w:hAnsi="宋体" w:cs="宋体"/>
                <w:kern w:val="0"/>
                <w:szCs w:val="21"/>
                <w:highlight w:val="none"/>
              </w:rPr>
              <w:t>互通式立交</w:t>
            </w:r>
          </w:p>
        </w:tc>
        <w:tc>
          <w:tcPr>
            <w:tcW w:w="510" w:type="dxa"/>
            <w:vAlign w:val="center"/>
          </w:tcPr>
          <w:p>
            <w:pPr>
              <w:jc w:val="center"/>
              <w:rPr>
                <w:rFonts w:ascii="宋体" w:hAnsi="宋体"/>
                <w:b/>
                <w:szCs w:val="21"/>
                <w:highlight w:val="none"/>
              </w:rPr>
            </w:pPr>
            <w:r>
              <w:rPr>
                <w:rFonts w:hint="eastAsia" w:ascii="宋体" w:hAnsi="宋体" w:cs="宋体"/>
                <w:kern w:val="0"/>
                <w:szCs w:val="21"/>
                <w:highlight w:val="none"/>
              </w:rPr>
              <w:t>分离式立交</w:t>
            </w:r>
          </w:p>
        </w:tc>
        <w:tc>
          <w:tcPr>
            <w:tcW w:w="1248" w:type="dxa"/>
            <w:vAlign w:val="center"/>
          </w:tcPr>
          <w:p>
            <w:pPr>
              <w:jc w:val="center"/>
              <w:rPr>
                <w:rFonts w:ascii="宋体" w:hAnsi="宋体"/>
                <w:b/>
                <w:szCs w:val="21"/>
                <w:highlight w:val="none"/>
              </w:rPr>
            </w:pPr>
            <w:r>
              <w:rPr>
                <w:rFonts w:hint="eastAsia" w:ascii="宋体" w:hAnsi="宋体" w:cs="宋体"/>
                <w:kern w:val="0"/>
                <w:szCs w:val="21"/>
                <w:highlight w:val="none"/>
              </w:rPr>
              <w:t>通道</w:t>
            </w:r>
          </w:p>
        </w:tc>
        <w:tc>
          <w:tcPr>
            <w:tcW w:w="789" w:type="dxa"/>
            <w:vAlign w:val="center"/>
          </w:tcPr>
          <w:p>
            <w:pPr>
              <w:jc w:val="center"/>
              <w:rPr>
                <w:rFonts w:ascii="宋体" w:hAnsi="宋体"/>
                <w:b/>
                <w:szCs w:val="21"/>
                <w:highlight w:val="none"/>
              </w:rPr>
            </w:pPr>
            <w:r>
              <w:rPr>
                <w:rFonts w:hint="eastAsia" w:ascii="宋体" w:hAnsi="宋体" w:cs="宋体"/>
                <w:kern w:val="0"/>
                <w:szCs w:val="21"/>
                <w:highlight w:val="none"/>
              </w:rPr>
              <w:t>天桥</w:t>
            </w:r>
          </w:p>
        </w:tc>
        <w:tc>
          <w:tcPr>
            <w:tcW w:w="767"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标线、路标等</w:t>
            </w:r>
          </w:p>
        </w:tc>
        <w:tc>
          <w:tcPr>
            <w:tcW w:w="919"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护栏、隔离设施等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33" w:type="dxa"/>
            <w:vMerge w:val="continue"/>
            <w:vAlign w:val="top"/>
          </w:tcPr>
          <w:p>
            <w:pPr>
              <w:jc w:val="center"/>
              <w:rPr>
                <w:rFonts w:ascii="宋体" w:hAnsi="宋体" w:cs="宋体"/>
                <w:kern w:val="0"/>
                <w:szCs w:val="21"/>
                <w:highlight w:val="none"/>
              </w:rPr>
            </w:pPr>
          </w:p>
        </w:tc>
        <w:tc>
          <w:tcPr>
            <w:tcW w:w="343" w:type="dxa"/>
            <w:vMerge w:val="continue"/>
            <w:vAlign w:val="center"/>
          </w:tcPr>
          <w:p>
            <w:pPr>
              <w:jc w:val="center"/>
              <w:rPr>
                <w:rFonts w:ascii="宋体" w:hAnsi="宋体"/>
                <w:b/>
                <w:szCs w:val="21"/>
                <w:highlight w:val="none"/>
              </w:rPr>
            </w:pPr>
          </w:p>
        </w:tc>
        <w:tc>
          <w:tcPr>
            <w:tcW w:w="1786" w:type="dxa"/>
            <w:vMerge w:val="continue"/>
            <w:vAlign w:val="center"/>
          </w:tcPr>
          <w:p>
            <w:pPr>
              <w:jc w:val="center"/>
              <w:rPr>
                <w:rFonts w:ascii="宋体" w:hAnsi="宋体"/>
                <w:b/>
                <w:szCs w:val="21"/>
                <w:highlight w:val="none"/>
              </w:rPr>
            </w:pPr>
          </w:p>
        </w:tc>
        <w:tc>
          <w:tcPr>
            <w:tcW w:w="726" w:type="dxa"/>
            <w:vAlign w:val="center"/>
          </w:tcPr>
          <w:p>
            <w:pPr>
              <w:jc w:val="center"/>
              <w:rPr>
                <w:rFonts w:ascii="宋体" w:hAnsi="宋体"/>
                <w:b/>
                <w:szCs w:val="21"/>
                <w:highlight w:val="none"/>
              </w:rPr>
            </w:pPr>
            <w:r>
              <w:rPr>
                <w:rFonts w:hint="eastAsia" w:ascii="宋体" w:hAnsi="宋体" w:cs="宋体"/>
                <w:kern w:val="0"/>
                <w:szCs w:val="21"/>
                <w:highlight w:val="none"/>
              </w:rPr>
              <w:t>(km)</w:t>
            </w:r>
          </w:p>
        </w:tc>
        <w:tc>
          <w:tcPr>
            <w:tcW w:w="1010" w:type="dxa"/>
            <w:vAlign w:val="center"/>
          </w:tcPr>
          <w:p>
            <w:pPr>
              <w:jc w:val="center"/>
              <w:rPr>
                <w:rFonts w:ascii="宋体" w:hAnsi="宋体"/>
                <w:b/>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ascii="宋体" w:hAnsi="宋体"/>
                <w:kern w:val="0"/>
                <w:szCs w:val="21"/>
                <w:highlight w:val="none"/>
                <w:vertAlign w:val="superscript"/>
              </w:rPr>
              <w:t>3</w:t>
            </w:r>
            <w:r>
              <w:rPr>
                <w:rFonts w:hint="eastAsia" w:ascii="宋体" w:hAnsi="宋体" w:cs="宋体"/>
                <w:kern w:val="0"/>
                <w:szCs w:val="21"/>
                <w:highlight w:val="none"/>
              </w:rPr>
              <w:t>）</w:t>
            </w:r>
          </w:p>
        </w:tc>
        <w:tc>
          <w:tcPr>
            <w:tcW w:w="802" w:type="dxa"/>
            <w:vAlign w:val="center"/>
          </w:tcPr>
          <w:p>
            <w:pPr>
              <w:jc w:val="center"/>
              <w:rPr>
                <w:rFonts w:ascii="宋体" w:hAnsi="宋体"/>
                <w:b/>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ascii="宋体" w:hAnsi="宋体"/>
                <w:kern w:val="0"/>
                <w:szCs w:val="21"/>
                <w:highlight w:val="none"/>
                <w:vertAlign w:val="superscript"/>
              </w:rPr>
              <w:t>3</w:t>
            </w:r>
            <w:r>
              <w:rPr>
                <w:rFonts w:hint="eastAsia" w:ascii="宋体" w:hAnsi="宋体" w:cs="宋体"/>
                <w:kern w:val="0"/>
                <w:szCs w:val="21"/>
                <w:highlight w:val="none"/>
              </w:rPr>
              <w:t>）</w:t>
            </w:r>
          </w:p>
        </w:tc>
        <w:tc>
          <w:tcPr>
            <w:tcW w:w="737" w:type="dxa"/>
            <w:vAlign w:val="center"/>
          </w:tcPr>
          <w:p>
            <w:pPr>
              <w:jc w:val="center"/>
              <w:rPr>
                <w:rFonts w:ascii="宋体" w:hAnsi="宋体"/>
                <w:b/>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ascii="宋体" w:hAnsi="宋体"/>
                <w:kern w:val="0"/>
                <w:szCs w:val="21"/>
                <w:highlight w:val="none"/>
                <w:vertAlign w:val="superscript"/>
              </w:rPr>
              <w:t>3</w:t>
            </w:r>
            <w:r>
              <w:rPr>
                <w:rFonts w:hint="eastAsia" w:ascii="宋体" w:hAnsi="宋体" w:cs="宋体"/>
                <w:kern w:val="0"/>
                <w:szCs w:val="21"/>
                <w:highlight w:val="none"/>
              </w:rPr>
              <w:t>）</w:t>
            </w:r>
          </w:p>
        </w:tc>
        <w:tc>
          <w:tcPr>
            <w:tcW w:w="931"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（1000</w:t>
            </w:r>
            <w:r>
              <w:rPr>
                <w:rFonts w:ascii="宋体" w:hAnsi="宋体"/>
                <w:kern w:val="0"/>
                <w:szCs w:val="21"/>
                <w:highlight w:val="none"/>
              </w:rPr>
              <w:t>m</w:t>
            </w:r>
            <w:r>
              <w:rPr>
                <w:rFonts w:hint="eastAsia" w:ascii="宋体" w:hAnsi="宋体"/>
                <w:kern w:val="0"/>
                <w:szCs w:val="21"/>
                <w:highlight w:val="none"/>
                <w:vertAlign w:val="superscript"/>
              </w:rPr>
              <w:t>2</w:t>
            </w:r>
            <w:r>
              <w:rPr>
                <w:rFonts w:hint="eastAsia" w:ascii="宋体" w:hAnsi="宋体" w:cs="宋体"/>
                <w:kern w:val="0"/>
                <w:szCs w:val="21"/>
                <w:highlight w:val="none"/>
              </w:rPr>
              <w:t>）</w:t>
            </w:r>
          </w:p>
        </w:tc>
        <w:tc>
          <w:tcPr>
            <w:tcW w:w="905" w:type="dxa"/>
            <w:vAlign w:val="center"/>
          </w:tcPr>
          <w:p>
            <w:pPr>
              <w:jc w:val="center"/>
              <w:rPr>
                <w:rFonts w:ascii="宋体" w:hAnsi="宋体"/>
                <w:b/>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hint="eastAsia" w:ascii="宋体" w:hAnsi="宋体" w:cs="宋体"/>
                <w:kern w:val="0"/>
                <w:szCs w:val="21"/>
                <w:highlight w:val="none"/>
              </w:rPr>
              <w:t>座）</w:t>
            </w:r>
          </w:p>
        </w:tc>
        <w:tc>
          <w:tcPr>
            <w:tcW w:w="1164"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hint="eastAsia" w:ascii="宋体" w:hAnsi="宋体" w:cs="宋体"/>
                <w:kern w:val="0"/>
                <w:szCs w:val="21"/>
                <w:highlight w:val="none"/>
              </w:rPr>
              <w:t>道）</w:t>
            </w:r>
          </w:p>
        </w:tc>
        <w:tc>
          <w:tcPr>
            <w:tcW w:w="815"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hint="eastAsia" w:ascii="宋体" w:hAnsi="宋体" w:cs="宋体"/>
                <w:kern w:val="0"/>
                <w:szCs w:val="21"/>
                <w:highlight w:val="none"/>
              </w:rPr>
              <w:t>座）</w:t>
            </w:r>
          </w:p>
        </w:tc>
        <w:tc>
          <w:tcPr>
            <w:tcW w:w="510"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hint="eastAsia" w:ascii="宋体" w:hAnsi="宋体" w:cs="宋体"/>
                <w:kern w:val="0"/>
                <w:szCs w:val="21"/>
                <w:highlight w:val="none"/>
              </w:rPr>
              <w:t>座）</w:t>
            </w:r>
          </w:p>
        </w:tc>
        <w:tc>
          <w:tcPr>
            <w:tcW w:w="1248" w:type="dxa"/>
            <w:vAlign w:val="center"/>
          </w:tcPr>
          <w:p>
            <w:pPr>
              <w:jc w:val="center"/>
              <w:rPr>
                <w:rFonts w:ascii="宋体" w:hAnsi="宋体"/>
                <w:b/>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hint="eastAsia" w:ascii="宋体" w:hAnsi="宋体" w:cs="宋体"/>
                <w:kern w:val="0"/>
                <w:szCs w:val="21"/>
                <w:highlight w:val="none"/>
              </w:rPr>
              <w:t>道）</w:t>
            </w:r>
          </w:p>
        </w:tc>
        <w:tc>
          <w:tcPr>
            <w:tcW w:w="78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r>
              <w:rPr>
                <w:rFonts w:ascii="宋体" w:hAnsi="宋体"/>
                <w:kern w:val="0"/>
                <w:szCs w:val="21"/>
                <w:highlight w:val="none"/>
              </w:rPr>
              <w:t>m/</w:t>
            </w:r>
            <w:r>
              <w:rPr>
                <w:rFonts w:hint="eastAsia" w:ascii="宋体" w:hAnsi="宋体" w:cs="宋体"/>
                <w:kern w:val="0"/>
                <w:szCs w:val="21"/>
                <w:highlight w:val="none"/>
              </w:rPr>
              <w:t>座）</w:t>
            </w:r>
          </w:p>
        </w:tc>
        <w:tc>
          <w:tcPr>
            <w:tcW w:w="767"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w:t>
            </w:r>
          </w:p>
        </w:tc>
        <w:tc>
          <w:tcPr>
            <w:tcW w:w="919"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exact"/>
        </w:trPr>
        <w:tc>
          <w:tcPr>
            <w:tcW w:w="333"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J1</w:t>
            </w:r>
          </w:p>
        </w:tc>
        <w:tc>
          <w:tcPr>
            <w:tcW w:w="343"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786"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K0+000～K4+300</w:t>
            </w:r>
          </w:p>
        </w:tc>
        <w:tc>
          <w:tcPr>
            <w:tcW w:w="726"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4.30</w:t>
            </w:r>
          </w:p>
        </w:tc>
        <w:tc>
          <w:tcPr>
            <w:tcW w:w="1010"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1217614</w:t>
            </w:r>
          </w:p>
        </w:tc>
        <w:tc>
          <w:tcPr>
            <w:tcW w:w="802" w:type="dxa"/>
            <w:vAlign w:val="center"/>
          </w:tcPr>
          <w:p>
            <w:pPr>
              <w:jc w:val="center"/>
              <w:rPr>
                <w:rFonts w:ascii="宋体" w:hAnsi="宋体"/>
                <w:szCs w:val="21"/>
                <w:highlight w:val="none"/>
              </w:rPr>
            </w:pPr>
            <w:r>
              <w:rPr>
                <w:rFonts w:hint="eastAsia" w:ascii="宋体" w:hAnsi="宋体"/>
                <w:szCs w:val="21"/>
                <w:highlight w:val="none"/>
              </w:rPr>
              <w:t>9645</w:t>
            </w:r>
          </w:p>
        </w:tc>
        <w:tc>
          <w:tcPr>
            <w:tcW w:w="737" w:type="dxa"/>
            <w:vAlign w:val="center"/>
          </w:tcPr>
          <w:p>
            <w:pPr>
              <w:jc w:val="center"/>
              <w:rPr>
                <w:rFonts w:ascii="宋体" w:hAnsi="宋体"/>
                <w:szCs w:val="21"/>
                <w:highlight w:val="none"/>
              </w:rPr>
            </w:pPr>
            <w:r>
              <w:rPr>
                <w:rFonts w:hint="eastAsia" w:ascii="宋体" w:hAnsi="宋体"/>
                <w:szCs w:val="21"/>
                <w:highlight w:val="none"/>
              </w:rPr>
              <w:t>3095</w:t>
            </w:r>
          </w:p>
        </w:tc>
        <w:tc>
          <w:tcPr>
            <w:tcW w:w="931"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76.618</w:t>
            </w:r>
          </w:p>
        </w:tc>
        <w:tc>
          <w:tcPr>
            <w:tcW w:w="905"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2210/8</w:t>
            </w:r>
          </w:p>
        </w:tc>
        <w:tc>
          <w:tcPr>
            <w:tcW w:w="1164"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503.18/9</w:t>
            </w:r>
          </w:p>
        </w:tc>
        <w:tc>
          <w:tcPr>
            <w:tcW w:w="815"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2120/1</w:t>
            </w:r>
          </w:p>
        </w:tc>
        <w:tc>
          <w:tcPr>
            <w:tcW w:w="510"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1248"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190.48/8</w:t>
            </w:r>
          </w:p>
        </w:tc>
        <w:tc>
          <w:tcPr>
            <w:tcW w:w="78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767"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5448</w:t>
            </w:r>
          </w:p>
        </w:tc>
        <w:tc>
          <w:tcPr>
            <w:tcW w:w="919"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97529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1" w:hRule="exact"/>
        </w:trPr>
        <w:tc>
          <w:tcPr>
            <w:tcW w:w="333" w:type="dxa"/>
            <w:vMerge w:val="continue"/>
            <w:vAlign w:val="center"/>
          </w:tcPr>
          <w:p>
            <w:pPr>
              <w:widowControl/>
              <w:jc w:val="center"/>
              <w:rPr>
                <w:rFonts w:ascii="宋体" w:hAnsi="宋体" w:cs="宋体"/>
                <w:kern w:val="0"/>
                <w:szCs w:val="21"/>
                <w:highlight w:val="none"/>
              </w:rPr>
            </w:pPr>
          </w:p>
        </w:tc>
        <w:tc>
          <w:tcPr>
            <w:tcW w:w="343"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1786"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K10+909.5～K20+299</w:t>
            </w:r>
          </w:p>
        </w:tc>
        <w:tc>
          <w:tcPr>
            <w:tcW w:w="726"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9.39</w:t>
            </w:r>
          </w:p>
        </w:tc>
        <w:tc>
          <w:tcPr>
            <w:tcW w:w="1010"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1424611</w:t>
            </w:r>
          </w:p>
        </w:tc>
        <w:tc>
          <w:tcPr>
            <w:tcW w:w="802" w:type="dxa"/>
            <w:vAlign w:val="center"/>
          </w:tcPr>
          <w:p>
            <w:pPr>
              <w:jc w:val="center"/>
              <w:rPr>
                <w:rFonts w:ascii="宋体" w:hAnsi="宋体"/>
                <w:szCs w:val="21"/>
                <w:highlight w:val="none"/>
              </w:rPr>
            </w:pPr>
            <w:r>
              <w:rPr>
                <w:rFonts w:hint="eastAsia" w:ascii="宋体" w:hAnsi="宋体"/>
                <w:szCs w:val="21"/>
                <w:highlight w:val="none"/>
              </w:rPr>
              <w:t>12107</w:t>
            </w:r>
          </w:p>
        </w:tc>
        <w:tc>
          <w:tcPr>
            <w:tcW w:w="737" w:type="dxa"/>
            <w:vAlign w:val="center"/>
          </w:tcPr>
          <w:p>
            <w:pPr>
              <w:jc w:val="center"/>
              <w:rPr>
                <w:rFonts w:ascii="宋体" w:hAnsi="宋体"/>
                <w:szCs w:val="21"/>
                <w:highlight w:val="none"/>
              </w:rPr>
            </w:pPr>
            <w:r>
              <w:rPr>
                <w:rFonts w:hint="eastAsia" w:ascii="宋体" w:hAnsi="宋体"/>
                <w:szCs w:val="21"/>
                <w:highlight w:val="none"/>
              </w:rPr>
              <w:t>9808</w:t>
            </w:r>
          </w:p>
        </w:tc>
        <w:tc>
          <w:tcPr>
            <w:tcW w:w="931"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12.950</w:t>
            </w:r>
          </w:p>
        </w:tc>
        <w:tc>
          <w:tcPr>
            <w:tcW w:w="905"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5030/6</w:t>
            </w:r>
          </w:p>
        </w:tc>
        <w:tc>
          <w:tcPr>
            <w:tcW w:w="1164" w:type="dxa"/>
            <w:vAlign w:val="center"/>
          </w:tcPr>
          <w:p>
            <w:pPr>
              <w:widowControl/>
              <w:jc w:val="center"/>
              <w:rPr>
                <w:rFonts w:ascii="宋体" w:hAnsi="宋体" w:cs="宋体"/>
                <w:kern w:val="0"/>
                <w:szCs w:val="21"/>
                <w:highlight w:val="none"/>
              </w:rPr>
            </w:pPr>
            <w:r>
              <w:rPr>
                <w:rFonts w:ascii="宋体" w:hAnsi="宋体" w:cs="宋体"/>
                <w:kern w:val="0"/>
                <w:szCs w:val="21"/>
                <w:highlight w:val="none"/>
              </w:rPr>
              <w:t>708.50/24</w:t>
            </w:r>
          </w:p>
        </w:tc>
        <w:tc>
          <w:tcPr>
            <w:tcW w:w="815"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3084/2</w:t>
            </w:r>
          </w:p>
        </w:tc>
        <w:tc>
          <w:tcPr>
            <w:tcW w:w="510"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1248" w:type="dxa"/>
            <w:vAlign w:val="center"/>
          </w:tcPr>
          <w:p>
            <w:pPr>
              <w:widowControl/>
              <w:jc w:val="center"/>
              <w:rPr>
                <w:rFonts w:ascii="宋体" w:hAnsi="宋体" w:cs="宋体"/>
                <w:kern w:val="0"/>
                <w:szCs w:val="21"/>
                <w:highlight w:val="none"/>
              </w:rPr>
            </w:pPr>
            <w:r>
              <w:rPr>
                <w:rFonts w:ascii="宋体" w:hAnsi="宋体" w:cs="宋体"/>
                <w:kern w:val="0"/>
                <w:szCs w:val="21"/>
                <w:highlight w:val="none"/>
              </w:rPr>
              <w:t>354.98/10</w:t>
            </w:r>
          </w:p>
        </w:tc>
        <w:tc>
          <w:tcPr>
            <w:tcW w:w="789" w:type="dxa"/>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228/2</w:t>
            </w:r>
          </w:p>
        </w:tc>
        <w:tc>
          <w:tcPr>
            <w:tcW w:w="767"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469</w:t>
            </w:r>
          </w:p>
        </w:tc>
        <w:tc>
          <w:tcPr>
            <w:tcW w:w="919" w:type="dxa"/>
            <w:vAlign w:val="center"/>
          </w:tcPr>
          <w:p>
            <w:pPr>
              <w:widowControl/>
              <w:jc w:val="center"/>
              <w:rPr>
                <w:rFonts w:hint="eastAsia" w:ascii="宋体" w:hAnsi="宋体" w:cs="宋体"/>
                <w:kern w:val="0"/>
                <w:szCs w:val="21"/>
                <w:highlight w:val="none"/>
              </w:rPr>
            </w:pPr>
          </w:p>
        </w:tc>
      </w:tr>
    </w:tbl>
    <w:p>
      <w:pPr>
        <w:jc w:val="left"/>
        <w:rPr>
          <w:rFonts w:hint="eastAsia" w:ascii="黑体" w:hAnsi="华文中宋" w:eastAsia="黑体"/>
          <w:sz w:val="24"/>
          <w:highlight w:val="none"/>
          <w:u w:val="single"/>
        </w:rPr>
      </w:pPr>
    </w:p>
    <w:p>
      <w:pPr>
        <w:jc w:val="left"/>
        <w:rPr>
          <w:rFonts w:ascii="黑体" w:hAnsi="华文中宋" w:eastAsia="黑体"/>
          <w:sz w:val="24"/>
          <w:highlight w:val="none"/>
          <w:u w:val="single"/>
        </w:rPr>
      </w:pPr>
      <w:r>
        <w:rPr>
          <w:rFonts w:hint="eastAsia" w:ascii="黑体" w:hAnsi="华文中宋" w:eastAsia="黑体"/>
          <w:sz w:val="24"/>
          <w:highlight w:val="none"/>
          <w:u w:val="single"/>
        </w:rPr>
        <w:t>注:以上数量仅供参考。</w:t>
      </w:r>
    </w:p>
    <w:p>
      <w:pPr>
        <w:widowControl/>
        <w:rPr>
          <w:rFonts w:hint="eastAsia" w:ascii="宋体" w:hAnsi="宋体" w:cs="宋体"/>
          <w:b/>
          <w:bCs/>
          <w:kern w:val="0"/>
          <w:sz w:val="24"/>
          <w:highlight w:val="none"/>
        </w:rPr>
      </w:pPr>
      <w:r>
        <w:rPr>
          <w:rFonts w:ascii="黑体" w:hAnsi="华文中宋" w:eastAsia="黑体"/>
          <w:sz w:val="32"/>
          <w:szCs w:val="32"/>
          <w:highlight w:val="none"/>
          <w:u w:val="single"/>
        </w:rPr>
        <w:br w:type="page"/>
      </w:r>
      <w:r>
        <w:rPr>
          <w:rFonts w:hint="eastAsia" w:ascii="宋体" w:hAnsi="宋体" w:cs="宋体"/>
          <w:b/>
          <w:bCs/>
          <w:kern w:val="0"/>
          <w:sz w:val="24"/>
          <w:highlight w:val="none"/>
        </w:rPr>
        <w:t xml:space="preserve">附表2                          </w:t>
      </w:r>
    </w:p>
    <w:p>
      <w:pPr>
        <w:widowControl/>
        <w:jc w:val="center"/>
        <w:rPr>
          <w:rFonts w:hint="eastAsia" w:ascii="宋体" w:hAnsi="宋体" w:cs="宋体"/>
          <w:b/>
          <w:bCs/>
          <w:kern w:val="0"/>
          <w:sz w:val="32"/>
          <w:szCs w:val="32"/>
          <w:highlight w:val="none"/>
        </w:rPr>
      </w:pPr>
      <w:r>
        <w:rPr>
          <w:rFonts w:hint="eastAsia" w:ascii="宋体" w:hAnsi="宋体" w:cs="宋体"/>
          <w:b/>
          <w:bCs/>
          <w:kern w:val="0"/>
          <w:sz w:val="32"/>
          <w:szCs w:val="32"/>
          <w:highlight w:val="none"/>
        </w:rPr>
        <w:t xml:space="preserve">G5513长益高速扩容工程第1、3标段桥梁一览表                            </w:t>
      </w:r>
    </w:p>
    <w:p>
      <w:pPr>
        <w:jc w:val="right"/>
        <w:rPr>
          <w:rFonts w:hint="eastAsia" w:ascii="宋体" w:hAnsi="宋体"/>
          <w:sz w:val="24"/>
          <w:highlight w:val="none"/>
        </w:rPr>
      </w:pPr>
      <w:r>
        <w:rPr>
          <w:rFonts w:hint="eastAsia" w:ascii="宋体" w:hAnsi="宋体"/>
          <w:sz w:val="24"/>
          <w:highlight w:val="none"/>
        </w:rPr>
        <w:t>第1页  共1页</w:t>
      </w:r>
    </w:p>
    <w:tbl>
      <w:tblPr>
        <w:tblStyle w:val="11"/>
        <w:tblW w:w="15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17"/>
        <w:gridCol w:w="1441"/>
        <w:gridCol w:w="1724"/>
        <w:gridCol w:w="2067"/>
        <w:gridCol w:w="595"/>
        <w:gridCol w:w="1470"/>
        <w:gridCol w:w="567"/>
        <w:gridCol w:w="931"/>
        <w:gridCol w:w="1938"/>
        <w:gridCol w:w="1596"/>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exact"/>
          <w:jc w:val="center"/>
        </w:trPr>
        <w:tc>
          <w:tcPr>
            <w:tcW w:w="555"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517"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土建</w:t>
            </w:r>
            <w:r>
              <w:rPr>
                <w:rFonts w:hint="eastAsia" w:ascii="宋体" w:hAnsi="宋体" w:cs="宋体"/>
                <w:kern w:val="0"/>
                <w:szCs w:val="21"/>
                <w:highlight w:val="none"/>
              </w:rPr>
              <w:br w:type="textWrapping"/>
            </w:r>
            <w:r>
              <w:rPr>
                <w:rFonts w:hint="eastAsia" w:ascii="宋体" w:hAnsi="宋体" w:cs="宋体"/>
                <w:kern w:val="0"/>
                <w:szCs w:val="21"/>
                <w:highlight w:val="none"/>
              </w:rPr>
              <w:t>标段</w:t>
            </w:r>
          </w:p>
        </w:tc>
        <w:tc>
          <w:tcPr>
            <w:tcW w:w="1441" w:type="dxa"/>
            <w:vMerge w:val="restart"/>
            <w:vAlign w:val="center"/>
          </w:tcPr>
          <w:p>
            <w:pPr>
              <w:jc w:val="center"/>
              <w:rPr>
                <w:rFonts w:ascii="宋体" w:hAnsi="宋体" w:cs="宋体"/>
                <w:kern w:val="0"/>
                <w:szCs w:val="21"/>
                <w:highlight w:val="none"/>
              </w:rPr>
            </w:pPr>
            <w:r>
              <w:rPr>
                <w:rFonts w:hint="eastAsia" w:ascii="宋体" w:hAnsi="宋体" w:cs="宋体"/>
                <w:kern w:val="0"/>
                <w:szCs w:val="21"/>
                <w:highlight w:val="none"/>
              </w:rPr>
              <w:t>中 心</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桩 号</w:t>
            </w:r>
          </w:p>
        </w:tc>
        <w:tc>
          <w:tcPr>
            <w:tcW w:w="1724"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河流名称或桥名</w:t>
            </w:r>
          </w:p>
        </w:tc>
        <w:tc>
          <w:tcPr>
            <w:tcW w:w="2067"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孔数及孔径</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（孔m）</w:t>
            </w:r>
          </w:p>
        </w:tc>
        <w:tc>
          <w:tcPr>
            <w:tcW w:w="595"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最大桥高</w:t>
            </w:r>
          </w:p>
        </w:tc>
        <w:tc>
          <w:tcPr>
            <w:tcW w:w="1470"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桥 梁</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宽 度</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（m）</w:t>
            </w:r>
          </w:p>
        </w:tc>
        <w:tc>
          <w:tcPr>
            <w:tcW w:w="567"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交</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角</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 °）</w:t>
            </w:r>
          </w:p>
        </w:tc>
        <w:tc>
          <w:tcPr>
            <w:tcW w:w="931"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桥梁</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全长</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（m）</w:t>
            </w:r>
          </w:p>
        </w:tc>
        <w:tc>
          <w:tcPr>
            <w:tcW w:w="5151" w:type="dxa"/>
            <w:gridSpan w:val="3"/>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结   构   类   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exact"/>
          <w:jc w:val="center"/>
        </w:trPr>
        <w:tc>
          <w:tcPr>
            <w:tcW w:w="555" w:type="dxa"/>
            <w:vMerge w:val="continue"/>
            <w:vAlign w:val="center"/>
          </w:tcPr>
          <w:p>
            <w:pPr>
              <w:widowControl/>
              <w:jc w:val="left"/>
              <w:rPr>
                <w:rFonts w:ascii="宋体" w:hAnsi="宋体" w:cs="宋体"/>
                <w:kern w:val="0"/>
                <w:szCs w:val="21"/>
                <w:highlight w:val="none"/>
              </w:rPr>
            </w:pPr>
          </w:p>
        </w:tc>
        <w:tc>
          <w:tcPr>
            <w:tcW w:w="517" w:type="dxa"/>
            <w:vMerge w:val="continue"/>
            <w:vAlign w:val="center"/>
          </w:tcPr>
          <w:p>
            <w:pPr>
              <w:widowControl/>
              <w:jc w:val="left"/>
              <w:rPr>
                <w:rFonts w:ascii="宋体" w:hAnsi="宋体" w:cs="宋体"/>
                <w:kern w:val="0"/>
                <w:szCs w:val="21"/>
                <w:highlight w:val="none"/>
              </w:rPr>
            </w:pPr>
          </w:p>
        </w:tc>
        <w:tc>
          <w:tcPr>
            <w:tcW w:w="1441" w:type="dxa"/>
            <w:vMerge w:val="continue"/>
            <w:vAlign w:val="center"/>
          </w:tcPr>
          <w:p>
            <w:pPr>
              <w:widowControl/>
              <w:jc w:val="left"/>
              <w:rPr>
                <w:rFonts w:ascii="宋体" w:hAnsi="宋体" w:cs="宋体"/>
                <w:kern w:val="0"/>
                <w:szCs w:val="21"/>
                <w:highlight w:val="none"/>
              </w:rPr>
            </w:pPr>
          </w:p>
        </w:tc>
        <w:tc>
          <w:tcPr>
            <w:tcW w:w="1724" w:type="dxa"/>
            <w:vMerge w:val="continue"/>
            <w:vAlign w:val="center"/>
          </w:tcPr>
          <w:p>
            <w:pPr>
              <w:widowControl/>
              <w:jc w:val="left"/>
              <w:rPr>
                <w:rFonts w:ascii="宋体" w:hAnsi="宋体" w:cs="宋体"/>
                <w:kern w:val="0"/>
                <w:szCs w:val="21"/>
                <w:highlight w:val="none"/>
              </w:rPr>
            </w:pPr>
          </w:p>
        </w:tc>
        <w:tc>
          <w:tcPr>
            <w:tcW w:w="2067" w:type="dxa"/>
            <w:vMerge w:val="continue"/>
            <w:vAlign w:val="center"/>
          </w:tcPr>
          <w:p>
            <w:pPr>
              <w:widowControl/>
              <w:jc w:val="left"/>
              <w:rPr>
                <w:rFonts w:ascii="宋体" w:hAnsi="宋体" w:cs="宋体"/>
                <w:kern w:val="0"/>
                <w:szCs w:val="21"/>
                <w:highlight w:val="none"/>
              </w:rPr>
            </w:pPr>
          </w:p>
        </w:tc>
        <w:tc>
          <w:tcPr>
            <w:tcW w:w="595" w:type="dxa"/>
            <w:vMerge w:val="continue"/>
            <w:vAlign w:val="center"/>
          </w:tcPr>
          <w:p>
            <w:pPr>
              <w:widowControl/>
              <w:jc w:val="left"/>
              <w:rPr>
                <w:rFonts w:ascii="宋体" w:hAnsi="宋体" w:cs="宋体"/>
                <w:kern w:val="0"/>
                <w:szCs w:val="21"/>
                <w:highlight w:val="none"/>
              </w:rPr>
            </w:pPr>
          </w:p>
        </w:tc>
        <w:tc>
          <w:tcPr>
            <w:tcW w:w="1470" w:type="dxa"/>
            <w:vMerge w:val="continue"/>
            <w:vAlign w:val="center"/>
          </w:tcPr>
          <w:p>
            <w:pPr>
              <w:widowControl/>
              <w:jc w:val="left"/>
              <w:rPr>
                <w:rFonts w:ascii="宋体" w:hAnsi="宋体" w:cs="宋体"/>
                <w:kern w:val="0"/>
                <w:szCs w:val="21"/>
                <w:highlight w:val="none"/>
              </w:rPr>
            </w:pPr>
          </w:p>
        </w:tc>
        <w:tc>
          <w:tcPr>
            <w:tcW w:w="567" w:type="dxa"/>
            <w:vMerge w:val="continue"/>
            <w:vAlign w:val="center"/>
          </w:tcPr>
          <w:p>
            <w:pPr>
              <w:widowControl/>
              <w:jc w:val="left"/>
              <w:rPr>
                <w:rFonts w:ascii="宋体" w:hAnsi="宋体" w:cs="宋体"/>
                <w:kern w:val="0"/>
                <w:szCs w:val="21"/>
                <w:highlight w:val="none"/>
              </w:rPr>
            </w:pPr>
          </w:p>
        </w:tc>
        <w:tc>
          <w:tcPr>
            <w:tcW w:w="931" w:type="dxa"/>
            <w:vMerge w:val="continue"/>
            <w:vAlign w:val="center"/>
          </w:tcPr>
          <w:p>
            <w:pPr>
              <w:widowControl/>
              <w:jc w:val="left"/>
              <w:rPr>
                <w:rFonts w:ascii="宋体" w:hAnsi="宋体" w:cs="宋体"/>
                <w:kern w:val="0"/>
                <w:szCs w:val="21"/>
                <w:highlight w:val="none"/>
              </w:rPr>
            </w:pPr>
          </w:p>
        </w:tc>
        <w:tc>
          <w:tcPr>
            <w:tcW w:w="5151" w:type="dxa"/>
            <w:gridSpan w:val="3"/>
            <w:vMerge w:val="continue"/>
            <w:vAlign w:val="center"/>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exact"/>
          <w:jc w:val="center"/>
        </w:trPr>
        <w:tc>
          <w:tcPr>
            <w:tcW w:w="555" w:type="dxa"/>
            <w:vMerge w:val="continue"/>
            <w:vAlign w:val="center"/>
          </w:tcPr>
          <w:p>
            <w:pPr>
              <w:widowControl/>
              <w:jc w:val="left"/>
              <w:rPr>
                <w:rFonts w:ascii="宋体" w:hAnsi="宋体" w:cs="宋体"/>
                <w:kern w:val="0"/>
                <w:szCs w:val="21"/>
                <w:highlight w:val="none"/>
              </w:rPr>
            </w:pPr>
          </w:p>
        </w:tc>
        <w:tc>
          <w:tcPr>
            <w:tcW w:w="517" w:type="dxa"/>
            <w:vMerge w:val="continue"/>
            <w:vAlign w:val="center"/>
          </w:tcPr>
          <w:p>
            <w:pPr>
              <w:widowControl/>
              <w:jc w:val="left"/>
              <w:rPr>
                <w:rFonts w:ascii="宋体" w:hAnsi="宋体" w:cs="宋体"/>
                <w:kern w:val="0"/>
                <w:szCs w:val="21"/>
                <w:highlight w:val="none"/>
              </w:rPr>
            </w:pPr>
          </w:p>
        </w:tc>
        <w:tc>
          <w:tcPr>
            <w:tcW w:w="1441" w:type="dxa"/>
            <w:vMerge w:val="continue"/>
            <w:vAlign w:val="center"/>
          </w:tcPr>
          <w:p>
            <w:pPr>
              <w:widowControl/>
              <w:jc w:val="left"/>
              <w:rPr>
                <w:rFonts w:ascii="宋体" w:hAnsi="宋体" w:cs="宋体"/>
                <w:kern w:val="0"/>
                <w:szCs w:val="21"/>
                <w:highlight w:val="none"/>
              </w:rPr>
            </w:pPr>
          </w:p>
        </w:tc>
        <w:tc>
          <w:tcPr>
            <w:tcW w:w="1724" w:type="dxa"/>
            <w:vMerge w:val="continue"/>
            <w:vAlign w:val="center"/>
          </w:tcPr>
          <w:p>
            <w:pPr>
              <w:widowControl/>
              <w:jc w:val="left"/>
              <w:rPr>
                <w:rFonts w:ascii="宋体" w:hAnsi="宋体" w:cs="宋体"/>
                <w:kern w:val="0"/>
                <w:szCs w:val="21"/>
                <w:highlight w:val="none"/>
              </w:rPr>
            </w:pPr>
          </w:p>
        </w:tc>
        <w:tc>
          <w:tcPr>
            <w:tcW w:w="2067" w:type="dxa"/>
            <w:vMerge w:val="continue"/>
            <w:vAlign w:val="center"/>
          </w:tcPr>
          <w:p>
            <w:pPr>
              <w:widowControl/>
              <w:jc w:val="left"/>
              <w:rPr>
                <w:rFonts w:ascii="宋体" w:hAnsi="宋体" w:cs="宋体"/>
                <w:kern w:val="0"/>
                <w:szCs w:val="21"/>
                <w:highlight w:val="none"/>
              </w:rPr>
            </w:pPr>
          </w:p>
        </w:tc>
        <w:tc>
          <w:tcPr>
            <w:tcW w:w="595" w:type="dxa"/>
            <w:vMerge w:val="continue"/>
            <w:vAlign w:val="center"/>
          </w:tcPr>
          <w:p>
            <w:pPr>
              <w:widowControl/>
              <w:jc w:val="left"/>
              <w:rPr>
                <w:rFonts w:ascii="宋体" w:hAnsi="宋体" w:cs="宋体"/>
                <w:kern w:val="0"/>
                <w:szCs w:val="21"/>
                <w:highlight w:val="none"/>
              </w:rPr>
            </w:pPr>
          </w:p>
        </w:tc>
        <w:tc>
          <w:tcPr>
            <w:tcW w:w="1470" w:type="dxa"/>
            <w:vMerge w:val="continue"/>
            <w:vAlign w:val="center"/>
          </w:tcPr>
          <w:p>
            <w:pPr>
              <w:widowControl/>
              <w:jc w:val="left"/>
              <w:rPr>
                <w:rFonts w:ascii="宋体" w:hAnsi="宋体" w:cs="宋体"/>
                <w:kern w:val="0"/>
                <w:szCs w:val="21"/>
                <w:highlight w:val="none"/>
              </w:rPr>
            </w:pPr>
          </w:p>
        </w:tc>
        <w:tc>
          <w:tcPr>
            <w:tcW w:w="567" w:type="dxa"/>
            <w:vMerge w:val="continue"/>
            <w:vAlign w:val="center"/>
          </w:tcPr>
          <w:p>
            <w:pPr>
              <w:widowControl/>
              <w:jc w:val="left"/>
              <w:rPr>
                <w:rFonts w:ascii="宋体" w:hAnsi="宋体" w:cs="宋体"/>
                <w:kern w:val="0"/>
                <w:szCs w:val="21"/>
                <w:highlight w:val="none"/>
              </w:rPr>
            </w:pPr>
          </w:p>
        </w:tc>
        <w:tc>
          <w:tcPr>
            <w:tcW w:w="931" w:type="dxa"/>
            <w:vMerge w:val="continue"/>
            <w:vAlign w:val="center"/>
          </w:tcPr>
          <w:p>
            <w:pPr>
              <w:widowControl/>
              <w:jc w:val="left"/>
              <w:rPr>
                <w:rFonts w:ascii="宋体" w:hAnsi="宋体" w:cs="宋体"/>
                <w:kern w:val="0"/>
                <w:szCs w:val="21"/>
                <w:highlight w:val="none"/>
              </w:rPr>
            </w:pPr>
          </w:p>
        </w:tc>
        <w:tc>
          <w:tcPr>
            <w:tcW w:w="5151" w:type="dxa"/>
            <w:gridSpan w:val="3"/>
            <w:vMerge w:val="continue"/>
            <w:vAlign w:val="center"/>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exact"/>
          <w:jc w:val="center"/>
        </w:trPr>
        <w:tc>
          <w:tcPr>
            <w:tcW w:w="555" w:type="dxa"/>
            <w:vMerge w:val="continue"/>
            <w:vAlign w:val="center"/>
          </w:tcPr>
          <w:p>
            <w:pPr>
              <w:widowControl/>
              <w:jc w:val="left"/>
              <w:rPr>
                <w:rFonts w:ascii="宋体" w:hAnsi="宋体" w:cs="宋体"/>
                <w:kern w:val="0"/>
                <w:szCs w:val="21"/>
                <w:highlight w:val="none"/>
              </w:rPr>
            </w:pPr>
          </w:p>
        </w:tc>
        <w:tc>
          <w:tcPr>
            <w:tcW w:w="517" w:type="dxa"/>
            <w:vMerge w:val="continue"/>
            <w:vAlign w:val="center"/>
          </w:tcPr>
          <w:p>
            <w:pPr>
              <w:widowControl/>
              <w:jc w:val="left"/>
              <w:rPr>
                <w:rFonts w:ascii="宋体" w:hAnsi="宋体" w:cs="宋体"/>
                <w:kern w:val="0"/>
                <w:szCs w:val="21"/>
                <w:highlight w:val="none"/>
              </w:rPr>
            </w:pPr>
          </w:p>
        </w:tc>
        <w:tc>
          <w:tcPr>
            <w:tcW w:w="1441" w:type="dxa"/>
            <w:vMerge w:val="continue"/>
            <w:vAlign w:val="center"/>
          </w:tcPr>
          <w:p>
            <w:pPr>
              <w:widowControl/>
              <w:jc w:val="left"/>
              <w:rPr>
                <w:rFonts w:ascii="宋体" w:hAnsi="宋体" w:cs="宋体"/>
                <w:kern w:val="0"/>
                <w:szCs w:val="21"/>
                <w:highlight w:val="none"/>
              </w:rPr>
            </w:pPr>
          </w:p>
        </w:tc>
        <w:tc>
          <w:tcPr>
            <w:tcW w:w="1724" w:type="dxa"/>
            <w:vMerge w:val="continue"/>
            <w:vAlign w:val="center"/>
          </w:tcPr>
          <w:p>
            <w:pPr>
              <w:widowControl/>
              <w:jc w:val="left"/>
              <w:rPr>
                <w:rFonts w:ascii="宋体" w:hAnsi="宋体" w:cs="宋体"/>
                <w:kern w:val="0"/>
                <w:szCs w:val="21"/>
                <w:highlight w:val="none"/>
              </w:rPr>
            </w:pPr>
          </w:p>
        </w:tc>
        <w:tc>
          <w:tcPr>
            <w:tcW w:w="2067" w:type="dxa"/>
            <w:vMerge w:val="continue"/>
            <w:vAlign w:val="center"/>
          </w:tcPr>
          <w:p>
            <w:pPr>
              <w:widowControl/>
              <w:jc w:val="left"/>
              <w:rPr>
                <w:rFonts w:ascii="宋体" w:hAnsi="宋体" w:cs="宋体"/>
                <w:kern w:val="0"/>
                <w:szCs w:val="21"/>
                <w:highlight w:val="none"/>
              </w:rPr>
            </w:pPr>
          </w:p>
        </w:tc>
        <w:tc>
          <w:tcPr>
            <w:tcW w:w="595" w:type="dxa"/>
            <w:vMerge w:val="continue"/>
            <w:vAlign w:val="center"/>
          </w:tcPr>
          <w:p>
            <w:pPr>
              <w:widowControl/>
              <w:jc w:val="left"/>
              <w:rPr>
                <w:rFonts w:ascii="宋体" w:hAnsi="宋体" w:cs="宋体"/>
                <w:kern w:val="0"/>
                <w:szCs w:val="21"/>
                <w:highlight w:val="none"/>
              </w:rPr>
            </w:pPr>
          </w:p>
        </w:tc>
        <w:tc>
          <w:tcPr>
            <w:tcW w:w="1470" w:type="dxa"/>
            <w:vMerge w:val="continue"/>
            <w:vAlign w:val="center"/>
          </w:tcPr>
          <w:p>
            <w:pPr>
              <w:widowControl/>
              <w:jc w:val="left"/>
              <w:rPr>
                <w:rFonts w:ascii="宋体" w:hAnsi="宋体" w:cs="宋体"/>
                <w:kern w:val="0"/>
                <w:szCs w:val="21"/>
                <w:highlight w:val="none"/>
              </w:rPr>
            </w:pPr>
          </w:p>
        </w:tc>
        <w:tc>
          <w:tcPr>
            <w:tcW w:w="567" w:type="dxa"/>
            <w:vMerge w:val="continue"/>
            <w:vAlign w:val="center"/>
          </w:tcPr>
          <w:p>
            <w:pPr>
              <w:widowControl/>
              <w:jc w:val="left"/>
              <w:rPr>
                <w:rFonts w:ascii="宋体" w:hAnsi="宋体" w:cs="宋体"/>
                <w:kern w:val="0"/>
                <w:szCs w:val="21"/>
                <w:highlight w:val="none"/>
              </w:rPr>
            </w:pPr>
          </w:p>
        </w:tc>
        <w:tc>
          <w:tcPr>
            <w:tcW w:w="931" w:type="dxa"/>
            <w:vMerge w:val="continue"/>
            <w:vAlign w:val="center"/>
          </w:tcPr>
          <w:p>
            <w:pPr>
              <w:widowControl/>
              <w:jc w:val="left"/>
              <w:rPr>
                <w:rFonts w:ascii="宋体" w:hAnsi="宋体" w:cs="宋体"/>
                <w:kern w:val="0"/>
                <w:szCs w:val="21"/>
                <w:highlight w:val="none"/>
              </w:rPr>
            </w:pPr>
          </w:p>
        </w:tc>
        <w:tc>
          <w:tcPr>
            <w:tcW w:w="1938"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上   部</w:t>
            </w:r>
            <w:r>
              <w:rPr>
                <w:rFonts w:hint="eastAsia" w:ascii="宋体" w:hAnsi="宋体" w:cs="宋体"/>
                <w:kern w:val="0"/>
                <w:szCs w:val="21"/>
                <w:highlight w:val="none"/>
              </w:rPr>
              <w:br w:type="textWrapping"/>
            </w:r>
            <w:r>
              <w:rPr>
                <w:rFonts w:hint="eastAsia" w:ascii="宋体" w:hAnsi="宋体" w:cs="宋体"/>
                <w:kern w:val="0"/>
                <w:szCs w:val="21"/>
                <w:highlight w:val="none"/>
              </w:rPr>
              <w:br w:type="textWrapping"/>
            </w:r>
            <w:r>
              <w:rPr>
                <w:rFonts w:hint="eastAsia" w:ascii="宋体" w:hAnsi="宋体" w:cs="宋体"/>
                <w:kern w:val="0"/>
                <w:szCs w:val="21"/>
                <w:highlight w:val="none"/>
              </w:rPr>
              <w:t>构   造</w:t>
            </w:r>
          </w:p>
        </w:tc>
        <w:tc>
          <w:tcPr>
            <w:tcW w:w="3213" w:type="dxa"/>
            <w:gridSpan w:val="2"/>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下  部  构  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exact"/>
          <w:jc w:val="center"/>
        </w:trPr>
        <w:tc>
          <w:tcPr>
            <w:tcW w:w="555" w:type="dxa"/>
            <w:vMerge w:val="continue"/>
            <w:vAlign w:val="center"/>
          </w:tcPr>
          <w:p>
            <w:pPr>
              <w:widowControl/>
              <w:jc w:val="left"/>
              <w:rPr>
                <w:rFonts w:ascii="宋体" w:hAnsi="宋体" w:cs="宋体"/>
                <w:kern w:val="0"/>
                <w:szCs w:val="21"/>
                <w:highlight w:val="none"/>
              </w:rPr>
            </w:pPr>
          </w:p>
        </w:tc>
        <w:tc>
          <w:tcPr>
            <w:tcW w:w="517" w:type="dxa"/>
            <w:vMerge w:val="continue"/>
            <w:vAlign w:val="center"/>
          </w:tcPr>
          <w:p>
            <w:pPr>
              <w:widowControl/>
              <w:jc w:val="left"/>
              <w:rPr>
                <w:rFonts w:ascii="宋体" w:hAnsi="宋体" w:cs="宋体"/>
                <w:kern w:val="0"/>
                <w:szCs w:val="21"/>
                <w:highlight w:val="none"/>
              </w:rPr>
            </w:pPr>
          </w:p>
        </w:tc>
        <w:tc>
          <w:tcPr>
            <w:tcW w:w="1441" w:type="dxa"/>
            <w:vMerge w:val="continue"/>
            <w:vAlign w:val="center"/>
          </w:tcPr>
          <w:p>
            <w:pPr>
              <w:widowControl/>
              <w:jc w:val="left"/>
              <w:rPr>
                <w:rFonts w:ascii="宋体" w:hAnsi="宋体" w:cs="宋体"/>
                <w:kern w:val="0"/>
                <w:szCs w:val="21"/>
                <w:highlight w:val="none"/>
              </w:rPr>
            </w:pPr>
          </w:p>
        </w:tc>
        <w:tc>
          <w:tcPr>
            <w:tcW w:w="1724" w:type="dxa"/>
            <w:vMerge w:val="continue"/>
            <w:vAlign w:val="center"/>
          </w:tcPr>
          <w:p>
            <w:pPr>
              <w:widowControl/>
              <w:jc w:val="left"/>
              <w:rPr>
                <w:rFonts w:ascii="宋体" w:hAnsi="宋体" w:cs="宋体"/>
                <w:kern w:val="0"/>
                <w:szCs w:val="21"/>
                <w:highlight w:val="none"/>
              </w:rPr>
            </w:pPr>
          </w:p>
        </w:tc>
        <w:tc>
          <w:tcPr>
            <w:tcW w:w="2067" w:type="dxa"/>
            <w:vMerge w:val="continue"/>
            <w:vAlign w:val="center"/>
          </w:tcPr>
          <w:p>
            <w:pPr>
              <w:widowControl/>
              <w:jc w:val="left"/>
              <w:rPr>
                <w:rFonts w:ascii="宋体" w:hAnsi="宋体" w:cs="宋体"/>
                <w:kern w:val="0"/>
                <w:szCs w:val="21"/>
                <w:highlight w:val="none"/>
              </w:rPr>
            </w:pPr>
          </w:p>
        </w:tc>
        <w:tc>
          <w:tcPr>
            <w:tcW w:w="595" w:type="dxa"/>
            <w:vMerge w:val="continue"/>
            <w:vAlign w:val="center"/>
          </w:tcPr>
          <w:p>
            <w:pPr>
              <w:widowControl/>
              <w:jc w:val="left"/>
              <w:rPr>
                <w:rFonts w:ascii="宋体" w:hAnsi="宋体" w:cs="宋体"/>
                <w:kern w:val="0"/>
                <w:szCs w:val="21"/>
                <w:highlight w:val="none"/>
              </w:rPr>
            </w:pPr>
          </w:p>
        </w:tc>
        <w:tc>
          <w:tcPr>
            <w:tcW w:w="1470" w:type="dxa"/>
            <w:vMerge w:val="continue"/>
            <w:vAlign w:val="center"/>
          </w:tcPr>
          <w:p>
            <w:pPr>
              <w:widowControl/>
              <w:jc w:val="left"/>
              <w:rPr>
                <w:rFonts w:ascii="宋体" w:hAnsi="宋体" w:cs="宋体"/>
                <w:kern w:val="0"/>
                <w:szCs w:val="21"/>
                <w:highlight w:val="none"/>
              </w:rPr>
            </w:pPr>
          </w:p>
        </w:tc>
        <w:tc>
          <w:tcPr>
            <w:tcW w:w="567" w:type="dxa"/>
            <w:vMerge w:val="continue"/>
            <w:vAlign w:val="center"/>
          </w:tcPr>
          <w:p>
            <w:pPr>
              <w:widowControl/>
              <w:jc w:val="left"/>
              <w:rPr>
                <w:rFonts w:ascii="宋体" w:hAnsi="宋体" w:cs="宋体"/>
                <w:kern w:val="0"/>
                <w:szCs w:val="21"/>
                <w:highlight w:val="none"/>
              </w:rPr>
            </w:pPr>
          </w:p>
        </w:tc>
        <w:tc>
          <w:tcPr>
            <w:tcW w:w="931" w:type="dxa"/>
            <w:vMerge w:val="continue"/>
            <w:vAlign w:val="center"/>
          </w:tcPr>
          <w:p>
            <w:pPr>
              <w:widowControl/>
              <w:jc w:val="left"/>
              <w:rPr>
                <w:rFonts w:ascii="宋体" w:hAnsi="宋体" w:cs="宋体"/>
                <w:kern w:val="0"/>
                <w:szCs w:val="21"/>
                <w:highlight w:val="none"/>
              </w:rPr>
            </w:pPr>
          </w:p>
        </w:tc>
        <w:tc>
          <w:tcPr>
            <w:tcW w:w="1938" w:type="dxa"/>
            <w:vMerge w:val="continue"/>
            <w:vAlign w:val="center"/>
          </w:tcPr>
          <w:p>
            <w:pPr>
              <w:widowControl/>
              <w:jc w:val="left"/>
              <w:rPr>
                <w:rFonts w:ascii="宋体" w:hAnsi="宋体" w:cs="宋体"/>
                <w:kern w:val="0"/>
                <w:szCs w:val="21"/>
                <w:highlight w:val="none"/>
              </w:rPr>
            </w:pPr>
          </w:p>
        </w:tc>
        <w:tc>
          <w:tcPr>
            <w:tcW w:w="3213" w:type="dxa"/>
            <w:gridSpan w:val="2"/>
            <w:vMerge w:val="continue"/>
            <w:vAlign w:val="center"/>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exact"/>
          <w:jc w:val="center"/>
        </w:trPr>
        <w:tc>
          <w:tcPr>
            <w:tcW w:w="555" w:type="dxa"/>
            <w:vMerge w:val="continue"/>
            <w:vAlign w:val="center"/>
          </w:tcPr>
          <w:p>
            <w:pPr>
              <w:widowControl/>
              <w:jc w:val="left"/>
              <w:rPr>
                <w:rFonts w:ascii="宋体" w:hAnsi="宋体" w:cs="宋体"/>
                <w:kern w:val="0"/>
                <w:szCs w:val="21"/>
                <w:highlight w:val="none"/>
              </w:rPr>
            </w:pPr>
          </w:p>
        </w:tc>
        <w:tc>
          <w:tcPr>
            <w:tcW w:w="517" w:type="dxa"/>
            <w:vMerge w:val="continue"/>
            <w:vAlign w:val="center"/>
          </w:tcPr>
          <w:p>
            <w:pPr>
              <w:widowControl/>
              <w:jc w:val="left"/>
              <w:rPr>
                <w:rFonts w:ascii="宋体" w:hAnsi="宋体" w:cs="宋体"/>
                <w:kern w:val="0"/>
                <w:szCs w:val="21"/>
                <w:highlight w:val="none"/>
              </w:rPr>
            </w:pPr>
          </w:p>
        </w:tc>
        <w:tc>
          <w:tcPr>
            <w:tcW w:w="1441" w:type="dxa"/>
            <w:vMerge w:val="continue"/>
            <w:vAlign w:val="center"/>
          </w:tcPr>
          <w:p>
            <w:pPr>
              <w:widowControl/>
              <w:jc w:val="left"/>
              <w:rPr>
                <w:rFonts w:ascii="宋体" w:hAnsi="宋体" w:cs="宋体"/>
                <w:kern w:val="0"/>
                <w:szCs w:val="21"/>
                <w:highlight w:val="none"/>
              </w:rPr>
            </w:pPr>
          </w:p>
        </w:tc>
        <w:tc>
          <w:tcPr>
            <w:tcW w:w="1724" w:type="dxa"/>
            <w:vMerge w:val="continue"/>
            <w:vAlign w:val="center"/>
          </w:tcPr>
          <w:p>
            <w:pPr>
              <w:widowControl/>
              <w:jc w:val="left"/>
              <w:rPr>
                <w:rFonts w:ascii="宋体" w:hAnsi="宋体" w:cs="宋体"/>
                <w:kern w:val="0"/>
                <w:szCs w:val="21"/>
                <w:highlight w:val="none"/>
              </w:rPr>
            </w:pPr>
          </w:p>
        </w:tc>
        <w:tc>
          <w:tcPr>
            <w:tcW w:w="2067" w:type="dxa"/>
            <w:vMerge w:val="continue"/>
            <w:vAlign w:val="center"/>
          </w:tcPr>
          <w:p>
            <w:pPr>
              <w:widowControl/>
              <w:jc w:val="left"/>
              <w:rPr>
                <w:rFonts w:ascii="宋体" w:hAnsi="宋体" w:cs="宋体"/>
                <w:kern w:val="0"/>
                <w:szCs w:val="21"/>
                <w:highlight w:val="none"/>
              </w:rPr>
            </w:pPr>
          </w:p>
        </w:tc>
        <w:tc>
          <w:tcPr>
            <w:tcW w:w="595" w:type="dxa"/>
            <w:vMerge w:val="continue"/>
            <w:vAlign w:val="center"/>
          </w:tcPr>
          <w:p>
            <w:pPr>
              <w:widowControl/>
              <w:jc w:val="left"/>
              <w:rPr>
                <w:rFonts w:ascii="宋体" w:hAnsi="宋体" w:cs="宋体"/>
                <w:kern w:val="0"/>
                <w:szCs w:val="21"/>
                <w:highlight w:val="none"/>
              </w:rPr>
            </w:pPr>
          </w:p>
        </w:tc>
        <w:tc>
          <w:tcPr>
            <w:tcW w:w="1470" w:type="dxa"/>
            <w:vMerge w:val="continue"/>
            <w:vAlign w:val="center"/>
          </w:tcPr>
          <w:p>
            <w:pPr>
              <w:widowControl/>
              <w:jc w:val="left"/>
              <w:rPr>
                <w:rFonts w:ascii="宋体" w:hAnsi="宋体" w:cs="宋体"/>
                <w:kern w:val="0"/>
                <w:szCs w:val="21"/>
                <w:highlight w:val="none"/>
              </w:rPr>
            </w:pPr>
          </w:p>
        </w:tc>
        <w:tc>
          <w:tcPr>
            <w:tcW w:w="567" w:type="dxa"/>
            <w:vMerge w:val="continue"/>
            <w:vAlign w:val="center"/>
          </w:tcPr>
          <w:p>
            <w:pPr>
              <w:widowControl/>
              <w:jc w:val="left"/>
              <w:rPr>
                <w:rFonts w:ascii="宋体" w:hAnsi="宋体" w:cs="宋体"/>
                <w:kern w:val="0"/>
                <w:szCs w:val="21"/>
                <w:highlight w:val="none"/>
              </w:rPr>
            </w:pPr>
          </w:p>
        </w:tc>
        <w:tc>
          <w:tcPr>
            <w:tcW w:w="931" w:type="dxa"/>
            <w:vMerge w:val="continue"/>
            <w:vAlign w:val="center"/>
          </w:tcPr>
          <w:p>
            <w:pPr>
              <w:widowControl/>
              <w:jc w:val="left"/>
              <w:rPr>
                <w:rFonts w:ascii="宋体" w:hAnsi="宋体" w:cs="宋体"/>
                <w:kern w:val="0"/>
                <w:szCs w:val="21"/>
                <w:highlight w:val="none"/>
              </w:rPr>
            </w:pPr>
          </w:p>
        </w:tc>
        <w:tc>
          <w:tcPr>
            <w:tcW w:w="1938" w:type="dxa"/>
            <w:vMerge w:val="continue"/>
            <w:vAlign w:val="center"/>
          </w:tcPr>
          <w:p>
            <w:pPr>
              <w:widowControl/>
              <w:jc w:val="left"/>
              <w:rPr>
                <w:rFonts w:ascii="宋体" w:hAnsi="宋体" w:cs="宋体"/>
                <w:kern w:val="0"/>
                <w:szCs w:val="21"/>
                <w:highlight w:val="none"/>
              </w:rPr>
            </w:pPr>
          </w:p>
        </w:tc>
        <w:tc>
          <w:tcPr>
            <w:tcW w:w="1596"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墩  及</w:t>
            </w:r>
            <w:r>
              <w:rPr>
                <w:rFonts w:hint="eastAsia" w:ascii="宋体" w:hAnsi="宋体" w:cs="宋体"/>
                <w:kern w:val="0"/>
                <w:szCs w:val="21"/>
                <w:highlight w:val="none"/>
              </w:rPr>
              <w:br w:type="textWrapping"/>
            </w:r>
            <w:r>
              <w:rPr>
                <w:rFonts w:hint="eastAsia" w:ascii="宋体" w:hAnsi="宋体" w:cs="宋体"/>
                <w:kern w:val="0"/>
                <w:szCs w:val="21"/>
                <w:highlight w:val="none"/>
              </w:rPr>
              <w:t>基  础</w:t>
            </w:r>
          </w:p>
        </w:tc>
        <w:tc>
          <w:tcPr>
            <w:tcW w:w="1617" w:type="dxa"/>
            <w:vMerge w:val="restart"/>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台  及</w:t>
            </w:r>
            <w:r>
              <w:rPr>
                <w:rFonts w:hint="eastAsia" w:ascii="宋体" w:hAnsi="宋体" w:cs="宋体"/>
                <w:kern w:val="0"/>
                <w:szCs w:val="21"/>
                <w:highlight w:val="none"/>
              </w:rPr>
              <w:br w:type="textWrapping"/>
            </w:r>
            <w:r>
              <w:rPr>
                <w:rFonts w:hint="eastAsia" w:ascii="宋体" w:hAnsi="宋体" w:cs="宋体"/>
                <w:kern w:val="0"/>
                <w:szCs w:val="21"/>
                <w:highlight w:val="none"/>
              </w:rPr>
              <w:t>基  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555" w:type="dxa"/>
            <w:vMerge w:val="continue"/>
            <w:vAlign w:val="center"/>
          </w:tcPr>
          <w:p>
            <w:pPr>
              <w:widowControl/>
              <w:jc w:val="left"/>
              <w:rPr>
                <w:rFonts w:ascii="宋体" w:hAnsi="宋体" w:cs="宋体"/>
                <w:kern w:val="0"/>
                <w:szCs w:val="21"/>
                <w:highlight w:val="none"/>
              </w:rPr>
            </w:pPr>
          </w:p>
        </w:tc>
        <w:tc>
          <w:tcPr>
            <w:tcW w:w="517" w:type="dxa"/>
            <w:vMerge w:val="continue"/>
            <w:vAlign w:val="center"/>
          </w:tcPr>
          <w:p>
            <w:pPr>
              <w:widowControl/>
              <w:jc w:val="left"/>
              <w:rPr>
                <w:rFonts w:ascii="宋体" w:hAnsi="宋体" w:cs="宋体"/>
                <w:kern w:val="0"/>
                <w:szCs w:val="21"/>
                <w:highlight w:val="none"/>
              </w:rPr>
            </w:pPr>
          </w:p>
        </w:tc>
        <w:tc>
          <w:tcPr>
            <w:tcW w:w="1441" w:type="dxa"/>
            <w:vMerge w:val="continue"/>
            <w:vAlign w:val="center"/>
          </w:tcPr>
          <w:p>
            <w:pPr>
              <w:widowControl/>
              <w:jc w:val="left"/>
              <w:rPr>
                <w:rFonts w:ascii="宋体" w:hAnsi="宋体" w:cs="宋体"/>
                <w:kern w:val="0"/>
                <w:szCs w:val="21"/>
                <w:highlight w:val="none"/>
              </w:rPr>
            </w:pPr>
          </w:p>
        </w:tc>
        <w:tc>
          <w:tcPr>
            <w:tcW w:w="1724" w:type="dxa"/>
            <w:vMerge w:val="continue"/>
            <w:vAlign w:val="center"/>
          </w:tcPr>
          <w:p>
            <w:pPr>
              <w:widowControl/>
              <w:jc w:val="left"/>
              <w:rPr>
                <w:rFonts w:ascii="宋体" w:hAnsi="宋体" w:cs="宋体"/>
                <w:kern w:val="0"/>
                <w:szCs w:val="21"/>
                <w:highlight w:val="none"/>
              </w:rPr>
            </w:pPr>
          </w:p>
        </w:tc>
        <w:tc>
          <w:tcPr>
            <w:tcW w:w="2067" w:type="dxa"/>
            <w:vMerge w:val="continue"/>
            <w:vAlign w:val="center"/>
          </w:tcPr>
          <w:p>
            <w:pPr>
              <w:widowControl/>
              <w:jc w:val="left"/>
              <w:rPr>
                <w:rFonts w:ascii="宋体" w:hAnsi="宋体" w:cs="宋体"/>
                <w:kern w:val="0"/>
                <w:szCs w:val="21"/>
                <w:highlight w:val="none"/>
              </w:rPr>
            </w:pPr>
          </w:p>
        </w:tc>
        <w:tc>
          <w:tcPr>
            <w:tcW w:w="595" w:type="dxa"/>
            <w:vMerge w:val="continue"/>
            <w:vAlign w:val="center"/>
          </w:tcPr>
          <w:p>
            <w:pPr>
              <w:widowControl/>
              <w:jc w:val="left"/>
              <w:rPr>
                <w:rFonts w:ascii="宋体" w:hAnsi="宋体" w:cs="宋体"/>
                <w:kern w:val="0"/>
                <w:szCs w:val="21"/>
                <w:highlight w:val="none"/>
              </w:rPr>
            </w:pPr>
          </w:p>
        </w:tc>
        <w:tc>
          <w:tcPr>
            <w:tcW w:w="1470" w:type="dxa"/>
            <w:vMerge w:val="continue"/>
            <w:vAlign w:val="center"/>
          </w:tcPr>
          <w:p>
            <w:pPr>
              <w:widowControl/>
              <w:jc w:val="left"/>
              <w:rPr>
                <w:rFonts w:ascii="宋体" w:hAnsi="宋体" w:cs="宋体"/>
                <w:kern w:val="0"/>
                <w:szCs w:val="21"/>
                <w:highlight w:val="none"/>
              </w:rPr>
            </w:pPr>
          </w:p>
        </w:tc>
        <w:tc>
          <w:tcPr>
            <w:tcW w:w="567" w:type="dxa"/>
            <w:vMerge w:val="continue"/>
            <w:vAlign w:val="center"/>
          </w:tcPr>
          <w:p>
            <w:pPr>
              <w:widowControl/>
              <w:jc w:val="left"/>
              <w:rPr>
                <w:rFonts w:ascii="宋体" w:hAnsi="宋体" w:cs="宋体"/>
                <w:kern w:val="0"/>
                <w:szCs w:val="21"/>
                <w:highlight w:val="none"/>
              </w:rPr>
            </w:pPr>
          </w:p>
        </w:tc>
        <w:tc>
          <w:tcPr>
            <w:tcW w:w="931" w:type="dxa"/>
            <w:vMerge w:val="continue"/>
            <w:vAlign w:val="center"/>
          </w:tcPr>
          <w:p>
            <w:pPr>
              <w:widowControl/>
              <w:jc w:val="left"/>
              <w:rPr>
                <w:rFonts w:ascii="宋体" w:hAnsi="宋体" w:cs="宋体"/>
                <w:kern w:val="0"/>
                <w:szCs w:val="21"/>
                <w:highlight w:val="none"/>
              </w:rPr>
            </w:pPr>
          </w:p>
        </w:tc>
        <w:tc>
          <w:tcPr>
            <w:tcW w:w="1938" w:type="dxa"/>
            <w:vMerge w:val="continue"/>
            <w:vAlign w:val="center"/>
          </w:tcPr>
          <w:p>
            <w:pPr>
              <w:widowControl/>
              <w:jc w:val="left"/>
              <w:rPr>
                <w:rFonts w:ascii="宋体" w:hAnsi="宋体" w:cs="宋体"/>
                <w:kern w:val="0"/>
                <w:szCs w:val="21"/>
                <w:highlight w:val="none"/>
              </w:rPr>
            </w:pPr>
          </w:p>
        </w:tc>
        <w:tc>
          <w:tcPr>
            <w:tcW w:w="1596" w:type="dxa"/>
            <w:vMerge w:val="continue"/>
            <w:vAlign w:val="center"/>
          </w:tcPr>
          <w:p>
            <w:pPr>
              <w:widowControl/>
              <w:jc w:val="left"/>
              <w:rPr>
                <w:rFonts w:ascii="宋体" w:hAnsi="宋体" w:cs="宋体"/>
                <w:kern w:val="0"/>
                <w:szCs w:val="21"/>
                <w:highlight w:val="none"/>
              </w:rPr>
            </w:pPr>
          </w:p>
        </w:tc>
        <w:tc>
          <w:tcPr>
            <w:tcW w:w="1617" w:type="dxa"/>
            <w:vMerge w:val="continue"/>
            <w:vAlign w:val="center"/>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exact"/>
          <w:jc w:val="center"/>
        </w:trPr>
        <w:tc>
          <w:tcPr>
            <w:tcW w:w="555" w:type="dxa"/>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w:t>
            </w:r>
          </w:p>
        </w:tc>
        <w:tc>
          <w:tcPr>
            <w:tcW w:w="517" w:type="dxa"/>
            <w:vMerge w:val="restart"/>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41" w:type="dxa"/>
            <w:vAlign w:val="center"/>
          </w:tcPr>
          <w:p>
            <w:pPr>
              <w:jc w:val="center"/>
              <w:rPr>
                <w:rFonts w:ascii="宋体" w:hAnsi="宋体" w:cs="Arial"/>
                <w:szCs w:val="21"/>
                <w:highlight w:val="none"/>
              </w:rPr>
            </w:pPr>
            <w:r>
              <w:rPr>
                <w:rFonts w:ascii="宋体" w:hAnsi="宋体" w:cs="Arial"/>
                <w:szCs w:val="21"/>
                <w:highlight w:val="none"/>
              </w:rPr>
              <w:t>K0+600</w:t>
            </w:r>
          </w:p>
        </w:tc>
        <w:tc>
          <w:tcPr>
            <w:tcW w:w="1724" w:type="dxa"/>
            <w:vAlign w:val="center"/>
          </w:tcPr>
          <w:p>
            <w:pPr>
              <w:pStyle w:val="17"/>
              <w:widowControl w:val="0"/>
              <w:pBdr>
                <w:left w:val="none" w:color="auto" w:sz="0" w:space="0"/>
                <w:bottom w:val="none" w:color="auto" w:sz="0" w:space="0"/>
                <w:right w:val="none" w:color="auto" w:sz="0" w:space="0"/>
              </w:pBdr>
              <w:spacing w:before="0" w:beforeAutospacing="0" w:after="0" w:afterAutospacing="0"/>
              <w:textAlignment w:val="auto"/>
              <w:rPr>
                <w:rFonts w:ascii="宋体" w:hAnsi="宋体" w:cs="Arial"/>
                <w:color w:val="auto"/>
                <w:szCs w:val="21"/>
                <w:highlight w:val="none"/>
              </w:rPr>
            </w:pPr>
            <w:r>
              <w:rPr>
                <w:rFonts w:hint="eastAsia" w:ascii="宋体" w:hAnsi="宋体" w:cs="Arial"/>
                <w:color w:val="auto"/>
                <w:kern w:val="2"/>
                <w:sz w:val="21"/>
                <w:szCs w:val="21"/>
                <w:highlight w:val="none"/>
              </w:rPr>
              <w:t>黄金河大桥</w:t>
            </w:r>
          </w:p>
        </w:tc>
        <w:tc>
          <w:tcPr>
            <w:tcW w:w="2067" w:type="dxa"/>
            <w:vAlign w:val="center"/>
          </w:tcPr>
          <w:p>
            <w:pPr>
              <w:jc w:val="center"/>
              <w:rPr>
                <w:rFonts w:ascii="宋体" w:hAnsi="宋体" w:cs="Arial"/>
                <w:szCs w:val="21"/>
                <w:highlight w:val="none"/>
              </w:rPr>
            </w:pPr>
            <w:r>
              <w:rPr>
                <w:rFonts w:hint="eastAsia" w:ascii="宋体" w:hAnsi="宋体" w:cs="Arial"/>
                <w:szCs w:val="21"/>
                <w:highlight w:val="none"/>
              </w:rPr>
              <w:t>2*25+（30+40+30）+2*25+5*25+2*25</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16</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变宽</w:t>
            </w:r>
          </w:p>
        </w:tc>
        <w:tc>
          <w:tcPr>
            <w:tcW w:w="567" w:type="dxa"/>
            <w:vAlign w:val="center"/>
          </w:tcPr>
          <w:p>
            <w:pPr>
              <w:jc w:val="center"/>
              <w:rPr>
                <w:rFonts w:ascii="宋体" w:hAnsi="宋体" w:cs="Arial"/>
                <w:szCs w:val="21"/>
                <w:highlight w:val="none"/>
              </w:rPr>
            </w:pPr>
            <w:r>
              <w:rPr>
                <w:rFonts w:ascii="宋体" w:hAnsi="宋体" w:cs="Arial"/>
                <w:szCs w:val="21"/>
                <w:highlight w:val="none"/>
              </w:rPr>
              <w:t>90</w:t>
            </w:r>
          </w:p>
        </w:tc>
        <w:tc>
          <w:tcPr>
            <w:tcW w:w="931" w:type="dxa"/>
            <w:vAlign w:val="center"/>
          </w:tcPr>
          <w:p>
            <w:pPr>
              <w:jc w:val="center"/>
              <w:rPr>
                <w:rFonts w:ascii="宋体" w:hAnsi="宋体" w:cs="Arial"/>
                <w:szCs w:val="21"/>
                <w:highlight w:val="none"/>
              </w:rPr>
            </w:pPr>
            <w:r>
              <w:rPr>
                <w:rFonts w:ascii="宋体" w:hAnsi="宋体" w:cs="Arial"/>
                <w:szCs w:val="21"/>
                <w:highlight w:val="none"/>
              </w:rPr>
              <w:t>381.0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现浇箱梁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矩形墩、桩基础</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肋板台、桩基础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exact"/>
          <w:jc w:val="center"/>
        </w:trPr>
        <w:tc>
          <w:tcPr>
            <w:tcW w:w="555" w:type="dxa"/>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w:t>
            </w:r>
          </w:p>
        </w:tc>
        <w:tc>
          <w:tcPr>
            <w:tcW w:w="517" w:type="dxa"/>
            <w:vMerge w:val="continue"/>
            <w:vAlign w:val="center"/>
          </w:tcPr>
          <w:p>
            <w:pPr>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ascii="宋体" w:hAnsi="宋体" w:cs="Arial"/>
                <w:szCs w:val="21"/>
                <w:highlight w:val="none"/>
              </w:rPr>
              <w:t>K0+984</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马桥河路跨线桥</w:t>
            </w:r>
          </w:p>
        </w:tc>
        <w:tc>
          <w:tcPr>
            <w:tcW w:w="2067" w:type="dxa"/>
            <w:vAlign w:val="center"/>
          </w:tcPr>
          <w:p>
            <w:pPr>
              <w:jc w:val="center"/>
              <w:rPr>
                <w:rFonts w:ascii="宋体" w:hAnsi="宋体" w:cs="Arial"/>
                <w:szCs w:val="21"/>
                <w:highlight w:val="none"/>
              </w:rPr>
            </w:pPr>
            <w:r>
              <w:rPr>
                <w:rFonts w:ascii="宋体" w:hAnsi="宋体" w:cs="Arial"/>
                <w:szCs w:val="21"/>
                <w:highlight w:val="none"/>
              </w:rPr>
              <w:t>20+25+20</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9</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2x净15.5</w:t>
            </w:r>
          </w:p>
        </w:tc>
        <w:tc>
          <w:tcPr>
            <w:tcW w:w="567" w:type="dxa"/>
            <w:vAlign w:val="center"/>
          </w:tcPr>
          <w:p>
            <w:pPr>
              <w:jc w:val="center"/>
              <w:rPr>
                <w:rFonts w:ascii="宋体" w:hAnsi="宋体" w:cs="Arial"/>
                <w:szCs w:val="21"/>
                <w:highlight w:val="none"/>
              </w:rPr>
            </w:pPr>
            <w:r>
              <w:rPr>
                <w:rFonts w:ascii="宋体" w:hAnsi="宋体" w:cs="Arial"/>
                <w:szCs w:val="21"/>
                <w:highlight w:val="none"/>
              </w:rPr>
              <w:t>90</w:t>
            </w:r>
          </w:p>
        </w:tc>
        <w:tc>
          <w:tcPr>
            <w:tcW w:w="931" w:type="dxa"/>
            <w:vAlign w:val="center"/>
          </w:tcPr>
          <w:p>
            <w:pPr>
              <w:jc w:val="center"/>
              <w:rPr>
                <w:rFonts w:ascii="宋体" w:hAnsi="宋体" w:cs="Arial"/>
                <w:szCs w:val="21"/>
                <w:highlight w:val="none"/>
              </w:rPr>
            </w:pPr>
            <w:r>
              <w:rPr>
                <w:rFonts w:ascii="宋体" w:hAnsi="宋体" w:cs="Arial"/>
                <w:szCs w:val="21"/>
                <w:highlight w:val="none"/>
              </w:rPr>
              <w:t>71.0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现浇箱梁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矩形墩、桩基础</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柱式台、桩基础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exact"/>
          <w:jc w:val="center"/>
        </w:trPr>
        <w:tc>
          <w:tcPr>
            <w:tcW w:w="555" w:type="dxa"/>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w:t>
            </w:r>
          </w:p>
        </w:tc>
        <w:tc>
          <w:tcPr>
            <w:tcW w:w="517" w:type="dxa"/>
            <w:vMerge w:val="continue"/>
            <w:vAlign w:val="center"/>
          </w:tcPr>
          <w:p>
            <w:pPr>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ascii="宋体" w:hAnsi="宋体" w:cs="Arial"/>
                <w:szCs w:val="21"/>
                <w:highlight w:val="none"/>
              </w:rPr>
              <w:t>K1+401.958</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金河路跨线桥</w:t>
            </w:r>
          </w:p>
        </w:tc>
        <w:tc>
          <w:tcPr>
            <w:tcW w:w="2067" w:type="dxa"/>
            <w:vAlign w:val="center"/>
          </w:tcPr>
          <w:p>
            <w:pPr>
              <w:jc w:val="center"/>
              <w:rPr>
                <w:rFonts w:ascii="宋体" w:hAnsi="宋体" w:cs="Arial"/>
                <w:szCs w:val="21"/>
                <w:highlight w:val="none"/>
              </w:rPr>
            </w:pPr>
            <w:r>
              <w:rPr>
                <w:rFonts w:ascii="宋体" w:hAnsi="宋体" w:cs="Arial"/>
                <w:szCs w:val="21"/>
                <w:highlight w:val="none"/>
              </w:rPr>
              <w:t>28+40+28</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9</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左变宽/右1x净19.25</w:t>
            </w:r>
          </w:p>
        </w:tc>
        <w:tc>
          <w:tcPr>
            <w:tcW w:w="567" w:type="dxa"/>
            <w:vAlign w:val="center"/>
          </w:tcPr>
          <w:p>
            <w:pPr>
              <w:jc w:val="center"/>
              <w:rPr>
                <w:rFonts w:ascii="宋体" w:hAnsi="宋体" w:cs="Arial"/>
                <w:szCs w:val="21"/>
                <w:highlight w:val="none"/>
              </w:rPr>
            </w:pPr>
            <w:r>
              <w:rPr>
                <w:rFonts w:ascii="宋体" w:hAnsi="宋体" w:cs="Arial"/>
                <w:szCs w:val="21"/>
                <w:highlight w:val="none"/>
              </w:rPr>
              <w:t>90</w:t>
            </w:r>
          </w:p>
        </w:tc>
        <w:tc>
          <w:tcPr>
            <w:tcW w:w="931" w:type="dxa"/>
            <w:vAlign w:val="center"/>
          </w:tcPr>
          <w:p>
            <w:pPr>
              <w:jc w:val="center"/>
              <w:rPr>
                <w:rFonts w:ascii="宋体" w:hAnsi="宋体" w:cs="Arial"/>
                <w:szCs w:val="21"/>
                <w:highlight w:val="none"/>
              </w:rPr>
            </w:pPr>
            <w:r>
              <w:rPr>
                <w:rFonts w:ascii="宋体" w:hAnsi="宋体" w:cs="Arial"/>
                <w:szCs w:val="21"/>
                <w:highlight w:val="none"/>
              </w:rPr>
              <w:t>102.0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现浇箱梁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矩形墩、桩基础</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柱式台、桩基础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555" w:type="dxa"/>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ascii="宋体" w:hAnsi="宋体" w:cs="Arial"/>
                <w:szCs w:val="21"/>
                <w:highlight w:val="none"/>
              </w:rPr>
              <w:t>K1+718.877</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金山路跨线桥</w:t>
            </w:r>
          </w:p>
        </w:tc>
        <w:tc>
          <w:tcPr>
            <w:tcW w:w="2067" w:type="dxa"/>
            <w:vAlign w:val="center"/>
          </w:tcPr>
          <w:p>
            <w:pPr>
              <w:jc w:val="center"/>
              <w:rPr>
                <w:rFonts w:ascii="宋体" w:hAnsi="宋体" w:cs="Arial"/>
                <w:szCs w:val="21"/>
                <w:highlight w:val="none"/>
              </w:rPr>
            </w:pPr>
            <w:r>
              <w:rPr>
                <w:rFonts w:ascii="宋体" w:hAnsi="宋体" w:cs="Arial"/>
                <w:szCs w:val="21"/>
                <w:highlight w:val="none"/>
              </w:rPr>
              <w:t>28+40+28</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9</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2x净15.5</w:t>
            </w:r>
          </w:p>
        </w:tc>
        <w:tc>
          <w:tcPr>
            <w:tcW w:w="567" w:type="dxa"/>
            <w:vAlign w:val="center"/>
          </w:tcPr>
          <w:p>
            <w:pPr>
              <w:jc w:val="center"/>
              <w:rPr>
                <w:rFonts w:ascii="宋体" w:hAnsi="宋体" w:cs="Arial"/>
                <w:szCs w:val="21"/>
                <w:highlight w:val="none"/>
              </w:rPr>
            </w:pPr>
            <w:r>
              <w:rPr>
                <w:rFonts w:ascii="宋体" w:hAnsi="宋体" w:cs="Arial"/>
                <w:szCs w:val="21"/>
                <w:highlight w:val="none"/>
              </w:rPr>
              <w:t>90</w:t>
            </w:r>
          </w:p>
        </w:tc>
        <w:tc>
          <w:tcPr>
            <w:tcW w:w="931" w:type="dxa"/>
            <w:vAlign w:val="center"/>
          </w:tcPr>
          <w:p>
            <w:pPr>
              <w:jc w:val="center"/>
              <w:rPr>
                <w:rFonts w:ascii="宋体" w:hAnsi="宋体" w:cs="Arial"/>
                <w:szCs w:val="21"/>
                <w:highlight w:val="none"/>
              </w:rPr>
            </w:pPr>
            <w:r>
              <w:rPr>
                <w:rFonts w:ascii="宋体" w:hAnsi="宋体" w:cs="Arial"/>
                <w:szCs w:val="21"/>
                <w:highlight w:val="none"/>
              </w:rPr>
              <w:t>102.0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现浇箱梁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矩形墩、桩基础</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柱式台、桩基础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555" w:type="dxa"/>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hint="eastAsia" w:ascii="宋体" w:hAnsi="宋体" w:cs="Arial"/>
                <w:szCs w:val="21"/>
                <w:highlight w:val="none"/>
              </w:rPr>
              <w:t>K2+335.764</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望城大道高架桥</w:t>
            </w:r>
          </w:p>
        </w:tc>
        <w:tc>
          <w:tcPr>
            <w:tcW w:w="2067" w:type="dxa"/>
            <w:vAlign w:val="center"/>
          </w:tcPr>
          <w:p>
            <w:pPr>
              <w:jc w:val="center"/>
              <w:rPr>
                <w:rFonts w:ascii="宋体" w:hAnsi="宋体" w:cs="Arial"/>
                <w:szCs w:val="21"/>
                <w:highlight w:val="none"/>
              </w:rPr>
            </w:pPr>
            <w:r>
              <w:rPr>
                <w:rFonts w:hint="eastAsia" w:ascii="宋体" w:hAnsi="宋体" w:cs="Arial"/>
                <w:szCs w:val="21"/>
                <w:highlight w:val="none"/>
              </w:rPr>
              <w:t>6*25+4*30+（2*30+35+30）</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14</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2×净15.5</w:t>
            </w:r>
          </w:p>
        </w:tc>
        <w:tc>
          <w:tcPr>
            <w:tcW w:w="567" w:type="dxa"/>
            <w:vAlign w:val="center"/>
          </w:tcPr>
          <w:p>
            <w:pPr>
              <w:jc w:val="center"/>
              <w:rPr>
                <w:rFonts w:ascii="宋体" w:hAnsi="宋体" w:cs="Arial"/>
                <w:szCs w:val="21"/>
                <w:highlight w:val="none"/>
              </w:rPr>
            </w:pPr>
            <w:r>
              <w:rPr>
                <w:rFonts w:ascii="宋体" w:hAnsi="宋体" w:cs="Arial"/>
                <w:szCs w:val="21"/>
                <w:highlight w:val="none"/>
              </w:rPr>
              <w:t>90</w:t>
            </w:r>
          </w:p>
        </w:tc>
        <w:tc>
          <w:tcPr>
            <w:tcW w:w="931" w:type="dxa"/>
            <w:vAlign w:val="center"/>
          </w:tcPr>
          <w:p>
            <w:pPr>
              <w:jc w:val="center"/>
              <w:rPr>
                <w:rFonts w:ascii="宋体" w:hAnsi="宋体" w:cs="Arial"/>
                <w:szCs w:val="21"/>
                <w:highlight w:val="none"/>
              </w:rPr>
            </w:pPr>
            <w:r>
              <w:rPr>
                <w:rFonts w:ascii="宋体" w:hAnsi="宋体" w:cs="Arial"/>
                <w:szCs w:val="21"/>
                <w:highlight w:val="none"/>
              </w:rPr>
              <w:t>40</w:t>
            </w:r>
            <w:r>
              <w:rPr>
                <w:rFonts w:hint="eastAsia" w:ascii="宋体" w:hAnsi="宋体" w:cs="Arial"/>
                <w:szCs w:val="21"/>
                <w:highlight w:val="none"/>
              </w:rPr>
              <w:t>1</w:t>
            </w:r>
            <w:r>
              <w:rPr>
                <w:rFonts w:ascii="宋体" w:hAnsi="宋体" w:cs="Arial"/>
                <w:szCs w:val="21"/>
                <w:highlight w:val="none"/>
              </w:rPr>
              <w:t>.0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钢混组合结构梁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柱式墩配桩基</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柱式台配桩基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555" w:type="dxa"/>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w:t>
            </w:r>
          </w:p>
        </w:tc>
        <w:tc>
          <w:tcPr>
            <w:tcW w:w="517" w:type="dxa"/>
            <w:vMerge w:val="continue"/>
            <w:vAlign w:val="center"/>
          </w:tcPr>
          <w:p>
            <w:pPr>
              <w:widowControl/>
              <w:jc w:val="center"/>
              <w:rPr>
                <w:rFonts w:hint="eastAsia"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hint="eastAsia" w:ascii="宋体" w:hAnsi="宋体" w:cs="Arial"/>
                <w:szCs w:val="21"/>
                <w:highlight w:val="none"/>
              </w:rPr>
              <w:t>K3+128.73</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金岭路高架桥</w:t>
            </w:r>
          </w:p>
        </w:tc>
        <w:tc>
          <w:tcPr>
            <w:tcW w:w="2067" w:type="dxa"/>
            <w:vAlign w:val="center"/>
          </w:tcPr>
          <w:p>
            <w:pPr>
              <w:jc w:val="center"/>
              <w:rPr>
                <w:rFonts w:ascii="宋体" w:hAnsi="宋体" w:cs="Arial"/>
                <w:szCs w:val="21"/>
                <w:highlight w:val="none"/>
              </w:rPr>
            </w:pPr>
            <w:r>
              <w:rPr>
                <w:rFonts w:hint="eastAsia" w:ascii="宋体" w:hAnsi="宋体" w:cs="Arial"/>
                <w:szCs w:val="21"/>
                <w:highlight w:val="none"/>
              </w:rPr>
              <w:t>4*30+（2*30+35+30）+2*(4*30)</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25</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2×净15.5</w:t>
            </w:r>
          </w:p>
        </w:tc>
        <w:tc>
          <w:tcPr>
            <w:tcW w:w="567" w:type="dxa"/>
            <w:vAlign w:val="center"/>
          </w:tcPr>
          <w:p>
            <w:pPr>
              <w:jc w:val="center"/>
              <w:rPr>
                <w:rFonts w:ascii="宋体" w:hAnsi="宋体" w:cs="Arial"/>
                <w:szCs w:val="21"/>
                <w:highlight w:val="none"/>
              </w:rPr>
            </w:pPr>
            <w:r>
              <w:rPr>
                <w:rFonts w:ascii="宋体" w:hAnsi="宋体" w:cs="Arial"/>
                <w:szCs w:val="21"/>
                <w:highlight w:val="none"/>
              </w:rPr>
              <w:t>90</w:t>
            </w:r>
          </w:p>
        </w:tc>
        <w:tc>
          <w:tcPr>
            <w:tcW w:w="931" w:type="dxa"/>
            <w:vAlign w:val="center"/>
          </w:tcPr>
          <w:p>
            <w:pPr>
              <w:jc w:val="center"/>
              <w:rPr>
                <w:rFonts w:ascii="宋体" w:hAnsi="宋体" w:cs="Arial"/>
                <w:szCs w:val="21"/>
                <w:highlight w:val="none"/>
              </w:rPr>
            </w:pPr>
            <w:r>
              <w:rPr>
                <w:rFonts w:ascii="宋体" w:hAnsi="宋体" w:cs="Arial"/>
                <w:szCs w:val="21"/>
                <w:highlight w:val="none"/>
              </w:rPr>
              <w:t>491.0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钢混组合结构梁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柱式墩配桩基</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肋板台配桩基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55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hint="eastAsia" w:ascii="宋体" w:hAnsi="宋体" w:cs="Arial"/>
                <w:szCs w:val="21"/>
                <w:highlight w:val="none"/>
              </w:rPr>
              <w:t>K3+577.975</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郭亮南路高架桥</w:t>
            </w:r>
          </w:p>
        </w:tc>
        <w:tc>
          <w:tcPr>
            <w:tcW w:w="2067" w:type="dxa"/>
            <w:vAlign w:val="center"/>
          </w:tcPr>
          <w:p>
            <w:pPr>
              <w:jc w:val="center"/>
              <w:rPr>
                <w:rFonts w:ascii="宋体" w:hAnsi="宋体" w:cs="Arial"/>
                <w:szCs w:val="21"/>
                <w:highlight w:val="none"/>
              </w:rPr>
            </w:pPr>
            <w:r>
              <w:rPr>
                <w:rFonts w:ascii="宋体" w:hAnsi="宋体" w:cs="Arial"/>
                <w:szCs w:val="21"/>
                <w:highlight w:val="none"/>
              </w:rPr>
              <w:t>25+25+35+25+25</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14</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2×净15.5</w:t>
            </w:r>
          </w:p>
        </w:tc>
        <w:tc>
          <w:tcPr>
            <w:tcW w:w="567" w:type="dxa"/>
            <w:vAlign w:val="center"/>
          </w:tcPr>
          <w:p>
            <w:pPr>
              <w:jc w:val="center"/>
              <w:rPr>
                <w:rFonts w:ascii="宋体" w:hAnsi="宋体" w:cs="Arial"/>
                <w:szCs w:val="21"/>
                <w:highlight w:val="none"/>
              </w:rPr>
            </w:pPr>
            <w:r>
              <w:rPr>
                <w:rFonts w:hint="eastAsia" w:ascii="宋体" w:hAnsi="宋体" w:cs="Arial"/>
                <w:szCs w:val="21"/>
                <w:highlight w:val="none"/>
              </w:rPr>
              <w:t>102.6</w:t>
            </w:r>
          </w:p>
        </w:tc>
        <w:tc>
          <w:tcPr>
            <w:tcW w:w="931" w:type="dxa"/>
            <w:vAlign w:val="center"/>
          </w:tcPr>
          <w:p>
            <w:pPr>
              <w:jc w:val="center"/>
              <w:rPr>
                <w:rFonts w:ascii="宋体" w:hAnsi="宋体" w:cs="Arial"/>
                <w:szCs w:val="21"/>
                <w:highlight w:val="none"/>
              </w:rPr>
            </w:pPr>
            <w:r>
              <w:rPr>
                <w:rFonts w:ascii="宋体" w:hAnsi="宋体" w:cs="Arial"/>
                <w:szCs w:val="21"/>
                <w:highlight w:val="none"/>
              </w:rPr>
              <w:t>1</w:t>
            </w:r>
            <w:r>
              <w:rPr>
                <w:rFonts w:hint="eastAsia" w:ascii="宋体" w:hAnsi="宋体" w:cs="Arial"/>
                <w:szCs w:val="21"/>
                <w:highlight w:val="none"/>
              </w:rPr>
              <w:t>41.0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现浇箱梁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柱式墩配桩基</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柱式台配桩基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exact"/>
          <w:jc w:val="center"/>
        </w:trPr>
        <w:tc>
          <w:tcPr>
            <w:tcW w:w="55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hint="eastAsia" w:ascii="宋体" w:hAnsi="宋体" w:cs="Arial"/>
                <w:szCs w:val="21"/>
                <w:highlight w:val="none"/>
              </w:rPr>
              <w:t>K3+996.813</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金朝路高架桥</w:t>
            </w:r>
          </w:p>
        </w:tc>
        <w:tc>
          <w:tcPr>
            <w:tcW w:w="2067" w:type="dxa"/>
            <w:vAlign w:val="center"/>
          </w:tcPr>
          <w:p>
            <w:pPr>
              <w:jc w:val="center"/>
              <w:rPr>
                <w:rFonts w:ascii="宋体" w:hAnsi="宋体" w:cs="Arial"/>
                <w:szCs w:val="21"/>
                <w:highlight w:val="none"/>
              </w:rPr>
            </w:pPr>
            <w:r>
              <w:rPr>
                <w:rFonts w:hint="eastAsia" w:ascii="宋体" w:hAnsi="宋体" w:cs="Arial"/>
                <w:szCs w:val="21"/>
                <w:highlight w:val="none"/>
              </w:rPr>
              <w:t>5*30+（2*30+35+30）+2*(4*30)</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21</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2×净15.5</w:t>
            </w:r>
          </w:p>
        </w:tc>
        <w:tc>
          <w:tcPr>
            <w:tcW w:w="567" w:type="dxa"/>
            <w:vAlign w:val="center"/>
          </w:tcPr>
          <w:p>
            <w:pPr>
              <w:jc w:val="center"/>
              <w:rPr>
                <w:rFonts w:ascii="宋体" w:hAnsi="宋体" w:cs="Arial"/>
                <w:szCs w:val="21"/>
                <w:highlight w:val="none"/>
              </w:rPr>
            </w:pPr>
            <w:r>
              <w:rPr>
                <w:rFonts w:ascii="宋体" w:hAnsi="宋体" w:cs="Arial"/>
                <w:szCs w:val="21"/>
                <w:highlight w:val="none"/>
              </w:rPr>
              <w:t>90</w:t>
            </w:r>
          </w:p>
        </w:tc>
        <w:tc>
          <w:tcPr>
            <w:tcW w:w="931" w:type="dxa"/>
            <w:vAlign w:val="center"/>
          </w:tcPr>
          <w:p>
            <w:pPr>
              <w:jc w:val="center"/>
              <w:rPr>
                <w:rFonts w:ascii="宋体" w:hAnsi="宋体" w:cs="Arial"/>
                <w:szCs w:val="21"/>
                <w:highlight w:val="none"/>
              </w:rPr>
            </w:pPr>
            <w:r>
              <w:rPr>
                <w:rFonts w:ascii="宋体" w:hAnsi="宋体" w:cs="Arial"/>
                <w:szCs w:val="21"/>
                <w:highlight w:val="none"/>
              </w:rPr>
              <w:t>5</w:t>
            </w:r>
            <w:r>
              <w:rPr>
                <w:rFonts w:hint="eastAsia" w:ascii="宋体" w:hAnsi="宋体" w:cs="Arial"/>
                <w:szCs w:val="21"/>
                <w:highlight w:val="none"/>
              </w:rPr>
              <w:t>21</w:t>
            </w:r>
            <w:r>
              <w:rPr>
                <w:rFonts w:ascii="宋体" w:hAnsi="宋体" w:cs="Arial"/>
                <w:szCs w:val="21"/>
                <w:highlight w:val="none"/>
              </w:rPr>
              <w:t>.0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钢混组合结构梁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柱式墩配桩基</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肋板台配桩基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jc w:val="center"/>
        </w:trPr>
        <w:tc>
          <w:tcPr>
            <w:tcW w:w="555" w:type="dxa"/>
            <w:vAlign w:val="center"/>
          </w:tcPr>
          <w:p>
            <w:pPr>
              <w:jc w:val="center"/>
              <w:rPr>
                <w:rFonts w:hint="eastAsia" w:ascii="宋体" w:hAnsi="宋体" w:cs="宋体"/>
                <w:szCs w:val="21"/>
                <w:highlight w:val="none"/>
              </w:rPr>
            </w:pPr>
            <w:r>
              <w:rPr>
                <w:rFonts w:hint="eastAsia" w:ascii="宋体" w:hAnsi="宋体" w:cs="宋体"/>
                <w:szCs w:val="21"/>
                <w:highlight w:val="none"/>
              </w:rPr>
              <w:t>9</w:t>
            </w:r>
          </w:p>
        </w:tc>
        <w:tc>
          <w:tcPr>
            <w:tcW w:w="517" w:type="dxa"/>
            <w:vMerge w:val="restart"/>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p>
            <w:pPr>
              <w:widowControl/>
              <w:jc w:val="center"/>
              <w:rPr>
                <w:rFonts w:hint="eastAsia"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hint="eastAsia" w:ascii="宋体" w:hAnsi="宋体" w:cs="Arial"/>
                <w:szCs w:val="21"/>
                <w:highlight w:val="none"/>
              </w:rPr>
              <w:t>K11+366</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留佳山大桥</w:t>
            </w:r>
          </w:p>
        </w:tc>
        <w:tc>
          <w:tcPr>
            <w:tcW w:w="2067" w:type="dxa"/>
            <w:vAlign w:val="center"/>
          </w:tcPr>
          <w:p>
            <w:pPr>
              <w:jc w:val="center"/>
              <w:rPr>
                <w:rFonts w:ascii="宋体" w:hAnsi="宋体" w:cs="Arial"/>
                <w:szCs w:val="21"/>
                <w:highlight w:val="none"/>
              </w:rPr>
            </w:pPr>
            <w:r>
              <w:rPr>
                <w:rFonts w:ascii="宋体" w:hAnsi="宋体" w:cs="Arial"/>
                <w:szCs w:val="21"/>
                <w:highlight w:val="none"/>
              </w:rPr>
              <w:t>4*30+3*30</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21</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2×净15.5</w:t>
            </w:r>
          </w:p>
        </w:tc>
        <w:tc>
          <w:tcPr>
            <w:tcW w:w="567" w:type="dxa"/>
            <w:vAlign w:val="center"/>
          </w:tcPr>
          <w:p>
            <w:pPr>
              <w:jc w:val="center"/>
              <w:rPr>
                <w:rFonts w:ascii="宋体" w:hAnsi="宋体" w:cs="Arial"/>
                <w:szCs w:val="21"/>
                <w:highlight w:val="none"/>
              </w:rPr>
            </w:pPr>
            <w:r>
              <w:rPr>
                <w:rFonts w:hint="eastAsia" w:ascii="宋体" w:hAnsi="宋体" w:cs="Arial"/>
                <w:szCs w:val="21"/>
                <w:highlight w:val="none"/>
              </w:rPr>
              <w:t>90</w:t>
            </w:r>
          </w:p>
        </w:tc>
        <w:tc>
          <w:tcPr>
            <w:tcW w:w="931" w:type="dxa"/>
            <w:vAlign w:val="center"/>
          </w:tcPr>
          <w:p>
            <w:pPr>
              <w:jc w:val="center"/>
              <w:rPr>
                <w:rFonts w:ascii="宋体" w:hAnsi="宋体" w:cs="Arial"/>
                <w:szCs w:val="21"/>
                <w:highlight w:val="none"/>
              </w:rPr>
            </w:pPr>
            <w:r>
              <w:rPr>
                <w:rFonts w:hint="eastAsia" w:ascii="宋体" w:hAnsi="宋体" w:cs="Arial"/>
                <w:szCs w:val="21"/>
                <w:highlight w:val="none"/>
              </w:rPr>
              <w:t>216.0</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钢混组合结构梁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柱式墩配桩基</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肋板台配桩基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exact"/>
          <w:jc w:val="center"/>
        </w:trPr>
        <w:tc>
          <w:tcPr>
            <w:tcW w:w="555" w:type="dxa"/>
            <w:vAlign w:val="center"/>
          </w:tcPr>
          <w:p>
            <w:pPr>
              <w:jc w:val="center"/>
              <w:rPr>
                <w:rFonts w:hint="eastAsia" w:ascii="宋体" w:hAnsi="宋体" w:cs="宋体"/>
                <w:szCs w:val="21"/>
                <w:highlight w:val="none"/>
              </w:rPr>
            </w:pPr>
            <w:r>
              <w:rPr>
                <w:rFonts w:hint="eastAsia" w:ascii="宋体" w:hAnsi="宋体" w:cs="宋体"/>
                <w:szCs w:val="21"/>
                <w:highlight w:val="none"/>
              </w:rPr>
              <w:t>10</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hint="eastAsia" w:ascii="宋体" w:hAnsi="宋体" w:cs="Arial"/>
                <w:szCs w:val="21"/>
                <w:highlight w:val="none"/>
              </w:rPr>
              <w:t>K12+847</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八曲河特大桥</w:t>
            </w:r>
          </w:p>
        </w:tc>
        <w:tc>
          <w:tcPr>
            <w:tcW w:w="2067" w:type="dxa"/>
            <w:vAlign w:val="center"/>
          </w:tcPr>
          <w:p>
            <w:pPr>
              <w:jc w:val="center"/>
              <w:rPr>
                <w:rFonts w:ascii="宋体" w:hAnsi="宋体" w:cs="Arial"/>
                <w:szCs w:val="21"/>
                <w:highlight w:val="none"/>
              </w:rPr>
            </w:pPr>
            <w:r>
              <w:rPr>
                <w:rFonts w:hint="eastAsia" w:ascii="宋体" w:hAnsi="宋体" w:cs="Arial"/>
                <w:szCs w:val="21"/>
                <w:highlight w:val="none"/>
              </w:rPr>
              <w:t>2*（4*30）+（16.67+16.66+16.67）+3*45+（16.67+16.66+16.67）+4*（4*30）+5*30+（4*30+25）</w:t>
            </w:r>
            <w:r>
              <w:rPr>
                <w:rFonts w:ascii="宋体" w:hAnsi="宋体" w:cs="Arial"/>
                <w:szCs w:val="21"/>
                <w:highlight w:val="none"/>
              </w:rPr>
              <w:t>7x25+4x24.25+5×24</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21</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2×净15.5</w:t>
            </w:r>
          </w:p>
        </w:tc>
        <w:tc>
          <w:tcPr>
            <w:tcW w:w="567" w:type="dxa"/>
            <w:vAlign w:val="center"/>
          </w:tcPr>
          <w:p>
            <w:pPr>
              <w:jc w:val="center"/>
              <w:rPr>
                <w:rFonts w:ascii="宋体" w:hAnsi="宋体" w:cs="Arial"/>
                <w:szCs w:val="21"/>
                <w:highlight w:val="none"/>
              </w:rPr>
            </w:pPr>
            <w:r>
              <w:rPr>
                <w:rFonts w:hint="eastAsia" w:ascii="宋体" w:hAnsi="宋体" w:cs="Arial"/>
                <w:szCs w:val="21"/>
                <w:highlight w:val="none"/>
              </w:rPr>
              <w:t>60</w:t>
            </w:r>
          </w:p>
          <w:p>
            <w:pPr>
              <w:jc w:val="center"/>
              <w:rPr>
                <w:rFonts w:ascii="宋体" w:hAnsi="宋体" w:cs="Arial"/>
                <w:szCs w:val="21"/>
                <w:highlight w:val="none"/>
              </w:rPr>
            </w:pPr>
            <w:r>
              <w:rPr>
                <w:rFonts w:hint="eastAsia" w:ascii="宋体" w:hAnsi="宋体" w:cs="Arial"/>
                <w:szCs w:val="21"/>
                <w:highlight w:val="none"/>
              </w:rPr>
              <w:t>/90</w:t>
            </w:r>
          </w:p>
        </w:tc>
        <w:tc>
          <w:tcPr>
            <w:tcW w:w="931" w:type="dxa"/>
            <w:vAlign w:val="center"/>
          </w:tcPr>
          <w:p>
            <w:pPr>
              <w:jc w:val="center"/>
              <w:rPr>
                <w:rFonts w:ascii="宋体" w:hAnsi="宋体" w:cs="Arial"/>
                <w:szCs w:val="21"/>
                <w:highlight w:val="none"/>
              </w:rPr>
            </w:pPr>
            <w:r>
              <w:rPr>
                <w:rFonts w:hint="eastAsia" w:ascii="宋体" w:hAnsi="宋体" w:cs="Arial"/>
                <w:szCs w:val="21"/>
                <w:highlight w:val="none"/>
              </w:rPr>
              <w:t>1648.0</w:t>
            </w:r>
          </w:p>
        </w:tc>
        <w:tc>
          <w:tcPr>
            <w:tcW w:w="1938" w:type="dxa"/>
            <w:vAlign w:val="center"/>
          </w:tcPr>
          <w:p>
            <w:pPr>
              <w:rPr>
                <w:rFonts w:ascii="宋体" w:hAnsi="宋体" w:cs="Arial"/>
                <w:szCs w:val="21"/>
                <w:highlight w:val="none"/>
              </w:rPr>
            </w:pPr>
            <w:r>
              <w:rPr>
                <w:rFonts w:hint="eastAsia" w:ascii="宋体" w:hAnsi="宋体" w:cs="Arial"/>
                <w:szCs w:val="21"/>
                <w:highlight w:val="none"/>
              </w:rPr>
              <w:t>钢混组合结构梁+现浇箱梁+连续T梁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柱式墩配桩基</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柱式台配桩基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555" w:type="dxa"/>
            <w:vAlign w:val="center"/>
          </w:tcPr>
          <w:p>
            <w:pPr>
              <w:jc w:val="center"/>
              <w:rPr>
                <w:rFonts w:hint="eastAsia" w:ascii="宋体" w:hAnsi="宋体" w:cs="宋体"/>
                <w:szCs w:val="21"/>
                <w:highlight w:val="none"/>
              </w:rPr>
            </w:pPr>
            <w:r>
              <w:rPr>
                <w:rFonts w:hint="eastAsia" w:ascii="宋体" w:hAnsi="宋体" w:cs="宋体"/>
                <w:szCs w:val="21"/>
                <w:highlight w:val="none"/>
              </w:rPr>
              <w:t>11</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ascii="宋体" w:hAnsi="宋体" w:cs="Arial"/>
                <w:szCs w:val="21"/>
                <w:highlight w:val="none"/>
              </w:rPr>
              <w:t>K13+473.5</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X077跨线桥</w:t>
            </w:r>
          </w:p>
        </w:tc>
        <w:tc>
          <w:tcPr>
            <w:tcW w:w="2067" w:type="dxa"/>
            <w:vAlign w:val="center"/>
          </w:tcPr>
          <w:p>
            <w:pPr>
              <w:jc w:val="center"/>
              <w:rPr>
                <w:rFonts w:ascii="宋体" w:hAnsi="宋体" w:cs="Arial"/>
                <w:szCs w:val="21"/>
                <w:highlight w:val="none"/>
              </w:rPr>
            </w:pPr>
            <w:r>
              <w:rPr>
                <w:rFonts w:ascii="宋体" w:hAnsi="宋体" w:cs="Arial"/>
                <w:szCs w:val="21"/>
                <w:highlight w:val="none"/>
              </w:rPr>
              <w:t>7x25+4x24.25+</w:t>
            </w:r>
          </w:p>
          <w:p>
            <w:pPr>
              <w:jc w:val="center"/>
              <w:rPr>
                <w:rFonts w:ascii="宋体" w:hAnsi="宋体" w:cs="Arial"/>
                <w:szCs w:val="21"/>
                <w:highlight w:val="none"/>
              </w:rPr>
            </w:pPr>
            <w:r>
              <w:rPr>
                <w:rFonts w:ascii="宋体" w:hAnsi="宋体" w:cs="Arial"/>
                <w:szCs w:val="21"/>
                <w:highlight w:val="none"/>
              </w:rPr>
              <w:t>5</w:t>
            </w:r>
            <w:r>
              <w:rPr>
                <w:rFonts w:hint="eastAsia" w:ascii="宋体" w:hAnsi="宋体" w:cs="Arial"/>
                <w:szCs w:val="21"/>
                <w:highlight w:val="none"/>
              </w:rPr>
              <w:t>x</w:t>
            </w:r>
            <w:r>
              <w:rPr>
                <w:rFonts w:ascii="宋体" w:hAnsi="宋体" w:cs="Arial"/>
                <w:szCs w:val="21"/>
                <w:highlight w:val="none"/>
              </w:rPr>
              <w:t>24</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12</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变宽</w:t>
            </w:r>
          </w:p>
        </w:tc>
        <w:tc>
          <w:tcPr>
            <w:tcW w:w="567" w:type="dxa"/>
            <w:vAlign w:val="center"/>
          </w:tcPr>
          <w:p>
            <w:pPr>
              <w:jc w:val="center"/>
              <w:rPr>
                <w:rFonts w:ascii="宋体" w:hAnsi="宋体" w:cs="Arial"/>
                <w:szCs w:val="21"/>
                <w:highlight w:val="none"/>
              </w:rPr>
            </w:pPr>
            <w:r>
              <w:rPr>
                <w:rFonts w:hint="eastAsia" w:ascii="宋体" w:hAnsi="宋体" w:cs="Arial"/>
                <w:szCs w:val="21"/>
                <w:highlight w:val="none"/>
              </w:rPr>
              <w:t>90</w:t>
            </w:r>
          </w:p>
        </w:tc>
        <w:tc>
          <w:tcPr>
            <w:tcW w:w="931" w:type="dxa"/>
            <w:vAlign w:val="center"/>
          </w:tcPr>
          <w:p>
            <w:pPr>
              <w:jc w:val="center"/>
              <w:rPr>
                <w:rFonts w:ascii="宋体" w:hAnsi="宋体" w:cs="Arial"/>
                <w:szCs w:val="21"/>
                <w:highlight w:val="none"/>
              </w:rPr>
            </w:pPr>
            <w:r>
              <w:rPr>
                <w:rFonts w:ascii="宋体" w:hAnsi="宋体" w:cs="Arial"/>
                <w:szCs w:val="21"/>
                <w:highlight w:val="none"/>
              </w:rPr>
              <w:t>395</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现浇箱梁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柱式墩、桩基础</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肋板台、桩基础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jc w:val="center"/>
        </w:trPr>
        <w:tc>
          <w:tcPr>
            <w:tcW w:w="555" w:type="dxa"/>
            <w:vAlign w:val="center"/>
          </w:tcPr>
          <w:p>
            <w:pPr>
              <w:jc w:val="center"/>
              <w:rPr>
                <w:rFonts w:hint="eastAsia" w:ascii="宋体" w:hAnsi="宋体" w:cs="宋体"/>
                <w:szCs w:val="21"/>
                <w:highlight w:val="none"/>
              </w:rPr>
            </w:pPr>
            <w:r>
              <w:rPr>
                <w:rFonts w:hint="eastAsia" w:ascii="宋体" w:hAnsi="宋体" w:cs="宋体"/>
                <w:szCs w:val="21"/>
                <w:highlight w:val="none"/>
              </w:rPr>
              <w:t>12</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ascii="宋体" w:hAnsi="宋体" w:cs="Arial"/>
                <w:szCs w:val="21"/>
                <w:highlight w:val="none"/>
              </w:rPr>
              <w:t>K16+840.723</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A匝道跨线桥</w:t>
            </w:r>
          </w:p>
        </w:tc>
        <w:tc>
          <w:tcPr>
            <w:tcW w:w="2067" w:type="dxa"/>
            <w:vAlign w:val="center"/>
          </w:tcPr>
          <w:p>
            <w:pPr>
              <w:jc w:val="center"/>
              <w:rPr>
                <w:rFonts w:ascii="宋体" w:hAnsi="宋体" w:cs="Arial"/>
                <w:szCs w:val="21"/>
                <w:highlight w:val="none"/>
              </w:rPr>
            </w:pPr>
            <w:r>
              <w:rPr>
                <w:rFonts w:ascii="宋体" w:hAnsi="宋体" w:cs="Arial"/>
                <w:szCs w:val="21"/>
                <w:highlight w:val="none"/>
              </w:rPr>
              <w:t>3*25</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8</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左1x净15.5/右1x净19.5</w:t>
            </w:r>
          </w:p>
        </w:tc>
        <w:tc>
          <w:tcPr>
            <w:tcW w:w="567" w:type="dxa"/>
            <w:vAlign w:val="center"/>
          </w:tcPr>
          <w:p>
            <w:pPr>
              <w:jc w:val="center"/>
              <w:rPr>
                <w:rFonts w:ascii="宋体" w:hAnsi="宋体" w:cs="Arial"/>
                <w:szCs w:val="21"/>
                <w:highlight w:val="none"/>
              </w:rPr>
            </w:pPr>
            <w:r>
              <w:rPr>
                <w:rFonts w:ascii="宋体" w:hAnsi="宋体" w:cs="Arial"/>
                <w:szCs w:val="21"/>
                <w:highlight w:val="none"/>
              </w:rPr>
              <w:t>110</w:t>
            </w:r>
          </w:p>
        </w:tc>
        <w:tc>
          <w:tcPr>
            <w:tcW w:w="931" w:type="dxa"/>
            <w:vAlign w:val="center"/>
          </w:tcPr>
          <w:p>
            <w:pPr>
              <w:jc w:val="center"/>
              <w:rPr>
                <w:rFonts w:ascii="宋体" w:hAnsi="宋体" w:cs="Arial"/>
                <w:szCs w:val="21"/>
                <w:highlight w:val="none"/>
              </w:rPr>
            </w:pPr>
            <w:r>
              <w:rPr>
                <w:rFonts w:hint="eastAsia" w:ascii="宋体" w:hAnsi="宋体" w:cs="Arial"/>
                <w:szCs w:val="21"/>
                <w:highlight w:val="none"/>
              </w:rPr>
              <w:t>81</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小箱梁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柱式墩、桩基础</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肋板台、桩基础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jc w:val="center"/>
        </w:trPr>
        <w:tc>
          <w:tcPr>
            <w:tcW w:w="555" w:type="dxa"/>
            <w:vAlign w:val="center"/>
          </w:tcPr>
          <w:p>
            <w:pPr>
              <w:jc w:val="center"/>
              <w:rPr>
                <w:rFonts w:hint="eastAsia" w:ascii="宋体" w:hAnsi="宋体" w:cs="宋体"/>
                <w:szCs w:val="21"/>
                <w:highlight w:val="none"/>
              </w:rPr>
            </w:pPr>
            <w:r>
              <w:rPr>
                <w:rFonts w:hint="eastAsia" w:ascii="宋体" w:hAnsi="宋体" w:cs="宋体"/>
                <w:szCs w:val="21"/>
                <w:highlight w:val="none"/>
              </w:rPr>
              <w:t>13</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ascii="宋体" w:hAnsi="宋体" w:cs="Arial"/>
                <w:szCs w:val="21"/>
                <w:highlight w:val="none"/>
              </w:rPr>
              <w:t>K17+241.5</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南江湖大桥</w:t>
            </w:r>
          </w:p>
        </w:tc>
        <w:tc>
          <w:tcPr>
            <w:tcW w:w="2067" w:type="dxa"/>
            <w:vAlign w:val="center"/>
          </w:tcPr>
          <w:p>
            <w:pPr>
              <w:jc w:val="center"/>
              <w:rPr>
                <w:rFonts w:ascii="宋体" w:hAnsi="宋体" w:cs="Arial"/>
                <w:szCs w:val="21"/>
                <w:highlight w:val="none"/>
              </w:rPr>
            </w:pPr>
            <w:r>
              <w:rPr>
                <w:rFonts w:ascii="宋体" w:hAnsi="宋体" w:cs="Arial"/>
                <w:szCs w:val="21"/>
                <w:highlight w:val="none"/>
              </w:rPr>
              <w:t>10*25</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16</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左变宽/1x净15.5</w:t>
            </w:r>
          </w:p>
        </w:tc>
        <w:tc>
          <w:tcPr>
            <w:tcW w:w="567" w:type="dxa"/>
            <w:vAlign w:val="center"/>
          </w:tcPr>
          <w:p>
            <w:pPr>
              <w:jc w:val="center"/>
              <w:rPr>
                <w:rFonts w:ascii="宋体" w:hAnsi="宋体" w:cs="Arial"/>
                <w:szCs w:val="21"/>
                <w:highlight w:val="none"/>
              </w:rPr>
            </w:pPr>
            <w:r>
              <w:rPr>
                <w:rFonts w:ascii="宋体" w:hAnsi="宋体" w:cs="Arial"/>
                <w:szCs w:val="21"/>
                <w:highlight w:val="none"/>
              </w:rPr>
              <w:t>90</w:t>
            </w:r>
          </w:p>
        </w:tc>
        <w:tc>
          <w:tcPr>
            <w:tcW w:w="931" w:type="dxa"/>
            <w:vAlign w:val="center"/>
          </w:tcPr>
          <w:p>
            <w:pPr>
              <w:jc w:val="center"/>
              <w:rPr>
                <w:rFonts w:ascii="宋体" w:hAnsi="宋体" w:cs="Arial"/>
                <w:szCs w:val="21"/>
                <w:highlight w:val="none"/>
              </w:rPr>
            </w:pPr>
            <w:r>
              <w:rPr>
                <w:rFonts w:hint="eastAsia" w:ascii="宋体" w:hAnsi="宋体" w:cs="Arial"/>
                <w:szCs w:val="21"/>
                <w:highlight w:val="none"/>
              </w:rPr>
              <w:t>256</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现浇箱梁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柱式墩、桩基础</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肋板台、桩基础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55" w:type="dxa"/>
            <w:vAlign w:val="center"/>
          </w:tcPr>
          <w:p>
            <w:pPr>
              <w:jc w:val="center"/>
              <w:rPr>
                <w:rFonts w:hint="eastAsia" w:ascii="宋体" w:hAnsi="宋体" w:cs="宋体"/>
                <w:szCs w:val="21"/>
                <w:highlight w:val="none"/>
              </w:rPr>
            </w:pPr>
            <w:r>
              <w:rPr>
                <w:rFonts w:hint="eastAsia" w:ascii="宋体" w:hAnsi="宋体" w:cs="宋体"/>
                <w:szCs w:val="21"/>
                <w:highlight w:val="none"/>
              </w:rPr>
              <w:t>14</w:t>
            </w:r>
          </w:p>
        </w:tc>
        <w:tc>
          <w:tcPr>
            <w:tcW w:w="517" w:type="dxa"/>
            <w:vMerge w:val="continue"/>
            <w:vAlign w:val="center"/>
          </w:tcPr>
          <w:p>
            <w:pPr>
              <w:widowControl/>
              <w:jc w:val="center"/>
              <w:rPr>
                <w:rFonts w:ascii="宋体" w:hAnsi="宋体" w:cs="宋体"/>
                <w:kern w:val="0"/>
                <w:szCs w:val="21"/>
                <w:highlight w:val="none"/>
              </w:rPr>
            </w:pPr>
          </w:p>
        </w:tc>
        <w:tc>
          <w:tcPr>
            <w:tcW w:w="1441" w:type="dxa"/>
            <w:vAlign w:val="center"/>
          </w:tcPr>
          <w:p>
            <w:pPr>
              <w:jc w:val="center"/>
              <w:rPr>
                <w:rFonts w:ascii="宋体" w:hAnsi="宋体" w:cs="Arial"/>
                <w:szCs w:val="21"/>
                <w:highlight w:val="none"/>
              </w:rPr>
            </w:pPr>
            <w:r>
              <w:rPr>
                <w:rFonts w:ascii="宋体" w:hAnsi="宋体" w:cs="Arial"/>
                <w:szCs w:val="21"/>
                <w:highlight w:val="none"/>
              </w:rPr>
              <w:t>K19+083.5</w:t>
            </w:r>
          </w:p>
        </w:tc>
        <w:tc>
          <w:tcPr>
            <w:tcW w:w="1724" w:type="dxa"/>
            <w:vAlign w:val="center"/>
          </w:tcPr>
          <w:p>
            <w:pPr>
              <w:jc w:val="center"/>
              <w:rPr>
                <w:rFonts w:ascii="宋体" w:hAnsi="宋体" w:cs="Arial"/>
                <w:szCs w:val="21"/>
                <w:highlight w:val="none"/>
              </w:rPr>
            </w:pPr>
            <w:r>
              <w:rPr>
                <w:rFonts w:hint="eastAsia" w:ascii="宋体" w:hAnsi="宋体" w:cs="Arial"/>
                <w:szCs w:val="21"/>
                <w:highlight w:val="none"/>
              </w:rPr>
              <w:t>史家洲沩水大桥</w:t>
            </w:r>
          </w:p>
        </w:tc>
        <w:tc>
          <w:tcPr>
            <w:tcW w:w="2067" w:type="dxa"/>
            <w:vAlign w:val="center"/>
          </w:tcPr>
          <w:p>
            <w:pPr>
              <w:jc w:val="center"/>
              <w:rPr>
                <w:rFonts w:ascii="宋体" w:hAnsi="宋体" w:cs="Arial"/>
                <w:szCs w:val="21"/>
                <w:highlight w:val="none"/>
              </w:rPr>
            </w:pPr>
            <w:r>
              <w:rPr>
                <w:rFonts w:hint="eastAsia" w:ascii="宋体" w:hAnsi="宋体" w:cs="Arial"/>
                <w:szCs w:val="21"/>
                <w:highlight w:val="none"/>
              </w:rPr>
              <w:t>19*25+(31+45+31)+12*25+(42+4*60+42)+49*25</w:t>
            </w:r>
          </w:p>
        </w:tc>
        <w:tc>
          <w:tcPr>
            <w:tcW w:w="595" w:type="dxa"/>
            <w:vAlign w:val="center"/>
          </w:tcPr>
          <w:p>
            <w:pPr>
              <w:jc w:val="center"/>
              <w:rPr>
                <w:rFonts w:ascii="宋体" w:hAnsi="宋体" w:cs="Arial"/>
                <w:szCs w:val="21"/>
                <w:highlight w:val="none"/>
              </w:rPr>
            </w:pPr>
            <w:r>
              <w:rPr>
                <w:rFonts w:hint="eastAsia" w:ascii="宋体" w:hAnsi="宋体" w:cs="Arial"/>
                <w:szCs w:val="21"/>
                <w:highlight w:val="none"/>
              </w:rPr>
              <w:t>21</w:t>
            </w:r>
          </w:p>
        </w:tc>
        <w:tc>
          <w:tcPr>
            <w:tcW w:w="1470" w:type="dxa"/>
            <w:vAlign w:val="center"/>
          </w:tcPr>
          <w:p>
            <w:pPr>
              <w:jc w:val="center"/>
              <w:rPr>
                <w:rFonts w:ascii="宋体" w:hAnsi="宋体" w:cs="Arial"/>
                <w:szCs w:val="21"/>
                <w:highlight w:val="none"/>
              </w:rPr>
            </w:pPr>
            <w:r>
              <w:rPr>
                <w:rFonts w:hint="eastAsia" w:ascii="宋体" w:hAnsi="宋体" w:cs="Arial"/>
                <w:szCs w:val="21"/>
                <w:highlight w:val="none"/>
              </w:rPr>
              <w:t>2×净15.5</w:t>
            </w:r>
          </w:p>
        </w:tc>
        <w:tc>
          <w:tcPr>
            <w:tcW w:w="567" w:type="dxa"/>
            <w:vAlign w:val="center"/>
          </w:tcPr>
          <w:p>
            <w:pPr>
              <w:jc w:val="center"/>
              <w:rPr>
                <w:rFonts w:ascii="宋体" w:hAnsi="宋体" w:cs="Arial"/>
                <w:szCs w:val="21"/>
                <w:highlight w:val="none"/>
              </w:rPr>
            </w:pPr>
            <w:r>
              <w:rPr>
                <w:rFonts w:hint="eastAsia" w:ascii="宋体" w:hAnsi="宋体" w:cs="Arial"/>
                <w:szCs w:val="21"/>
                <w:highlight w:val="none"/>
              </w:rPr>
              <w:t>90</w:t>
            </w:r>
          </w:p>
        </w:tc>
        <w:tc>
          <w:tcPr>
            <w:tcW w:w="931" w:type="dxa"/>
            <w:vAlign w:val="center"/>
          </w:tcPr>
          <w:p>
            <w:pPr>
              <w:jc w:val="center"/>
              <w:rPr>
                <w:rFonts w:ascii="宋体" w:hAnsi="宋体" w:cs="Arial"/>
                <w:szCs w:val="21"/>
                <w:highlight w:val="none"/>
              </w:rPr>
            </w:pPr>
            <w:r>
              <w:rPr>
                <w:rFonts w:hint="eastAsia" w:ascii="宋体" w:hAnsi="宋体" w:cs="Arial"/>
                <w:szCs w:val="21"/>
                <w:highlight w:val="none"/>
              </w:rPr>
              <w:t>2434</w:t>
            </w:r>
          </w:p>
        </w:tc>
        <w:tc>
          <w:tcPr>
            <w:tcW w:w="1938" w:type="dxa"/>
            <w:vAlign w:val="center"/>
          </w:tcPr>
          <w:p>
            <w:pPr>
              <w:jc w:val="center"/>
              <w:rPr>
                <w:rFonts w:ascii="宋体" w:hAnsi="宋体" w:cs="Arial"/>
                <w:szCs w:val="21"/>
                <w:highlight w:val="none"/>
              </w:rPr>
            </w:pPr>
            <w:r>
              <w:rPr>
                <w:rFonts w:hint="eastAsia" w:ascii="宋体" w:hAnsi="宋体" w:cs="Arial"/>
                <w:szCs w:val="21"/>
                <w:highlight w:val="none"/>
              </w:rPr>
              <w:t>连续箱梁+小箱梁</w:t>
            </w:r>
          </w:p>
        </w:tc>
        <w:tc>
          <w:tcPr>
            <w:tcW w:w="1596" w:type="dxa"/>
            <w:vAlign w:val="center"/>
          </w:tcPr>
          <w:p>
            <w:pPr>
              <w:jc w:val="center"/>
              <w:rPr>
                <w:rFonts w:ascii="宋体" w:hAnsi="宋体" w:cs="Arial"/>
                <w:szCs w:val="21"/>
                <w:highlight w:val="none"/>
              </w:rPr>
            </w:pPr>
            <w:r>
              <w:rPr>
                <w:rFonts w:hint="eastAsia" w:ascii="宋体" w:hAnsi="宋体" w:cs="Arial"/>
                <w:szCs w:val="21"/>
                <w:highlight w:val="none"/>
              </w:rPr>
              <w:t>柱式墩配桩基</w:t>
            </w:r>
          </w:p>
        </w:tc>
        <w:tc>
          <w:tcPr>
            <w:tcW w:w="1617" w:type="dxa"/>
            <w:vAlign w:val="center"/>
          </w:tcPr>
          <w:p>
            <w:pPr>
              <w:jc w:val="center"/>
              <w:rPr>
                <w:rFonts w:ascii="宋体" w:hAnsi="宋体" w:cs="Arial"/>
                <w:szCs w:val="21"/>
                <w:highlight w:val="none"/>
              </w:rPr>
            </w:pPr>
            <w:r>
              <w:rPr>
                <w:rFonts w:hint="eastAsia" w:ascii="宋体" w:hAnsi="宋体" w:cs="Arial"/>
                <w:szCs w:val="21"/>
                <w:highlight w:val="none"/>
              </w:rPr>
              <w:t>柱式台配桩基</w:t>
            </w:r>
          </w:p>
        </w:tc>
      </w:tr>
    </w:tbl>
    <w:p>
      <w:pPr>
        <w:rPr>
          <w:rFonts w:hint="eastAsia" w:ascii="黑体" w:hAnsi="华文中宋" w:eastAsia="黑体"/>
          <w:sz w:val="24"/>
          <w:highlight w:val="none"/>
          <w:u w:val="single"/>
        </w:rPr>
      </w:pPr>
    </w:p>
    <w:p>
      <w:pPr>
        <w:rPr>
          <w:rFonts w:ascii="黑体" w:hAnsi="华文中宋" w:eastAsia="黑体"/>
          <w:sz w:val="24"/>
          <w:highlight w:val="none"/>
          <w:u w:val="single"/>
        </w:rPr>
      </w:pPr>
      <w:r>
        <w:rPr>
          <w:rFonts w:hint="eastAsia" w:ascii="黑体" w:hAnsi="华文中宋" w:eastAsia="黑体"/>
          <w:sz w:val="24"/>
          <w:highlight w:val="none"/>
          <w:u w:val="single"/>
        </w:rPr>
        <w:t>注:以上数量仅供参考。</w:t>
      </w:r>
    </w:p>
    <w:p>
      <w:pPr>
        <w:rPr>
          <w:highlight w:val="none"/>
        </w:rPr>
        <w:sectPr>
          <w:headerReference r:id="rId4" w:type="default"/>
          <w:pgSz w:w="16838" w:h="11906" w:orient="landscape"/>
          <w:pgMar w:top="1361" w:right="1440" w:bottom="1361" w:left="1440" w:header="851" w:footer="907" w:gutter="0"/>
          <w:cols w:space="720" w:num="1"/>
          <w:docGrid w:linePitch="312" w:charSpace="0"/>
        </w:sect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imes New Roman Bold">
    <w:altName w:val="Times New Roman"/>
    <w:panose1 w:val="02020803070505020304"/>
    <w:charset w:val="00"/>
    <w:family w:val="auto"/>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roma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rFonts w:hint="eastAsia"/>
          <w:b/>
          <w:sz w:val="24"/>
          <w:szCs w:val="24"/>
        </w:rPr>
      </w:pPr>
      <w:r>
        <w:rPr>
          <w:rStyle w:val="10"/>
        </w:rPr>
        <w:footnoteRef/>
      </w:r>
      <w:r>
        <w:t xml:space="preserve"> </w:t>
      </w:r>
      <w:r>
        <w:rPr>
          <w:rFonts w:hint="eastAsia"/>
          <w:b/>
          <w:sz w:val="24"/>
          <w:szCs w:val="24"/>
        </w:rPr>
        <w:t>国务院国有资产监督管理机构直接监管的中央企业均不属于本条规定的“母公司”，其一级子公司可同时对同一标段投标，但同属一个子公司的二级子公司不得同时对同一标段投标。</w:t>
      </w:r>
    </w:p>
  </w:footnote>
  <w:footnote w:id="1">
    <w:p>
      <w:pPr>
        <w:pStyle w:val="6"/>
        <w:rPr>
          <w:rFonts w:hint="eastAsia"/>
        </w:rPr>
      </w:pPr>
      <w:r>
        <w:rPr>
          <w:rStyle w:val="10"/>
        </w:rPr>
        <w:footnoteRef/>
      </w:r>
      <w:r>
        <w:rPr>
          <w:rFonts w:hint="eastAsia"/>
          <w:b/>
          <w:sz w:val="24"/>
          <w:szCs w:val="24"/>
        </w:rPr>
        <w:t>国务院国有资产监督管理机构直接监管的中央企业均不属于本条规定的“母公司”，其一级子公司可同时对同一标段投标，但同属一个子公司的二级子公司不得同时对同一标段投标。</w:t>
      </w:r>
    </w:p>
  </w:footnote>
  <w:footnote w:id="2">
    <w:p>
      <w:pPr>
        <w:pStyle w:val="6"/>
        <w:rPr>
          <w:rFonts w:hint="eastAsia"/>
        </w:rPr>
      </w:pPr>
      <w:r>
        <w:rPr>
          <w:rStyle w:val="10"/>
        </w:rPr>
        <w:footnoteRef/>
      </w:r>
      <w:r>
        <w:t xml:space="preserve"> </w:t>
      </w:r>
      <w:r>
        <w:rPr>
          <w:rFonts w:hint="eastAsia"/>
        </w:rPr>
        <w:t>公路工程相关专业包括公路工程、桥梁工程、公路与桥梁工程、交通土建、隧道（地下结构）工程、交通工程等专业职称。</w:t>
      </w:r>
    </w:p>
  </w:footnote>
  <w:footnote w:id="3">
    <w:p>
      <w:pPr>
        <w:pStyle w:val="6"/>
        <w:rPr>
          <w:rFonts w:hint="eastAsia"/>
        </w:rPr>
      </w:pPr>
      <w:r>
        <w:rPr>
          <w:rStyle w:val="10"/>
          <w:sz w:val="22"/>
        </w:rPr>
        <w:footnoteRef/>
      </w:r>
      <w:r>
        <w:rPr>
          <w:sz w:val="22"/>
        </w:rPr>
        <w:t xml:space="preserve"> </w:t>
      </w:r>
      <w:r>
        <w:rPr>
          <w:rFonts w:hint="eastAsia"/>
          <w:sz w:val="22"/>
        </w:rPr>
        <w:t>为方便阅读，本文将《公路工程标准施工招标文件（2009年版） 》第三章评标办法（合理低价法）正文不加修改地引用（宋体字部分），修改部分采用黑色字体加粗。</w:t>
      </w:r>
    </w:p>
  </w:footnote>
  <w:footnote w:id="4">
    <w:p>
      <w:pPr>
        <w:pStyle w:val="6"/>
        <w:rPr>
          <w:rFonts w:hint="eastAsia"/>
        </w:rPr>
      </w:pPr>
      <w:r>
        <w:rPr>
          <w:rStyle w:val="10"/>
        </w:rPr>
        <w:footnoteRef/>
      </w:r>
      <w:r>
        <w:t xml:space="preserve"> </w:t>
      </w:r>
      <w:r>
        <w:rPr>
          <w:rFonts w:hint="eastAsia"/>
        </w:rPr>
        <w:t>如本项目招标采用第二章“投标人须知”第3.2.1项（2）目规定的由投标人按照招标人提供的工程量清单填写本合同各工程子目的单价、合价和总额价方式，则评标委员会按照本章第3.1.3项和第3.1.4项的规定对投标人的投标报价进行修正。如本项目招标采用第二章“投标人须知”第3.2.1项（1）目规定的投标人按照招标人提供的工程量固化清单电子文件填写工程量清单的，无须按照本章第3.1.3项和第3.1.4项的规定对投标报价进行修正，第3.1.3项～第3.1.6项内容不适用。</w:t>
      </w:r>
    </w:p>
  </w:footnote>
  <w:footnote w:id="5">
    <w:p>
      <w:pPr>
        <w:pStyle w:val="6"/>
        <w:rPr>
          <w:rFonts w:hint="eastAsia"/>
          <w:b/>
          <w:sz w:val="24"/>
          <w:szCs w:val="24"/>
        </w:rPr>
      </w:pPr>
      <w:r>
        <w:rPr>
          <w:rStyle w:val="10"/>
        </w:rPr>
        <w:footnoteRef/>
      </w:r>
      <w:r>
        <w:t xml:space="preserve"> </w:t>
      </w:r>
      <w:r>
        <w:rPr>
          <w:rFonts w:hint="eastAsia"/>
          <w:b/>
          <w:sz w:val="24"/>
          <w:szCs w:val="24"/>
        </w:rPr>
        <w:t>国务院国有资产监督管理机构直接监管的中央企业均不属于本条规定的“母公司”，其一级子公司可同时对同一标段投标，但同属一个子公司的二级子公司不得同时对同一标段投标。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AAA"/>
    <w:multiLevelType w:val="multilevel"/>
    <w:tmpl w:val="04781AA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986383"/>
    <w:multiLevelType w:val="multilevel"/>
    <w:tmpl w:val="17986383"/>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5D00024"/>
    <w:multiLevelType w:val="multilevel"/>
    <w:tmpl w:val="45D0002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EnclosedCircle"/>
      <w:lvlText w:val="%4_x0001_"/>
      <w:lvlJc w:val="left"/>
      <w:pPr>
        <w:ind w:left="1620" w:hanging="360"/>
      </w:pPr>
      <w:rPr>
        <w:rFonts w:hint="default" w:ascii="宋体"/>
      </w:rPr>
    </w:lvl>
    <w:lvl w:ilvl="4" w:tentative="0">
      <w:start w:val="1"/>
      <w:numFmt w:val="decimal"/>
      <w:lvlText w:val="%5．"/>
      <w:lvlJc w:val="left"/>
      <w:pPr>
        <w:ind w:left="2445" w:hanging="765"/>
      </w:pPr>
      <w:rPr>
        <w:rFonts w:hint="default"/>
      </w:rPr>
    </w:lvl>
    <w:lvl w:ilvl="5" w:tentative="0">
      <w:start w:val="1"/>
      <w:numFmt w:val="decimal"/>
      <w:lvlText w:val="%6、"/>
      <w:lvlJc w:val="left"/>
      <w:pPr>
        <w:ind w:left="2490" w:hanging="39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896654C"/>
    <w:multiLevelType w:val="multilevel"/>
    <w:tmpl w:val="4896654C"/>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BAC3D98"/>
    <w:multiLevelType w:val="multilevel"/>
    <w:tmpl w:val="7BAC3D98"/>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D1ED1"/>
    <w:rsid w:val="016D756C"/>
    <w:rsid w:val="022C326E"/>
    <w:rsid w:val="0E912F96"/>
    <w:rsid w:val="111C30F5"/>
    <w:rsid w:val="11557242"/>
    <w:rsid w:val="12356247"/>
    <w:rsid w:val="16024596"/>
    <w:rsid w:val="16A1418B"/>
    <w:rsid w:val="187006F3"/>
    <w:rsid w:val="1A762169"/>
    <w:rsid w:val="1AC812B0"/>
    <w:rsid w:val="1B8D7C61"/>
    <w:rsid w:val="218955AA"/>
    <w:rsid w:val="250E5A02"/>
    <w:rsid w:val="25B65A8B"/>
    <w:rsid w:val="2E9D189B"/>
    <w:rsid w:val="335A0B2B"/>
    <w:rsid w:val="36BE5935"/>
    <w:rsid w:val="40F42593"/>
    <w:rsid w:val="41B60C7C"/>
    <w:rsid w:val="44206440"/>
    <w:rsid w:val="46C46353"/>
    <w:rsid w:val="46C505DD"/>
    <w:rsid w:val="47CC66CD"/>
    <w:rsid w:val="4CBE769F"/>
    <w:rsid w:val="4DA015E7"/>
    <w:rsid w:val="501D0014"/>
    <w:rsid w:val="50E203CF"/>
    <w:rsid w:val="50E44019"/>
    <w:rsid w:val="5B800C90"/>
    <w:rsid w:val="5E2E6487"/>
    <w:rsid w:val="5FFC7B82"/>
    <w:rsid w:val="60EF36A7"/>
    <w:rsid w:val="643A1068"/>
    <w:rsid w:val="6D470F39"/>
    <w:rsid w:val="75ED1ED1"/>
    <w:rsid w:val="77C11E08"/>
    <w:rsid w:val="7983707B"/>
    <w:rsid w:val="7A886E7E"/>
    <w:rsid w:val="7E7621F2"/>
    <w:rsid w:val="7FBE0B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jc w:val="center"/>
      <w:outlineLvl w:val="0"/>
    </w:pPr>
    <w:rPr>
      <w:rFonts w:eastAsia="黑体"/>
      <w:bCs/>
      <w:kern w:val="44"/>
      <w:sz w:val="44"/>
      <w:szCs w:val="44"/>
    </w:rPr>
  </w:style>
  <w:style w:type="paragraph" w:styleId="3">
    <w:name w:val="heading 2"/>
    <w:basedOn w:val="1"/>
    <w:next w:val="1"/>
    <w:unhideWhenUsed/>
    <w:qFormat/>
    <w:uiPriority w:val="0"/>
    <w:pPr>
      <w:keepNext/>
      <w:keepLines/>
      <w:spacing w:before="260" w:after="260" w:line="360" w:lineRule="auto"/>
      <w:jc w:val="center"/>
      <w:outlineLvl w:val="1"/>
    </w:pPr>
    <w:rPr>
      <w:rFonts w:ascii="Arial" w:hAnsi="Arial" w:eastAsia="黑体"/>
      <w:bCs/>
      <w:sz w:val="36"/>
      <w:szCs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uiPriority w:val="0"/>
    <w:pPr>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qFormat/>
    <w:uiPriority w:val="0"/>
  </w:style>
  <w:style w:type="character" w:styleId="10">
    <w:name w:val="footnote reference"/>
    <w:qFormat/>
    <w:uiPriority w:val="0"/>
    <w:rPr>
      <w:vertAlign w:val="superscript"/>
    </w:rPr>
  </w:style>
  <w:style w:type="paragraph" w:customStyle="1" w:styleId="12">
    <w:name w:val="Default"/>
    <w:qFormat/>
    <w:uiPriority w:val="0"/>
    <w:pPr>
      <w:widowControl w:val="0"/>
      <w:autoSpaceDE w:val="0"/>
      <w:autoSpaceDN w:val="0"/>
      <w:adjustRightInd w:val="0"/>
    </w:pPr>
    <w:rPr>
      <w:rFonts w:ascii="宋体" w:hAnsi="Calibri" w:cs="宋体" w:eastAsiaTheme="minorEastAsia"/>
      <w:color w:val="000000"/>
      <w:sz w:val="24"/>
      <w:szCs w:val="24"/>
      <w:lang w:val="en-US" w:eastAsia="zh-CN" w:bidi="ar-SA"/>
    </w:rPr>
  </w:style>
  <w:style w:type="character" w:customStyle="1" w:styleId="13">
    <w:name w:val="Chapter head"/>
    <w:qFormat/>
    <w:uiPriority w:val="0"/>
    <w:rPr>
      <w:b/>
      <w:sz w:val="36"/>
    </w:rPr>
  </w:style>
  <w:style w:type="paragraph" w:customStyle="1" w:styleId="14">
    <w:name w:val="表中"/>
    <w:basedOn w:val="1"/>
    <w:uiPriority w:val="0"/>
    <w:pPr>
      <w:adjustRightInd w:val="0"/>
      <w:spacing w:line="360" w:lineRule="atLeast"/>
      <w:jc w:val="center"/>
      <w:textAlignment w:val="baseline"/>
    </w:pPr>
    <w:rPr>
      <w:kern w:val="0"/>
    </w:rPr>
  </w:style>
  <w:style w:type="paragraph" w:customStyle="1" w:styleId="15">
    <w:name w:val="表格文字"/>
    <w:basedOn w:val="1"/>
    <w:qFormat/>
    <w:uiPriority w:val="0"/>
    <w:pPr>
      <w:adjustRightInd w:val="0"/>
      <w:snapToGrid w:val="0"/>
      <w:spacing w:line="288" w:lineRule="auto"/>
      <w:jc w:val="center"/>
    </w:pPr>
    <w:rPr>
      <w:rFonts w:ascii="宋体" w:hAnsi="宋体"/>
      <w:sz w:val="24"/>
    </w:rPr>
  </w:style>
  <w:style w:type="paragraph" w:customStyle="1" w:styleId="16">
    <w:name w:val="表格文字居中"/>
    <w:basedOn w:val="1"/>
    <w:next w:val="1"/>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rPr>
  </w:style>
  <w:style w:type="paragraph" w:customStyle="1" w:styleId="17">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olor w:val="000000"/>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2017-03-31T02:30:00Z</dcterms:created>
  <dc:creator>Administrator</dc:creator>
  <cp:lastModifiedBy>Administrator</cp:lastModifiedBy>
  <dcterms:modified xsi:type="dcterms:W3CDTF">2017-03-31T07:52:22Z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