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rPr>
      </w:pPr>
    </w:p>
    <w:p>
      <w:pPr>
        <w:jc w:val="center"/>
        <w:rPr>
          <w:rFonts w:ascii="仿宋_GB2312" w:eastAsia="仿宋_GB2312"/>
          <w:sz w:val="32"/>
        </w:rPr>
      </w:pPr>
    </w:p>
    <w:p>
      <w:pPr>
        <w:jc w:val="center"/>
        <w:rPr>
          <w:rFonts w:ascii="仿宋_GB2312" w:eastAsia="仿宋_GB2312"/>
          <w:sz w:val="48"/>
          <w:szCs w:val="48"/>
        </w:rPr>
      </w:pPr>
      <w:bookmarkStart w:id="8" w:name="_GoBack"/>
      <w:bookmarkEnd w:id="8"/>
    </w:p>
    <w:p>
      <w:pPr>
        <w:jc w:val="center"/>
        <w:rPr>
          <w:rFonts w:ascii="仿宋_GB2312" w:eastAsia="仿宋_GB2312"/>
          <w:sz w:val="32"/>
        </w:rPr>
      </w:pPr>
    </w:p>
    <w:p>
      <w:pPr>
        <w:adjustRightInd w:val="0"/>
        <w:snapToGrid w:val="0"/>
        <w:jc w:val="center"/>
        <w:rPr>
          <w:rFonts w:ascii="仿宋_GB2312" w:eastAsia="仿宋_GB2312"/>
        </w:rPr>
      </w:pPr>
    </w:p>
    <w:p>
      <w:pPr>
        <w:snapToGrid w:val="0"/>
        <w:spacing w:line="300" w:lineRule="auto"/>
        <w:rPr>
          <w:rFonts w:ascii="仿宋_GB2312" w:eastAsia="仿宋_GB2312"/>
          <w:sz w:val="44"/>
          <w:szCs w:val="44"/>
        </w:rPr>
      </w:pPr>
    </w:p>
    <w:p>
      <w:pPr>
        <w:jc w:val="center"/>
        <w:rPr>
          <w:rFonts w:ascii="仿宋_GB2312" w:eastAsia="仿宋_GB2312"/>
          <w:sz w:val="32"/>
        </w:rPr>
      </w:pPr>
      <w:r>
        <w:rPr>
          <w:rFonts w:hint="eastAsia" w:ascii="仿宋_GB2312" w:eastAsia="仿宋_GB2312"/>
          <w:sz w:val="32"/>
          <w:szCs w:val="32"/>
        </w:rPr>
        <w:t>湘质安监督〔202</w:t>
      </w:r>
      <w:r>
        <w:rPr>
          <w:rFonts w:ascii="仿宋_GB2312" w:eastAsia="仿宋_GB2312"/>
          <w:sz w:val="32"/>
          <w:szCs w:val="32"/>
        </w:rPr>
        <w:t>4</w:t>
      </w:r>
      <w:r>
        <w:rPr>
          <w:rFonts w:hint="eastAsia" w:ascii="仿宋_GB2312" w:eastAsia="仿宋_GB2312"/>
          <w:sz w:val="32"/>
          <w:szCs w:val="32"/>
        </w:rPr>
        <w:t>〕</w:t>
      </w:r>
      <w:r>
        <w:rPr>
          <w:rFonts w:hint="eastAsia" w:ascii="仿宋_GB2312" w:eastAsia="仿宋_GB2312"/>
          <w:sz w:val="32"/>
          <w:szCs w:val="32"/>
          <w:lang w:val="en-US" w:eastAsia="zh-CN"/>
        </w:rPr>
        <w:t>90</w:t>
      </w:r>
      <w:r>
        <w:rPr>
          <w:rFonts w:hint="eastAsia" w:ascii="仿宋_GB2312" w:eastAsia="仿宋_GB2312"/>
          <w:sz w:val="32"/>
          <w:szCs w:val="32"/>
        </w:rPr>
        <w:t>号</w:t>
      </w:r>
    </w:p>
    <w:p>
      <w:pPr>
        <w:adjustRightInd w:val="0"/>
        <w:snapToGrid w:val="0"/>
        <w:jc w:val="center"/>
        <w:rPr>
          <w:rFonts w:ascii="仿宋_GB2312" w:eastAsia="仿宋_GB2312"/>
        </w:rPr>
      </w:pPr>
    </w:p>
    <w:p>
      <w:pPr>
        <w:adjustRightInd w:val="0"/>
        <w:snapToGrid w:val="0"/>
        <w:jc w:val="center"/>
        <w:rPr>
          <w:rFonts w:ascii="仿宋_GB2312" w:eastAsia="仿宋_GB2312"/>
        </w:rPr>
      </w:pPr>
    </w:p>
    <w:p>
      <w:pPr>
        <w:adjustRightInd w:val="0"/>
        <w:snapToGrid w:val="0"/>
        <w:jc w:val="center"/>
        <w:rPr>
          <w:rFonts w:ascii="仿宋_GB2312" w:eastAsia="仿宋_GB2312"/>
        </w:rPr>
      </w:pPr>
    </w:p>
    <w:p>
      <w:pPr>
        <w:adjustRightInd w:val="0"/>
        <w:snapToGrid w:val="0"/>
        <w:jc w:val="center"/>
        <w:rPr>
          <w:rFonts w:ascii="仿宋_GB2312" w:eastAsia="仿宋_GB2312"/>
        </w:rPr>
      </w:pPr>
    </w:p>
    <w:p>
      <w:pPr>
        <w:spacing w:line="560" w:lineRule="exact"/>
        <w:jc w:val="center"/>
        <w:rPr>
          <w:rFonts w:hint="eastAsia" w:ascii="方正小标宋简体" w:hAnsi="宋体" w:eastAsia="方正小标宋简体" w:cs="宋体"/>
          <w:bCs/>
          <w:sz w:val="44"/>
          <w:szCs w:val="44"/>
          <w:lang w:val="en-US" w:eastAsia="zh-CN"/>
        </w:rPr>
      </w:pPr>
      <w:bookmarkStart w:id="0" w:name="OLE_LINK4"/>
      <w:r>
        <w:rPr>
          <w:rFonts w:hint="eastAsia" w:ascii="方正小标宋简体" w:hAnsi="宋体" w:eastAsia="方正小标宋简体" w:cs="宋体"/>
          <w:bCs/>
          <w:sz w:val="44"/>
          <w:szCs w:val="44"/>
          <w:lang w:val="en-US" w:eastAsia="zh-CN"/>
        </w:rPr>
        <w:t>关于印发</w:t>
      </w:r>
      <w:r>
        <w:rPr>
          <w:rFonts w:hint="default" w:ascii="方正小标宋简体" w:hAnsi="宋体" w:eastAsia="方正小标宋简体" w:cs="宋体"/>
          <w:bCs/>
          <w:sz w:val="44"/>
          <w:szCs w:val="44"/>
          <w:lang w:val="en-US" w:eastAsia="zh-CN"/>
        </w:rPr>
        <w:t>监理</w:t>
      </w:r>
      <w:r>
        <w:rPr>
          <w:rFonts w:hint="default" w:ascii="方正小标宋简体" w:hAnsi="宋体" w:eastAsia="方正小标宋简体" w:cs="宋体"/>
          <w:bCs/>
          <w:sz w:val="44"/>
          <w:szCs w:val="44"/>
          <w:lang w:val="en" w:eastAsia="zh-CN"/>
        </w:rPr>
        <w:t>和</w:t>
      </w:r>
      <w:r>
        <w:rPr>
          <w:rFonts w:hint="default" w:ascii="方正小标宋简体" w:hAnsi="宋体" w:eastAsia="方正小标宋简体" w:cs="宋体"/>
          <w:bCs/>
          <w:sz w:val="44"/>
          <w:szCs w:val="44"/>
          <w:lang w:val="en-US" w:eastAsia="zh-CN"/>
        </w:rPr>
        <w:t>检测</w:t>
      </w:r>
      <w:r>
        <w:rPr>
          <w:rFonts w:hint="eastAsia" w:ascii="方正小标宋简体" w:hAnsi="宋体" w:eastAsia="方正小标宋简体" w:cs="宋体"/>
          <w:bCs/>
          <w:sz w:val="44"/>
          <w:szCs w:val="44"/>
          <w:lang w:val="en-US" w:eastAsia="zh-CN"/>
        </w:rPr>
        <w:t>行业综合治理202</w:t>
      </w:r>
      <w:r>
        <w:rPr>
          <w:rFonts w:hint="default" w:ascii="方正小标宋简体" w:hAnsi="宋体" w:eastAsia="方正小标宋简体" w:cs="宋体"/>
          <w:bCs/>
          <w:sz w:val="44"/>
          <w:szCs w:val="44"/>
          <w:lang w:val="en-US" w:eastAsia="zh-CN"/>
        </w:rPr>
        <w:t>4</w:t>
      </w:r>
      <w:r>
        <w:rPr>
          <w:rFonts w:hint="eastAsia" w:ascii="方正小标宋简体" w:hAnsi="宋体" w:eastAsia="方正小标宋简体" w:cs="宋体"/>
          <w:bCs/>
          <w:sz w:val="44"/>
          <w:szCs w:val="44"/>
          <w:lang w:val="en-US" w:eastAsia="zh-CN"/>
        </w:rPr>
        <w:t>年</w:t>
      </w:r>
    </w:p>
    <w:p>
      <w:pPr>
        <w:spacing w:line="560" w:lineRule="exact"/>
        <w:jc w:val="center"/>
        <w:rPr>
          <w:rFonts w:hint="default" w:ascii="方正小标宋简体" w:hAnsi="宋体" w:eastAsia="方正小标宋简体" w:cs="宋体"/>
          <w:bCs/>
          <w:sz w:val="44"/>
          <w:szCs w:val="44"/>
          <w:lang w:val="en-US" w:eastAsia="zh-CN"/>
        </w:rPr>
      </w:pPr>
      <w:r>
        <w:rPr>
          <w:rFonts w:hint="eastAsia" w:ascii="方正小标宋简体" w:hAnsi="宋体" w:eastAsia="方正小标宋简体" w:cs="宋体"/>
          <w:bCs/>
          <w:sz w:val="44"/>
          <w:szCs w:val="44"/>
          <w:lang w:val="en-US" w:eastAsia="zh-CN"/>
        </w:rPr>
        <w:t>第1次专项</w:t>
      </w:r>
      <w:r>
        <w:rPr>
          <w:rFonts w:hint="default" w:ascii="方正小标宋简体" w:hAnsi="宋体" w:eastAsia="方正小标宋简体" w:cs="宋体"/>
          <w:bCs/>
          <w:sz w:val="44"/>
          <w:szCs w:val="44"/>
          <w:lang w:val="en-US" w:eastAsia="zh-CN"/>
        </w:rPr>
        <w:t>检查方案</w:t>
      </w:r>
      <w:r>
        <w:rPr>
          <w:rFonts w:hint="eastAsia" w:ascii="方正小标宋简体" w:hAnsi="宋体" w:eastAsia="方正小标宋简体" w:cs="宋体"/>
          <w:bCs/>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default" w:ascii="Times New Roman" w:hAnsi="Times New Roman" w:eastAsia="仿宋_GB2312" w:cs="Times New Roman"/>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各在建高速公路和重点水运项目公司、省内各监理企业、公路水运试验检测机构、局各监督组：</w:t>
      </w:r>
    </w:p>
    <w:p>
      <w:pPr>
        <w:keepNext w:val="0"/>
        <w:keepLines w:val="0"/>
        <w:pageBreakBefore w:val="0"/>
        <w:widowControl w:val="0"/>
        <w:kinsoku/>
        <w:wordWrap/>
        <w:overflowPunct/>
        <w:topLinePunct w:val="0"/>
        <w:autoSpaceDE/>
        <w:autoSpaceDN/>
        <w:bidi w:val="0"/>
        <w:adjustRightInd/>
        <w:snapToGrid w:val="0"/>
        <w:spacing w:line="276" w:lineRule="auto"/>
        <w:ind w:firstLine="645"/>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根据省交通运输厅</w:t>
      </w:r>
      <w:r>
        <w:rPr>
          <w:rFonts w:hint="default" w:ascii="Times New Roman" w:hAnsi="Times New Roman" w:eastAsia="仿宋_GB2312" w:cs="Times New Roman"/>
          <w:color w:val="000000"/>
          <w:sz w:val="32"/>
          <w:szCs w:val="32"/>
          <w:lang w:val="en-US" w:eastAsia="zh-CN"/>
        </w:rPr>
        <w:t>2024年专项重点工作部署</w:t>
      </w:r>
      <w:r>
        <w:rPr>
          <w:rFonts w:hint="eastAsia" w:ascii="Times New Roman" w:hAnsi="Times New Roman" w:eastAsia="仿宋_GB2312" w:cs="Times New Roman"/>
          <w:color w:val="000000"/>
          <w:sz w:val="32"/>
          <w:szCs w:val="32"/>
          <w:lang w:val="en-US" w:eastAsia="zh-CN"/>
        </w:rPr>
        <w:t>安排</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为</w:t>
      </w:r>
      <w:r>
        <w:rPr>
          <w:rFonts w:hint="eastAsia" w:ascii="Times New Roman" w:hAnsi="Times New Roman" w:eastAsia="仿宋_GB2312" w:cs="Times New Roman"/>
          <w:color w:val="000000"/>
          <w:sz w:val="32"/>
          <w:szCs w:val="32"/>
          <w:lang w:eastAsia="zh-CN"/>
        </w:rPr>
        <w:t>持续</w:t>
      </w:r>
      <w:r>
        <w:rPr>
          <w:rFonts w:hint="default" w:ascii="Times New Roman" w:hAnsi="Times New Roman" w:eastAsia="仿宋_GB2312" w:cs="Times New Roman"/>
          <w:color w:val="000000"/>
          <w:sz w:val="32"/>
          <w:szCs w:val="32"/>
          <w:lang w:eastAsia="zh-CN"/>
        </w:rPr>
        <w:t>推动</w:t>
      </w:r>
      <w:r>
        <w:rPr>
          <w:rFonts w:hint="default" w:ascii="Times New Roman" w:hAnsi="Times New Roman" w:eastAsia="仿宋_GB2312" w:cs="Times New Roman"/>
          <w:color w:val="000000"/>
          <w:sz w:val="32"/>
          <w:szCs w:val="32"/>
          <w:lang w:val="en-US" w:eastAsia="zh-CN"/>
        </w:rPr>
        <w:t>我省监理</w:t>
      </w:r>
      <w:r>
        <w:rPr>
          <w:rFonts w:hint="default" w:ascii="Times New Roman" w:hAnsi="Times New Roman" w:eastAsia="仿宋_GB2312" w:cs="Times New Roman"/>
          <w:color w:val="000000"/>
          <w:sz w:val="32"/>
          <w:szCs w:val="32"/>
          <w:lang w:val="en" w:eastAsia="zh-CN"/>
        </w:rPr>
        <w:t>和</w:t>
      </w:r>
      <w:r>
        <w:rPr>
          <w:rFonts w:hint="default" w:ascii="Times New Roman" w:hAnsi="Times New Roman" w:eastAsia="仿宋_GB2312" w:cs="Times New Roman"/>
          <w:color w:val="000000"/>
          <w:sz w:val="32"/>
          <w:szCs w:val="32"/>
          <w:lang w:val="en-US" w:eastAsia="zh-CN"/>
        </w:rPr>
        <w:t>检测行业综合治理</w:t>
      </w:r>
      <w:r>
        <w:rPr>
          <w:rFonts w:hint="default" w:ascii="Times New Roman" w:hAnsi="Times New Roman" w:eastAsia="仿宋_GB2312" w:cs="Times New Roman"/>
          <w:color w:val="000000"/>
          <w:sz w:val="32"/>
          <w:szCs w:val="32"/>
          <w:lang w:eastAsia="zh-CN"/>
        </w:rPr>
        <w:t>落实见效，</w:t>
      </w:r>
      <w:r>
        <w:rPr>
          <w:rFonts w:hint="eastAsia" w:ascii="Times New Roman" w:hAnsi="Times New Roman" w:eastAsia="仿宋_GB2312" w:cs="Times New Roman"/>
          <w:color w:val="000000"/>
          <w:sz w:val="32"/>
          <w:szCs w:val="32"/>
          <w:lang w:eastAsia="zh-CN"/>
        </w:rPr>
        <w:t>现将</w:t>
      </w:r>
      <w:r>
        <w:rPr>
          <w:rFonts w:hint="eastAsia" w:ascii="Times New Roman" w:hAnsi="Times New Roman" w:eastAsia="仿宋_GB2312" w:cs="Times New Roman"/>
          <w:color w:val="000000"/>
          <w:sz w:val="32"/>
          <w:szCs w:val="32"/>
          <w:lang w:val="en-US" w:eastAsia="zh-CN"/>
        </w:rPr>
        <w:t>2024年</w:t>
      </w:r>
      <w:r>
        <w:rPr>
          <w:rFonts w:hint="eastAsia" w:ascii="Times New Roman" w:hAnsi="Times New Roman" w:eastAsia="仿宋_GB2312" w:cs="Times New Roman"/>
          <w:color w:val="000000"/>
          <w:sz w:val="32"/>
          <w:szCs w:val="32"/>
          <w:lang w:eastAsia="zh-CN"/>
        </w:rPr>
        <w:t>第</w:t>
      </w:r>
      <w:r>
        <w:rPr>
          <w:rFonts w:hint="eastAsia" w:ascii="Times New Roman" w:hAnsi="Times New Roman" w:eastAsia="仿宋_GB2312" w:cs="Times New Roman"/>
          <w:color w:val="000000"/>
          <w:sz w:val="32"/>
          <w:szCs w:val="32"/>
          <w:lang w:val="en-US" w:eastAsia="zh-CN"/>
        </w:rPr>
        <w:t>1次专项</w:t>
      </w:r>
      <w:r>
        <w:rPr>
          <w:rFonts w:hint="eastAsia" w:ascii="Times New Roman" w:hAnsi="Times New Roman" w:eastAsia="仿宋_GB2312" w:cs="Times New Roman"/>
          <w:color w:val="000000"/>
          <w:sz w:val="32"/>
          <w:szCs w:val="32"/>
          <w:lang w:eastAsia="zh-CN"/>
        </w:rPr>
        <w:t>检查方案印发给你们，请各项目公司、监理企业、试验检测机构及时完成自查自纠，各监督组按时间节点完成组内监督项目的检查任务</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eastAsia="zh-CN"/>
        </w:rPr>
        <w:t>各市州交通质监站对干线公路和市管水运项目的检查可参照执行。</w:t>
      </w:r>
    </w:p>
    <w:p>
      <w:pPr>
        <w:pStyle w:val="2"/>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eastAsia="仿宋_GB2312" w:cs="Times New Roman"/>
          <w:color w:val="000000"/>
          <w:sz w:val="32"/>
          <w:szCs w:val="32"/>
          <w:lang w:eastAsia="zh-CN"/>
        </w:rPr>
      </w:pPr>
      <w:r>
        <w:rPr>
          <w:rFonts w:hint="eastAsia" w:eastAsia="仿宋_GB2312" w:cs="Times New Roman"/>
          <w:color w:val="000000"/>
          <w:sz w:val="32"/>
          <w:szCs w:val="32"/>
          <w:lang w:eastAsia="zh-CN"/>
        </w:rPr>
        <w:t>特此通知。</w:t>
      </w:r>
    </w:p>
    <w:p>
      <w:pPr>
        <w:pStyle w:val="2"/>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eastAsia="仿宋_GB2312" w:cs="Times New Roman"/>
          <w:color w:val="000000"/>
          <w:spacing w:val="-6"/>
          <w:sz w:val="32"/>
          <w:szCs w:val="32"/>
          <w:lang w:eastAsia="zh-CN"/>
        </w:rPr>
      </w:pPr>
      <w:r>
        <w:rPr>
          <w:rFonts w:hint="eastAsia" w:eastAsia="仿宋_GB2312" w:cs="Times New Roman"/>
          <w:color w:val="000000"/>
          <w:spacing w:val="-6"/>
          <w:sz w:val="32"/>
          <w:szCs w:val="32"/>
          <w:lang w:eastAsia="zh-CN"/>
        </w:rPr>
        <w:t>附件：</w:t>
      </w:r>
      <w:r>
        <w:rPr>
          <w:rFonts w:hint="default" w:eastAsia="仿宋_GB2312" w:cs="Times New Roman"/>
          <w:color w:val="000000"/>
          <w:spacing w:val="-6"/>
          <w:sz w:val="32"/>
          <w:szCs w:val="32"/>
          <w:lang w:val="en-US" w:eastAsia="zh-CN"/>
        </w:rPr>
        <w:t>监理</w:t>
      </w:r>
      <w:r>
        <w:rPr>
          <w:rFonts w:hint="default" w:eastAsia="仿宋_GB2312" w:cs="Times New Roman"/>
          <w:color w:val="000000"/>
          <w:spacing w:val="-6"/>
          <w:sz w:val="32"/>
          <w:szCs w:val="32"/>
          <w:lang w:val="en" w:eastAsia="zh-CN"/>
        </w:rPr>
        <w:t>和</w:t>
      </w:r>
      <w:r>
        <w:rPr>
          <w:rFonts w:hint="default" w:eastAsia="仿宋_GB2312" w:cs="Times New Roman"/>
          <w:color w:val="000000"/>
          <w:spacing w:val="-6"/>
          <w:sz w:val="32"/>
          <w:szCs w:val="32"/>
          <w:lang w:val="en-US" w:eastAsia="zh-CN"/>
        </w:rPr>
        <w:t>检测</w:t>
      </w:r>
      <w:r>
        <w:rPr>
          <w:rFonts w:hint="eastAsia" w:eastAsia="仿宋_GB2312" w:cs="Times New Roman"/>
          <w:color w:val="000000"/>
          <w:spacing w:val="-6"/>
          <w:sz w:val="32"/>
          <w:szCs w:val="32"/>
          <w:lang w:val="en-US" w:eastAsia="zh-CN"/>
        </w:rPr>
        <w:t>行业综合治理2024年第1次专项</w:t>
      </w:r>
      <w:r>
        <w:rPr>
          <w:rFonts w:hint="default" w:eastAsia="仿宋_GB2312" w:cs="Times New Roman"/>
          <w:color w:val="000000"/>
          <w:spacing w:val="-6"/>
          <w:sz w:val="32"/>
          <w:szCs w:val="32"/>
          <w:lang w:val="en-US" w:eastAsia="zh-CN"/>
        </w:rPr>
        <w:t>检查</w:t>
      </w:r>
      <w:r>
        <w:rPr>
          <w:rFonts w:hint="default" w:eastAsia="仿宋_GB2312" w:cs="Times New Roman"/>
          <w:color w:val="000000"/>
          <w:spacing w:val="-6"/>
          <w:sz w:val="32"/>
          <w:szCs w:val="32"/>
          <w:lang w:eastAsia="zh-CN"/>
        </w:rPr>
        <w:t>方案</w:t>
      </w:r>
    </w:p>
    <w:p>
      <w:pPr>
        <w:pStyle w:val="2"/>
        <w:keepNext w:val="0"/>
        <w:keepLines w:val="0"/>
        <w:pageBreakBefore w:val="0"/>
        <w:widowControl w:val="0"/>
        <w:kinsoku/>
        <w:wordWrap/>
        <w:overflowPunct/>
        <w:topLinePunct w:val="0"/>
        <w:autoSpaceDE/>
        <w:autoSpaceDN/>
        <w:bidi w:val="0"/>
        <w:adjustRightInd/>
        <w:snapToGrid w:val="0"/>
        <w:spacing w:line="276" w:lineRule="auto"/>
        <w:ind w:left="0" w:leftChars="0" w:firstLine="0" w:firstLineChars="0"/>
        <w:jc w:val="right"/>
        <w:textAlignment w:val="auto"/>
        <w:rPr>
          <w:rFonts w:hint="eastAsia" w:eastAsia="仿宋_GB2312" w:cs="Times New Roman"/>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val="0"/>
        <w:spacing w:line="276" w:lineRule="auto"/>
        <w:ind w:left="0" w:leftChars="0" w:firstLine="0" w:firstLineChars="0"/>
        <w:jc w:val="right"/>
        <w:textAlignment w:val="auto"/>
        <w:rPr>
          <w:rFonts w:hint="eastAsia" w:eastAsia="仿宋_GB2312" w:cs="Times New Roman"/>
          <w:color w:val="000000"/>
          <w:sz w:val="32"/>
          <w:szCs w:val="32"/>
          <w:lang w:eastAsia="zh-CN"/>
        </w:rPr>
      </w:pPr>
      <w:r>
        <w:rPr>
          <w:rFonts w:hint="eastAsia" w:eastAsia="仿宋_GB2312" w:cs="Times New Roman"/>
          <w:color w:val="000000"/>
          <w:sz w:val="32"/>
          <w:szCs w:val="32"/>
          <w:lang w:eastAsia="zh-CN"/>
        </w:rPr>
        <w:t>湖南省交通建设质量安全监督管理局</w:t>
      </w:r>
    </w:p>
    <w:p>
      <w:pPr>
        <w:pStyle w:val="2"/>
        <w:keepNext w:val="0"/>
        <w:keepLines w:val="0"/>
        <w:pageBreakBefore w:val="0"/>
        <w:widowControl w:val="0"/>
        <w:kinsoku/>
        <w:wordWrap/>
        <w:overflowPunct/>
        <w:topLinePunct w:val="0"/>
        <w:autoSpaceDE/>
        <w:autoSpaceDN/>
        <w:bidi w:val="0"/>
        <w:adjustRightInd/>
        <w:snapToGrid w:val="0"/>
        <w:spacing w:line="276" w:lineRule="auto"/>
        <w:ind w:firstLine="5120" w:firstLineChars="1600"/>
        <w:jc w:val="left"/>
        <w:textAlignment w:val="auto"/>
        <w:rPr>
          <w:rFonts w:hint="eastAsia" w:eastAsia="仿宋_GB2312" w:cs="Times New Roman"/>
          <w:color w:val="000000"/>
          <w:sz w:val="32"/>
          <w:szCs w:val="32"/>
          <w:lang w:val="en-US" w:eastAsia="zh-CN"/>
        </w:rPr>
      </w:pPr>
      <w:r>
        <w:rPr>
          <w:rFonts w:hint="eastAsia" w:eastAsia="仿宋_GB2312" w:cs="Times New Roman"/>
          <w:color w:val="000000"/>
          <w:sz w:val="32"/>
          <w:szCs w:val="32"/>
          <w:lang w:val="en-US" w:eastAsia="zh-CN"/>
        </w:rPr>
        <w:t>2024年4月18日</w:t>
      </w:r>
    </w:p>
    <w:p>
      <w:pPr>
        <w:pStyle w:val="2"/>
        <w:keepNext w:val="0"/>
        <w:keepLines w:val="0"/>
        <w:pageBreakBefore w:val="0"/>
        <w:widowControl w:val="0"/>
        <w:kinsoku/>
        <w:wordWrap/>
        <w:overflowPunct/>
        <w:topLinePunct w:val="0"/>
        <w:autoSpaceDE/>
        <w:autoSpaceDN/>
        <w:bidi w:val="0"/>
        <w:adjustRightInd/>
        <w:snapToGrid w:val="0"/>
        <w:spacing w:line="276" w:lineRule="auto"/>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val="0"/>
        <w:spacing w:line="276" w:lineRule="auto"/>
        <w:ind w:left="0" w:leftChars="0" w:firstLine="0" w:firstLineChars="0"/>
        <w:jc w:val="both"/>
        <w:textAlignment w:val="auto"/>
        <w:rPr>
          <w:rFonts w:hint="eastAsia"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276" w:lineRule="auto"/>
        <w:ind w:left="0" w:leftChars="0" w:firstLine="0" w:firstLineChars="0"/>
        <w:jc w:val="center"/>
        <w:textAlignment w:val="auto"/>
        <w:rPr>
          <w:rFonts w:hint="default" w:ascii="Times New Roman" w:hAnsi="Times New Roman" w:eastAsia="方正小标宋简体" w:cs="Times New Roman"/>
          <w:sz w:val="32"/>
          <w:szCs w:val="32"/>
          <w:lang w:eastAsia="zh-CN"/>
        </w:rPr>
      </w:pPr>
      <w:r>
        <w:rPr>
          <w:rFonts w:hint="default" w:ascii="Times New Roman" w:hAnsi="Times New Roman" w:eastAsia="方正小标宋简体" w:cs="Times New Roman"/>
          <w:sz w:val="36"/>
          <w:szCs w:val="36"/>
          <w:lang w:val="en-US" w:eastAsia="zh-CN"/>
        </w:rPr>
        <w:t>监理</w:t>
      </w:r>
      <w:r>
        <w:rPr>
          <w:rFonts w:hint="default" w:ascii="Times New Roman" w:hAnsi="Times New Roman" w:eastAsia="方正小标宋简体" w:cs="Times New Roman"/>
          <w:sz w:val="36"/>
          <w:szCs w:val="36"/>
          <w:lang w:val="en" w:eastAsia="zh-CN"/>
        </w:rPr>
        <w:t>和</w:t>
      </w:r>
      <w:r>
        <w:rPr>
          <w:rFonts w:hint="default" w:ascii="Times New Roman" w:hAnsi="Times New Roman" w:eastAsia="方正小标宋简体" w:cs="Times New Roman"/>
          <w:sz w:val="36"/>
          <w:szCs w:val="36"/>
          <w:lang w:val="en-US" w:eastAsia="zh-CN"/>
        </w:rPr>
        <w:t>检测</w:t>
      </w:r>
      <w:r>
        <w:rPr>
          <w:rFonts w:hint="eastAsia" w:ascii="Times New Roman" w:hAnsi="Times New Roman" w:eastAsia="方正小标宋简体" w:cs="Times New Roman"/>
          <w:sz w:val="36"/>
          <w:szCs w:val="36"/>
          <w:lang w:val="en-US" w:eastAsia="zh-CN"/>
        </w:rPr>
        <w:t>行业综合治理2024年第1次专项</w:t>
      </w:r>
      <w:r>
        <w:rPr>
          <w:rFonts w:hint="default" w:ascii="Times New Roman" w:hAnsi="Times New Roman" w:eastAsia="方正小标宋简体" w:cs="Times New Roman"/>
          <w:sz w:val="36"/>
          <w:szCs w:val="36"/>
          <w:lang w:val="en-US" w:eastAsia="zh-CN"/>
        </w:rPr>
        <w:t>检查</w:t>
      </w:r>
      <w:r>
        <w:rPr>
          <w:rFonts w:hint="default" w:ascii="Times New Roman" w:hAnsi="Times New Roman" w:eastAsia="方正小标宋简体" w:cs="Times New Roman"/>
          <w:sz w:val="36"/>
          <w:szCs w:val="36"/>
          <w:lang w:eastAsia="zh-CN"/>
        </w:rPr>
        <w:t>方案</w:t>
      </w:r>
    </w:p>
    <w:p>
      <w:pPr>
        <w:keepNext w:val="0"/>
        <w:keepLines w:val="0"/>
        <w:pageBreakBefore w:val="0"/>
        <w:widowControl w:val="0"/>
        <w:kinsoku/>
        <w:wordWrap/>
        <w:overflowPunct/>
        <w:topLinePunct w:val="0"/>
        <w:autoSpaceDE/>
        <w:autoSpaceDN/>
        <w:bidi w:val="0"/>
        <w:adjustRightInd/>
        <w:snapToGrid w:val="0"/>
        <w:spacing w:line="312" w:lineRule="auto"/>
        <w:ind w:firstLine="640" w:firstLineChars="200"/>
        <w:textAlignment w:val="auto"/>
        <w:rPr>
          <w:rFonts w:hint="default" w:ascii="黑体" w:hAnsi="黑体" w:eastAsia="黑体" w:cs="Times New Roman"/>
          <w:b w:val="0"/>
          <w:bCs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312" w:lineRule="auto"/>
        <w:ind w:firstLine="640" w:firstLineChars="200"/>
        <w:textAlignment w:val="auto"/>
        <w:rPr>
          <w:rFonts w:hint="default" w:ascii="黑体" w:hAnsi="黑体" w:eastAsia="黑体" w:cs="Times New Roman"/>
          <w:b w:val="0"/>
          <w:bCs w:val="0"/>
          <w:color w:val="auto"/>
          <w:kern w:val="0"/>
          <w:sz w:val="32"/>
          <w:szCs w:val="32"/>
          <w:lang w:val="en-US" w:eastAsia="zh-CN" w:bidi="ar-SA"/>
        </w:rPr>
      </w:pPr>
      <w:r>
        <w:rPr>
          <w:rFonts w:hint="default" w:ascii="黑体" w:hAnsi="黑体" w:eastAsia="黑体" w:cs="Times New Roman"/>
          <w:b w:val="0"/>
          <w:bCs w:val="0"/>
          <w:color w:val="auto"/>
          <w:kern w:val="0"/>
          <w:sz w:val="32"/>
          <w:szCs w:val="32"/>
          <w:lang w:val="en-US" w:eastAsia="zh-CN" w:bidi="ar-SA"/>
        </w:rPr>
        <w:t>一、工作目标</w:t>
      </w:r>
    </w:p>
    <w:p>
      <w:pPr>
        <w:keepNext w:val="0"/>
        <w:keepLines w:val="0"/>
        <w:pageBreakBefore w:val="0"/>
        <w:widowControl w:val="0"/>
        <w:kinsoku/>
        <w:wordWrap/>
        <w:overflowPunct/>
        <w:topLinePunct w:val="0"/>
        <w:autoSpaceDE/>
        <w:autoSpaceDN/>
        <w:bidi w:val="0"/>
        <w:adjustRightInd/>
        <w:snapToGrid w:val="0"/>
        <w:spacing w:line="312" w:lineRule="auto"/>
        <w:ind w:firstLine="645"/>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 w:eastAsia="zh-CN"/>
        </w:rPr>
        <w:t>以习近平新时代中国特色社会主义思想为指导，按</w:t>
      </w:r>
      <w:r>
        <w:rPr>
          <w:rFonts w:hint="eastAsia" w:ascii="仿宋" w:hAnsi="仿宋" w:eastAsia="仿宋" w:cs="仿宋"/>
          <w:color w:val="000000"/>
          <w:sz w:val="32"/>
          <w:szCs w:val="32"/>
          <w:lang w:val="en" w:eastAsia="zh-CN"/>
        </w:rPr>
        <w:t>照“建设交通强国”及“立足新发展阶段、贯彻新发展理念、构建新发展格局”要求，将</w:t>
      </w:r>
      <w:r>
        <w:rPr>
          <w:rFonts w:hint="default" w:ascii="Times New Roman" w:hAnsi="Times New Roman" w:eastAsia="仿宋_GB2312" w:cs="Times New Roman"/>
          <w:color w:val="000000"/>
          <w:sz w:val="32"/>
          <w:szCs w:val="32"/>
          <w:lang w:val="en-US" w:eastAsia="zh-CN"/>
        </w:rPr>
        <w:t>监理检测行业</w:t>
      </w:r>
      <w:r>
        <w:rPr>
          <w:rFonts w:hint="eastAsia" w:ascii="Times New Roman" w:hAnsi="Times New Roman" w:eastAsia="仿宋_GB2312" w:cs="Times New Roman"/>
          <w:color w:val="000000"/>
          <w:sz w:val="32"/>
          <w:szCs w:val="32"/>
          <w:lang w:val="en-US" w:eastAsia="zh-CN"/>
        </w:rPr>
        <w:t>持续</w:t>
      </w:r>
      <w:r>
        <w:rPr>
          <w:rFonts w:hint="default" w:ascii="Times New Roman" w:hAnsi="Times New Roman" w:eastAsia="仿宋_GB2312" w:cs="Times New Roman"/>
          <w:color w:val="000000"/>
          <w:sz w:val="32"/>
          <w:szCs w:val="32"/>
          <w:lang w:val="en-US" w:eastAsia="zh-CN"/>
        </w:rPr>
        <w:t>综合治理</w:t>
      </w:r>
      <w:r>
        <w:rPr>
          <w:rFonts w:hint="eastAsia" w:ascii="Times New Roman" w:hAnsi="Times New Roman" w:eastAsia="仿宋_GB2312" w:cs="Times New Roman"/>
          <w:color w:val="000000"/>
          <w:sz w:val="32"/>
          <w:szCs w:val="32"/>
          <w:lang w:val="en-US" w:eastAsia="zh-CN"/>
        </w:rPr>
        <w:t>和监理检测信用评价日常检查相结合</w:t>
      </w:r>
      <w:r>
        <w:rPr>
          <w:rFonts w:hint="default" w:ascii="Times New Roman" w:hAnsi="Times New Roman" w:eastAsia="仿宋_GB2312" w:cs="Times New Roman"/>
          <w:color w:val="000000"/>
          <w:sz w:val="32"/>
          <w:szCs w:val="32"/>
          <w:lang w:val="en" w:eastAsia="zh-CN"/>
        </w:rPr>
        <w:t>。</w:t>
      </w:r>
      <w:r>
        <w:rPr>
          <w:rFonts w:hint="default" w:ascii="Times New Roman" w:hAnsi="Times New Roman" w:eastAsia="仿宋_GB2312" w:cs="Times New Roman"/>
          <w:b w:val="0"/>
          <w:bCs w:val="0"/>
          <w:sz w:val="32"/>
          <w:szCs w:val="32"/>
          <w:highlight w:val="none"/>
          <w:lang w:val="en-US" w:eastAsia="zh-CN"/>
        </w:rPr>
        <w:t>整治重点为</w:t>
      </w:r>
      <w:r>
        <w:rPr>
          <w:rFonts w:hint="eastAsia" w:ascii="Times New Roman" w:hAnsi="Times New Roman" w:eastAsia="仿宋_GB2312" w:cs="Times New Roman"/>
          <w:b w:val="0"/>
          <w:bCs w:val="0"/>
          <w:sz w:val="32"/>
          <w:szCs w:val="32"/>
          <w:highlight w:val="none"/>
          <w:lang w:val="en-US" w:eastAsia="zh-CN"/>
        </w:rPr>
        <w:t>监理企业或母体检测机构定期核查不达标、</w:t>
      </w:r>
      <w:r>
        <w:rPr>
          <w:rFonts w:hint="default" w:ascii="Times New Roman" w:hAnsi="Times New Roman" w:eastAsia="仿宋_GB2312" w:cs="Times New Roman"/>
          <w:b w:val="0"/>
          <w:bCs w:val="0"/>
          <w:sz w:val="32"/>
          <w:szCs w:val="32"/>
          <w:highlight w:val="none"/>
          <w:lang w:val="en-US" w:eastAsia="zh-CN"/>
        </w:rPr>
        <w:t>出具假数据假报告、超资质借资质从业、人员无证上岗、</w:t>
      </w:r>
      <w:r>
        <w:rPr>
          <w:rFonts w:hint="eastAsia" w:ascii="Times New Roman" w:hAnsi="Times New Roman" w:eastAsia="仿宋_GB2312" w:cs="Times New Roman"/>
          <w:b w:val="0"/>
          <w:bCs w:val="0"/>
          <w:sz w:val="32"/>
          <w:szCs w:val="32"/>
          <w:highlight w:val="none"/>
          <w:lang w:val="en-US" w:eastAsia="zh-CN"/>
        </w:rPr>
        <w:t>严重违法操作规程、</w:t>
      </w:r>
      <w:r>
        <w:rPr>
          <w:rFonts w:hint="default" w:ascii="Times New Roman" w:hAnsi="Times New Roman" w:eastAsia="仿宋_GB2312" w:cs="Times New Roman"/>
          <w:b w:val="0"/>
          <w:bCs w:val="0"/>
          <w:sz w:val="32"/>
          <w:szCs w:val="32"/>
          <w:highlight w:val="none"/>
          <w:lang w:val="en-US" w:eastAsia="zh-CN"/>
        </w:rPr>
        <w:t>索拿卡要、违规</w:t>
      </w:r>
      <w:r>
        <w:rPr>
          <w:rFonts w:hint="eastAsia" w:ascii="Times New Roman" w:hAnsi="Times New Roman" w:eastAsia="仿宋_GB2312" w:cs="Times New Roman"/>
          <w:b w:val="0"/>
          <w:bCs w:val="0"/>
          <w:sz w:val="32"/>
          <w:szCs w:val="32"/>
          <w:highlight w:val="none"/>
          <w:lang w:val="en-US" w:eastAsia="zh-CN"/>
        </w:rPr>
        <w:t>收取</w:t>
      </w:r>
      <w:r>
        <w:rPr>
          <w:rFonts w:hint="default" w:ascii="Times New Roman" w:hAnsi="Times New Roman" w:eastAsia="仿宋_GB2312" w:cs="Times New Roman"/>
          <w:b w:val="0"/>
          <w:bCs w:val="0"/>
          <w:sz w:val="32"/>
          <w:szCs w:val="32"/>
          <w:highlight w:val="none"/>
          <w:lang w:val="en-US" w:eastAsia="zh-CN"/>
        </w:rPr>
        <w:t>加班费、不作为慢作为等行为。</w:t>
      </w:r>
    </w:p>
    <w:p>
      <w:pPr>
        <w:pStyle w:val="1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12" w:lineRule="auto"/>
        <w:ind w:right="31" w:firstLine="640" w:firstLineChars="200"/>
        <w:textAlignment w:val="auto"/>
        <w:rPr>
          <w:rFonts w:hint="eastAsia"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二</w:t>
      </w:r>
      <w:r>
        <w:rPr>
          <w:rFonts w:hint="default" w:ascii="Times New Roman" w:hAnsi="Times New Roman" w:eastAsia="黑体" w:cs="Times New Roman"/>
          <w:b w:val="0"/>
          <w:bCs w:val="0"/>
          <w:color w:val="000000"/>
          <w:sz w:val="32"/>
          <w:szCs w:val="32"/>
        </w:rPr>
        <w:t>、</w:t>
      </w:r>
      <w:r>
        <w:rPr>
          <w:rFonts w:hint="eastAsia" w:ascii="黑体" w:hAnsi="黑体" w:eastAsia="黑体" w:cs="Times New Roman"/>
          <w:b w:val="0"/>
          <w:bCs w:val="0"/>
          <w:color w:val="auto"/>
          <w:sz w:val="32"/>
          <w:szCs w:val="32"/>
          <w:lang w:eastAsia="zh-CN"/>
        </w:rPr>
        <w:t>检查实施</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645"/>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（一）自查自纠（2024年4月19日-5月6日）</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645"/>
        <w:textAlignment w:val="auto"/>
        <w:rPr>
          <w:rFonts w:hint="default" w:eastAsia="仿宋_GB2312" w:cs="Times New Roman"/>
          <w:color w:val="000000"/>
          <w:sz w:val="32"/>
          <w:szCs w:val="32"/>
          <w:lang w:val="en-US" w:eastAsia="zh-CN"/>
        </w:rPr>
      </w:pPr>
      <w:r>
        <w:rPr>
          <w:rFonts w:hint="eastAsia" w:eastAsia="仿宋_GB2312" w:cs="Times New Roman"/>
          <w:color w:val="000000"/>
          <w:sz w:val="32"/>
          <w:szCs w:val="32"/>
          <w:lang w:val="en-US" w:eastAsia="zh-CN"/>
        </w:rPr>
        <w:t>监理企业对各现场监理机构，试验检测母体机构对各工地试验室、现场检测项目进行全覆盖自查；建设单位对监理机构、工地试验室（含分试验室）、现场检测项目进行全覆盖检查。上述检查均应有检查记录和整改闭合资料，建设单位应将检查情况发文通报，发现监理、检测机构有违约或失信行为的，按规定进行处理处罚。</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645"/>
        <w:textAlignment w:val="auto"/>
        <w:rPr>
          <w:rFonts w:hint="default"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（二）专项检查阶段（2024年5月7日-6月30日）</w:t>
      </w:r>
    </w:p>
    <w:p>
      <w:pPr>
        <w:pStyle w:val="1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12" w:lineRule="auto"/>
        <w:ind w:right="31"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我局对省内监理企业、试验检测母体机构、高速公路和重点水运工程建设单位、现场监理机构、工地试验室、现场检测项目进行抽查，</w:t>
      </w:r>
      <w:r>
        <w:rPr>
          <w:rFonts w:hint="eastAsia" w:ascii="Times New Roman" w:hAnsi="Times New Roman" w:eastAsia="仿宋_GB2312" w:cs="Times New Roman"/>
          <w:b w:val="0"/>
          <w:bCs w:val="0"/>
          <w:sz w:val="32"/>
          <w:szCs w:val="32"/>
          <w:highlight w:val="none"/>
          <w:lang w:val="en-US" w:eastAsia="zh-CN"/>
        </w:rPr>
        <w:t>重点督查省厅和我局关注项目、季度讲评会表态发言单位、高速公路互通工程、涉铁工程等。</w:t>
      </w:r>
    </w:p>
    <w:p>
      <w:pPr>
        <w:pStyle w:val="1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12" w:lineRule="auto"/>
        <w:ind w:right="31"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仿宋_GB2312" w:hAnsi="仿宋_GB2312" w:eastAsia="仿宋_GB2312" w:cs="仿宋_GB2312"/>
          <w:color w:val="auto"/>
          <w:sz w:val="32"/>
          <w:szCs w:val="32"/>
          <w:lang w:eastAsia="zh-CN"/>
        </w:rPr>
        <w:t>其中，省内监理企业、试验检测母体机构覆盖三分之一；高速公路和重点水运工程建设单位工作情况</w:t>
      </w:r>
      <w:r>
        <w:rPr>
          <w:rFonts w:hint="eastAsia" w:ascii="仿宋_GB2312" w:hAnsi="仿宋_GB2312" w:eastAsia="仿宋_GB2312" w:cs="仿宋_GB2312"/>
          <w:color w:val="auto"/>
          <w:sz w:val="32"/>
          <w:szCs w:val="32"/>
        </w:rPr>
        <w:t>必查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监理</w:t>
      </w:r>
      <w:r>
        <w:rPr>
          <w:rFonts w:hint="eastAsia" w:ascii="仿宋_GB2312" w:hAnsi="仿宋_GB2312" w:eastAsia="仿宋_GB2312" w:cs="仿宋_GB2312"/>
          <w:color w:val="auto"/>
          <w:sz w:val="32"/>
          <w:szCs w:val="32"/>
          <w:lang w:eastAsia="zh-CN"/>
        </w:rPr>
        <w:t>机构全覆盖检查，工地试验室、现场检测项目</w:t>
      </w:r>
      <w:r>
        <w:rPr>
          <w:rFonts w:hint="eastAsia" w:ascii="仿宋_GB2312" w:hAnsi="仿宋_GB2312" w:eastAsia="仿宋_GB2312" w:cs="仿宋_GB2312"/>
          <w:color w:val="auto"/>
          <w:sz w:val="32"/>
          <w:szCs w:val="32"/>
        </w:rPr>
        <w:t>随机抽查1/2且不少于</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，少于</w:t>
      </w:r>
      <w:r>
        <w:rPr>
          <w:rFonts w:hint="eastAsia" w:ascii="仿宋_GB2312" w:hAnsi="仿宋_GB2312" w:eastAsia="仿宋_GB2312" w:cs="仿宋_GB2312"/>
          <w:color w:val="auto"/>
          <w:sz w:val="32"/>
          <w:szCs w:val="32"/>
          <w:lang w:val="en-US" w:eastAsia="zh-CN"/>
        </w:rPr>
        <w:t>10个的全部检查</w:t>
      </w:r>
      <w:r>
        <w:rPr>
          <w:rFonts w:hint="eastAsia" w:ascii="仿宋_GB2312" w:hAnsi="仿宋_GB2312" w:eastAsia="仿宋_GB2312" w:cs="仿宋_GB2312"/>
          <w:color w:val="auto"/>
          <w:sz w:val="32"/>
          <w:szCs w:val="32"/>
        </w:rPr>
        <w:t>。具体检查时间由各</w:t>
      </w:r>
      <w:r>
        <w:rPr>
          <w:rFonts w:hint="eastAsia" w:ascii="仿宋_GB2312" w:hAnsi="仿宋_GB2312" w:eastAsia="仿宋_GB2312" w:cs="仿宋_GB2312"/>
          <w:color w:val="auto"/>
          <w:sz w:val="32"/>
          <w:szCs w:val="32"/>
          <w:lang w:eastAsia="zh-CN"/>
        </w:rPr>
        <w:t>检查</w:t>
      </w:r>
      <w:r>
        <w:rPr>
          <w:rFonts w:hint="eastAsia" w:ascii="仿宋_GB2312" w:hAnsi="仿宋_GB2312" w:eastAsia="仿宋_GB2312" w:cs="仿宋_GB2312"/>
          <w:color w:val="auto"/>
          <w:sz w:val="32"/>
          <w:szCs w:val="32"/>
        </w:rPr>
        <w:t>组根据工作安排自行确定。</w:t>
      </w:r>
    </w:p>
    <w:p>
      <w:pPr>
        <w:keepNext w:val="0"/>
        <w:keepLines w:val="0"/>
        <w:pageBreakBefore w:val="0"/>
        <w:widowControl w:val="0"/>
        <w:kinsoku/>
        <w:wordWrap/>
        <w:overflowPunct/>
        <w:topLinePunct w:val="0"/>
        <w:autoSpaceDE/>
        <w:autoSpaceDN/>
        <w:bidi w:val="0"/>
        <w:adjustRightInd/>
        <w:snapToGrid w:val="0"/>
        <w:spacing w:line="312" w:lineRule="auto"/>
        <w:ind w:firstLine="645"/>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eastAsia="zh-CN"/>
        </w:rPr>
        <w:t>三</w:t>
      </w:r>
      <w:r>
        <w:rPr>
          <w:rFonts w:hint="default" w:ascii="Times New Roman" w:hAnsi="Times New Roman" w:eastAsia="黑体" w:cs="Times New Roman"/>
          <w:b w:val="0"/>
          <w:bCs w:val="0"/>
          <w:color w:val="000000"/>
          <w:sz w:val="32"/>
          <w:szCs w:val="32"/>
        </w:rPr>
        <w:t>、</w:t>
      </w:r>
      <w:r>
        <w:rPr>
          <w:rFonts w:hint="eastAsia" w:ascii="黑体" w:hAnsi="黑体" w:eastAsia="黑体" w:cs="Times New Roman"/>
          <w:b w:val="0"/>
          <w:bCs w:val="0"/>
          <w:color w:val="auto"/>
          <w:sz w:val="32"/>
          <w:szCs w:val="32"/>
          <w:lang w:val="zh-CN" w:eastAsia="zh-CN"/>
        </w:rPr>
        <w:t>检查主要内容</w:t>
      </w:r>
    </w:p>
    <w:p>
      <w:pPr>
        <w:keepNext w:val="0"/>
        <w:keepLines w:val="0"/>
        <w:pageBreakBefore w:val="0"/>
        <w:widowControl w:val="0"/>
        <w:kinsoku/>
        <w:wordWrap/>
        <w:overflowPunct/>
        <w:topLinePunct w:val="0"/>
        <w:autoSpaceDE/>
        <w:autoSpaceDN/>
        <w:bidi w:val="0"/>
        <w:adjustRightInd/>
        <w:snapToGrid w:val="0"/>
        <w:spacing w:line="312" w:lineRule="auto"/>
        <w:ind w:firstLine="645"/>
        <w:textAlignment w:val="auto"/>
        <w:rPr>
          <w:rFonts w:hint="default" w:ascii="仿宋_GB2312" w:hAnsi="Times New Roman" w:eastAsia="仿宋_GB2312" w:cs="Times New Roman"/>
          <w:color w:val="000000"/>
          <w:kern w:val="2"/>
          <w:sz w:val="32"/>
          <w:szCs w:val="32"/>
          <w:lang w:val="en-US" w:eastAsia="zh-CN" w:bidi="ar-SA"/>
        </w:rPr>
      </w:pPr>
      <w:r>
        <w:rPr>
          <w:rFonts w:hint="default" w:ascii="仿宋_GB2312" w:hAnsi="Times New Roman" w:eastAsia="仿宋_GB2312" w:cs="Times New Roman"/>
          <w:color w:val="000000"/>
          <w:kern w:val="2"/>
          <w:sz w:val="32"/>
          <w:szCs w:val="32"/>
          <w:lang w:val="en" w:eastAsia="zh-CN" w:bidi="ar-SA"/>
        </w:rPr>
        <w:t>（一）</w:t>
      </w:r>
      <w:r>
        <w:rPr>
          <w:rFonts w:hint="eastAsia" w:ascii="仿宋_GB2312" w:hAnsi="Times New Roman" w:eastAsia="仿宋_GB2312" w:cs="Times New Roman"/>
          <w:color w:val="000000"/>
          <w:kern w:val="2"/>
          <w:sz w:val="32"/>
          <w:szCs w:val="32"/>
          <w:lang w:val="en" w:eastAsia="zh-CN" w:bidi="ar-SA"/>
        </w:rPr>
        <w:t>建设单位</w:t>
      </w:r>
      <w:r>
        <w:rPr>
          <w:rFonts w:hint="eastAsia" w:ascii="仿宋_GB2312" w:hAnsi="Times New Roman" w:eastAsia="仿宋_GB2312" w:cs="Times New Roman"/>
          <w:color w:val="000000"/>
          <w:kern w:val="2"/>
          <w:sz w:val="32"/>
          <w:szCs w:val="32"/>
          <w:lang w:val="en-US" w:eastAsia="zh-CN" w:bidi="ar-SA"/>
        </w:rPr>
        <w:t>管理机构设置情况；对</w:t>
      </w:r>
      <w:r>
        <w:rPr>
          <w:rFonts w:hint="default" w:ascii="仿宋_GB2312" w:hAnsi="Times New Roman" w:eastAsia="仿宋_GB2312" w:cs="Times New Roman"/>
          <w:color w:val="000000"/>
          <w:kern w:val="2"/>
          <w:sz w:val="32"/>
          <w:szCs w:val="32"/>
          <w:lang w:val="en-US" w:eastAsia="zh-CN" w:bidi="ar-SA"/>
        </w:rPr>
        <w:t>监理机构、</w:t>
      </w:r>
      <w:r>
        <w:rPr>
          <w:rFonts w:hint="eastAsia" w:ascii="仿宋_GB2312" w:hAnsi="Times New Roman" w:eastAsia="仿宋_GB2312" w:cs="Times New Roman"/>
          <w:color w:val="000000"/>
          <w:kern w:val="2"/>
          <w:sz w:val="32"/>
          <w:szCs w:val="32"/>
          <w:lang w:val="en-US" w:eastAsia="zh-CN" w:bidi="ar-SA"/>
        </w:rPr>
        <w:t>工地试验室及现场检测项目日常管理和此次专项检查情况；负面清单管理情况，关键数据监管状况；</w:t>
      </w:r>
      <w:r>
        <w:rPr>
          <w:rFonts w:hint="default" w:ascii="仿宋_GB2312" w:hAnsi="Times New Roman" w:eastAsia="仿宋_GB2312" w:cs="Times New Roman"/>
          <w:color w:val="000000"/>
          <w:kern w:val="2"/>
          <w:sz w:val="32"/>
          <w:szCs w:val="32"/>
          <w:lang w:val="en-US" w:eastAsia="zh-CN" w:bidi="ar-SA"/>
        </w:rPr>
        <w:t>监理、检测</w:t>
      </w:r>
      <w:r>
        <w:rPr>
          <w:rFonts w:hint="eastAsia" w:ascii="仿宋_GB2312" w:hAnsi="Times New Roman" w:eastAsia="仿宋_GB2312" w:cs="Times New Roman"/>
          <w:color w:val="000000"/>
          <w:kern w:val="2"/>
          <w:sz w:val="32"/>
          <w:szCs w:val="32"/>
          <w:lang w:val="en-US" w:eastAsia="zh-CN" w:bidi="ar-SA"/>
        </w:rPr>
        <w:t>信用评价</w:t>
      </w:r>
      <w:r>
        <w:rPr>
          <w:rFonts w:hint="default" w:ascii="仿宋_GB2312" w:hAnsi="Times New Roman" w:eastAsia="仿宋_GB2312" w:cs="Times New Roman"/>
          <w:color w:val="000000"/>
          <w:kern w:val="2"/>
          <w:sz w:val="32"/>
          <w:szCs w:val="32"/>
          <w:lang w:val="en-US" w:eastAsia="zh-CN" w:bidi="ar-SA"/>
        </w:rPr>
        <w:t>日常</w:t>
      </w:r>
      <w:r>
        <w:rPr>
          <w:rFonts w:hint="eastAsia" w:ascii="仿宋_GB2312" w:hAnsi="Times New Roman" w:eastAsia="仿宋_GB2312" w:cs="Times New Roman"/>
          <w:color w:val="000000"/>
          <w:kern w:val="2"/>
          <w:sz w:val="32"/>
          <w:szCs w:val="32"/>
          <w:lang w:val="en-US" w:eastAsia="zh-CN" w:bidi="ar-SA"/>
        </w:rPr>
        <w:t>管理工作</w:t>
      </w:r>
      <w:r>
        <w:rPr>
          <w:rFonts w:hint="default" w:ascii="仿宋_GB2312" w:hAnsi="Times New Roman" w:eastAsia="仿宋_GB2312" w:cs="Times New Roman"/>
          <w:color w:val="00000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eastAsia="仿宋_GB2312" w:cs="Times New Roman"/>
          <w:color w:val="000000"/>
          <w:kern w:val="2"/>
          <w:sz w:val="32"/>
          <w:szCs w:val="32"/>
          <w:lang w:val="en-US" w:eastAsia="zh-CN" w:bidi="ar-SA"/>
        </w:rPr>
        <w:t>（二）</w:t>
      </w:r>
      <w:r>
        <w:rPr>
          <w:rFonts w:hint="eastAsia" w:ascii="仿宋_GB2312" w:hAnsi="Times New Roman" w:eastAsia="仿宋_GB2312" w:cs="Times New Roman"/>
          <w:sz w:val="32"/>
          <w:szCs w:val="32"/>
          <w:lang w:val="en-US" w:eastAsia="zh-CN"/>
        </w:rPr>
        <w:t>省内监理企业、试验检测母体机构开展定期核查：监理企业、检测机构持证人员数量及证书专业配置、相关专业高级职称人数及专业配置、社保购买情况、企业负责人、技术负责人、质量负责人资格资历等方面。</w:t>
      </w:r>
    </w:p>
    <w:p>
      <w:pPr>
        <w:keepNext w:val="0"/>
        <w:keepLines w:val="0"/>
        <w:pageBreakBefore w:val="0"/>
        <w:widowControl w:val="0"/>
        <w:kinsoku/>
        <w:wordWrap/>
        <w:overflowPunct/>
        <w:topLinePunct w:val="0"/>
        <w:autoSpaceDE/>
        <w:autoSpaceDN/>
        <w:bidi w:val="0"/>
        <w:adjustRightInd/>
        <w:snapToGrid w:val="0"/>
        <w:spacing w:line="312" w:lineRule="auto"/>
        <w:ind w:firstLine="645"/>
        <w:textAlignment w:val="auto"/>
        <w:rPr>
          <w:rFonts w:hint="default" w:ascii="仿宋_GB2312" w:hAnsi="Times New Roman" w:eastAsia="仿宋_GB2312" w:cs="Times New Roman"/>
          <w:color w:val="000000"/>
          <w:kern w:val="2"/>
          <w:sz w:val="32"/>
          <w:szCs w:val="32"/>
          <w:lang w:val="en-US" w:eastAsia="zh-CN" w:bidi="ar-SA"/>
        </w:rPr>
      </w:pPr>
      <w:r>
        <w:rPr>
          <w:rFonts w:hint="default" w:ascii="仿宋_GB2312" w:hAnsi="Times New Roman" w:eastAsia="仿宋_GB2312" w:cs="Times New Roman"/>
          <w:color w:val="000000"/>
          <w:kern w:val="2"/>
          <w:sz w:val="32"/>
          <w:szCs w:val="32"/>
          <w:lang w:val="en" w:eastAsia="zh-CN" w:bidi="ar-SA"/>
        </w:rPr>
        <w:t>（</w:t>
      </w:r>
      <w:r>
        <w:rPr>
          <w:rFonts w:hint="eastAsia" w:ascii="仿宋_GB2312" w:hAnsi="Times New Roman" w:eastAsia="仿宋_GB2312" w:cs="Times New Roman"/>
          <w:color w:val="000000"/>
          <w:kern w:val="2"/>
          <w:sz w:val="32"/>
          <w:szCs w:val="32"/>
          <w:lang w:val="en" w:eastAsia="zh-CN" w:bidi="ar-SA"/>
        </w:rPr>
        <w:t>三</w:t>
      </w:r>
      <w:r>
        <w:rPr>
          <w:rFonts w:hint="default" w:ascii="仿宋_GB2312" w:hAnsi="Times New Roman" w:eastAsia="仿宋_GB2312" w:cs="Times New Roman"/>
          <w:color w:val="000000"/>
          <w:kern w:val="2"/>
          <w:sz w:val="32"/>
          <w:szCs w:val="32"/>
          <w:lang w:val="en" w:eastAsia="zh-CN" w:bidi="ar-SA"/>
        </w:rPr>
        <w:t>）</w:t>
      </w:r>
      <w:r>
        <w:rPr>
          <w:rFonts w:hint="eastAsia" w:ascii="仿宋_GB2312" w:hAnsi="Times New Roman" w:eastAsia="仿宋_GB2312" w:cs="Times New Roman"/>
          <w:color w:val="000000"/>
          <w:kern w:val="2"/>
          <w:sz w:val="32"/>
          <w:szCs w:val="32"/>
          <w:lang w:val="en-US" w:eastAsia="zh-CN" w:bidi="ar-SA"/>
        </w:rPr>
        <w:t>施工、监理单位工地试验室和现场检测项目是否存在假数据、假报告；是否有借资质或超范围承揽业务；检测人员和监理人员是否持证上岗，有无“索拿卡要”行为，有无收取加班费行为；</w:t>
      </w:r>
      <w:r>
        <w:rPr>
          <w:rFonts w:hint="eastAsia" w:ascii="仿宋_GB2312" w:hAnsi="Times New Roman" w:eastAsia="仿宋_GB2312" w:cs="Times New Roman"/>
          <w:color w:val="000000"/>
          <w:kern w:val="2"/>
          <w:sz w:val="32"/>
          <w:szCs w:val="32"/>
          <w:lang w:val="en" w:eastAsia="zh-CN" w:bidi="ar-SA"/>
        </w:rPr>
        <w:t>现场</w:t>
      </w:r>
      <w:r>
        <w:rPr>
          <w:rFonts w:hint="default" w:ascii="仿宋_GB2312" w:hAnsi="Times New Roman" w:eastAsia="仿宋_GB2312" w:cs="Times New Roman"/>
          <w:color w:val="000000"/>
          <w:kern w:val="2"/>
          <w:sz w:val="32"/>
          <w:szCs w:val="32"/>
          <w:lang w:val="en" w:eastAsia="zh-CN" w:bidi="ar-SA"/>
        </w:rPr>
        <w:t>检测项目合同</w:t>
      </w:r>
      <w:r>
        <w:rPr>
          <w:rFonts w:hint="eastAsia" w:ascii="仿宋_GB2312" w:hAnsi="Times New Roman" w:eastAsia="仿宋_GB2312" w:cs="Times New Roman"/>
          <w:color w:val="000000"/>
          <w:kern w:val="2"/>
          <w:sz w:val="32"/>
          <w:szCs w:val="32"/>
          <w:lang w:val="en" w:eastAsia="zh-CN" w:bidi="ar-SA"/>
        </w:rPr>
        <w:t>是否及时签订</w:t>
      </w:r>
      <w:r>
        <w:rPr>
          <w:rFonts w:hint="default" w:ascii="仿宋_GB2312" w:hAnsi="Times New Roman" w:eastAsia="仿宋_GB2312" w:cs="Times New Roman"/>
          <w:color w:val="000000"/>
          <w:kern w:val="2"/>
          <w:sz w:val="32"/>
          <w:szCs w:val="32"/>
          <w:lang w:val="en" w:eastAsia="zh-CN" w:bidi="ar-SA"/>
        </w:rPr>
        <w:t>；检测规程实施情况；</w:t>
      </w:r>
      <w:r>
        <w:rPr>
          <w:rFonts w:hint="eastAsia" w:ascii="仿宋_GB2312" w:hAnsi="Times New Roman" w:eastAsia="仿宋_GB2312" w:cs="Times New Roman"/>
          <w:color w:val="000000"/>
          <w:kern w:val="2"/>
          <w:sz w:val="32"/>
          <w:szCs w:val="32"/>
          <w:lang w:val="en-US" w:eastAsia="zh-CN" w:bidi="ar-SA"/>
        </w:rPr>
        <w:t>检测指标及频率是否满足要求；仪器设备、试验环境是否满足要求；检测记录、报告是否按规范出具。</w:t>
      </w:r>
    </w:p>
    <w:p>
      <w:pPr>
        <w:keepNext w:val="0"/>
        <w:keepLines w:val="0"/>
        <w:pageBreakBefore w:val="0"/>
        <w:widowControl w:val="0"/>
        <w:kinsoku/>
        <w:wordWrap/>
        <w:overflowPunct/>
        <w:topLinePunct w:val="0"/>
        <w:autoSpaceDE/>
        <w:autoSpaceDN/>
        <w:bidi w:val="0"/>
        <w:adjustRightInd/>
        <w:snapToGrid w:val="0"/>
        <w:spacing w:line="312" w:lineRule="auto"/>
        <w:ind w:firstLine="645"/>
        <w:textAlignment w:val="auto"/>
        <w:rPr>
          <w:rFonts w:hint="default" w:ascii="仿宋_GB2312" w:hAnsi="Times New Roman" w:eastAsia="仿宋_GB2312" w:cs="Times New Roman"/>
          <w:color w:val="000000"/>
          <w:kern w:val="2"/>
          <w:sz w:val="32"/>
          <w:szCs w:val="32"/>
          <w:lang w:val="en" w:eastAsia="zh-CN" w:bidi="ar-SA"/>
        </w:rPr>
      </w:pPr>
      <w:r>
        <w:rPr>
          <w:rFonts w:hint="default" w:ascii="仿宋_GB2312" w:hAnsi="Times New Roman" w:eastAsia="仿宋_GB2312"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四</w:t>
      </w:r>
      <w:r>
        <w:rPr>
          <w:rFonts w:hint="default" w:ascii="仿宋_GB2312" w:hAnsi="Times New Roman" w:eastAsia="仿宋_GB2312"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监理机构</w:t>
      </w:r>
      <w:r>
        <w:rPr>
          <w:rFonts w:hint="default" w:ascii="仿宋_GB2312" w:hAnsi="Times New Roman" w:eastAsia="仿宋_GB2312" w:cs="Times New Roman"/>
          <w:color w:val="000000"/>
          <w:kern w:val="2"/>
          <w:sz w:val="32"/>
          <w:szCs w:val="32"/>
          <w:lang w:val="en" w:eastAsia="zh-CN" w:bidi="ar-SA"/>
        </w:rPr>
        <w:t>按</w:t>
      </w:r>
      <w:r>
        <w:rPr>
          <w:rFonts w:hint="eastAsia" w:ascii="仿宋_GB2312" w:hAnsi="Times New Roman" w:eastAsia="仿宋_GB2312" w:cs="Times New Roman"/>
          <w:color w:val="000000"/>
          <w:kern w:val="2"/>
          <w:sz w:val="32"/>
          <w:szCs w:val="32"/>
          <w:lang w:val="en-US" w:eastAsia="zh-CN" w:bidi="ar-SA"/>
        </w:rPr>
        <w:t>监理规范执行落实情况；</w:t>
      </w:r>
      <w:r>
        <w:rPr>
          <w:rFonts w:hint="default" w:ascii="仿宋_GB2312" w:hAnsi="Times New Roman" w:eastAsia="仿宋_GB2312" w:cs="Times New Roman"/>
          <w:color w:val="000000"/>
          <w:kern w:val="2"/>
          <w:sz w:val="32"/>
          <w:szCs w:val="32"/>
          <w:lang w:val="en" w:eastAsia="zh-CN" w:bidi="ar-SA"/>
        </w:rPr>
        <w:t>监理人员履约管理情况；</w:t>
      </w:r>
      <w:r>
        <w:rPr>
          <w:rFonts w:hint="eastAsia" w:ascii="仿宋_GB2312" w:hAnsi="Times New Roman" w:eastAsia="仿宋_GB2312" w:cs="Times New Roman"/>
          <w:color w:val="000000"/>
          <w:kern w:val="2"/>
          <w:sz w:val="32"/>
          <w:szCs w:val="32"/>
          <w:lang w:val="en-US" w:eastAsia="zh-CN" w:bidi="ar-SA"/>
        </w:rPr>
        <w:t>监理审批工作质量；监理日志、巡视记录、旁站记录情况；</w:t>
      </w:r>
      <w:r>
        <w:rPr>
          <w:rFonts w:hint="default" w:ascii="仿宋_GB2312" w:hAnsi="Times New Roman" w:eastAsia="仿宋_GB2312" w:cs="Times New Roman"/>
          <w:color w:val="000000"/>
          <w:kern w:val="2"/>
          <w:sz w:val="32"/>
          <w:szCs w:val="32"/>
          <w:lang w:val="en" w:eastAsia="zh-CN" w:bidi="ar-SA"/>
        </w:rPr>
        <w:t>监理指令在智慧质监上传情况；</w:t>
      </w:r>
      <w:r>
        <w:rPr>
          <w:rFonts w:hint="eastAsia" w:ascii="仿宋_GB2312" w:hAnsi="Times New Roman" w:eastAsia="仿宋_GB2312" w:cs="Times New Roman"/>
          <w:color w:val="000000"/>
          <w:kern w:val="2"/>
          <w:sz w:val="32"/>
          <w:szCs w:val="32"/>
          <w:lang w:val="en-US" w:eastAsia="zh-CN" w:bidi="ar-SA"/>
        </w:rPr>
        <w:t>现场质量安全问题是否下发指令和跟踪处理；安全日常巡查记录及跟踪督办；平安工地考核工作情况；特种设备检查管理情况；安全经费审批及管理状况。</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645"/>
        <w:textAlignment w:val="auto"/>
        <w:rPr>
          <w:rFonts w:hint="default" w:ascii="仿宋_GB2312" w:hAnsi="Times New Roman" w:eastAsia="仿宋_GB2312" w:cs="Times New Roman"/>
          <w:color w:val="000000"/>
          <w:sz w:val="32"/>
          <w:szCs w:val="32"/>
          <w:lang w:val="en-US" w:eastAsia="zh-CN"/>
        </w:rPr>
      </w:pPr>
      <w:r>
        <w:rPr>
          <w:rFonts w:hint="default" w:ascii="仿宋_GB2312" w:hAnsi="Times New Roman" w:eastAsia="仿宋_GB2312" w:cs="Times New Roman"/>
          <w:color w:val="000000"/>
          <w:sz w:val="32"/>
          <w:szCs w:val="32"/>
          <w:lang w:val="en-US" w:eastAsia="zh-CN"/>
        </w:rPr>
        <w:t>（</w:t>
      </w:r>
      <w:r>
        <w:rPr>
          <w:rFonts w:hint="eastAsia" w:ascii="仿宋_GB2312" w:eastAsia="仿宋_GB2312" w:cs="Times New Roman"/>
          <w:color w:val="000000"/>
          <w:sz w:val="32"/>
          <w:szCs w:val="32"/>
          <w:lang w:val="en-US" w:eastAsia="zh-CN"/>
        </w:rPr>
        <w:t>五</w:t>
      </w:r>
      <w:r>
        <w:rPr>
          <w:rFonts w:hint="default" w:ascii="仿宋_GB2312" w:hAnsi="Times New Roman" w:eastAsia="仿宋_GB2312" w:cs="Times New Roman"/>
          <w:color w:val="000000"/>
          <w:sz w:val="32"/>
          <w:szCs w:val="32"/>
          <w:lang w:val="en-US" w:eastAsia="zh-CN"/>
        </w:rPr>
        <w:t>）监理企业、母体检测机构对派出机构的质量安全管控情况</w:t>
      </w:r>
      <w:r>
        <w:rPr>
          <w:rFonts w:hint="default" w:ascii="仿宋_GB2312" w:eastAsia="仿宋_GB2312" w:cs="Times New Roman"/>
          <w:color w:val="000000"/>
          <w:sz w:val="32"/>
          <w:szCs w:val="32"/>
          <w:lang w:val="en" w:eastAsia="zh-CN"/>
        </w:rPr>
        <w:t>（要求每半年开展一次检查）</w:t>
      </w:r>
      <w:r>
        <w:rPr>
          <w:rFonts w:hint="eastAsia" w:ascii="仿宋_GB2312" w:eastAsia="仿宋_GB2312" w:cs="Times New Roman"/>
          <w:color w:val="000000"/>
          <w:sz w:val="32"/>
          <w:szCs w:val="32"/>
          <w:lang w:val="en-US" w:eastAsia="zh-CN"/>
        </w:rPr>
        <w:t>，</w:t>
      </w:r>
      <w:r>
        <w:rPr>
          <w:rFonts w:hint="default" w:ascii="仿宋_GB2312" w:eastAsia="仿宋_GB2312" w:cs="Times New Roman"/>
          <w:color w:val="000000"/>
          <w:sz w:val="32"/>
          <w:szCs w:val="32"/>
          <w:lang w:val="en" w:eastAsia="zh-CN"/>
        </w:rPr>
        <w:t>以及</w:t>
      </w:r>
      <w:r>
        <w:rPr>
          <w:rFonts w:hint="eastAsia" w:ascii="仿宋_GB2312" w:hAnsi="Times New Roman" w:eastAsia="仿宋_GB2312" w:cs="Times New Roman"/>
          <w:color w:val="000000"/>
          <w:kern w:val="2"/>
          <w:sz w:val="32"/>
          <w:szCs w:val="32"/>
          <w:lang w:val="en-US" w:eastAsia="zh-CN" w:bidi="ar-SA"/>
        </w:rPr>
        <w:t>此次专项检查</w:t>
      </w:r>
      <w:r>
        <w:rPr>
          <w:rFonts w:hint="eastAsia" w:ascii="仿宋_GB2312" w:eastAsia="仿宋_GB2312" w:cs="Times New Roman"/>
          <w:color w:val="000000"/>
          <w:kern w:val="2"/>
          <w:sz w:val="32"/>
          <w:szCs w:val="32"/>
          <w:lang w:val="en-US" w:eastAsia="zh-CN" w:bidi="ar-SA"/>
        </w:rPr>
        <w:t>和</w:t>
      </w:r>
      <w:r>
        <w:rPr>
          <w:rFonts w:hint="eastAsia" w:ascii="仿宋_GB2312" w:eastAsia="仿宋_GB2312" w:cs="Times New Roman"/>
          <w:color w:val="000000"/>
          <w:sz w:val="32"/>
          <w:szCs w:val="32"/>
          <w:lang w:val="en-US" w:eastAsia="zh-CN"/>
        </w:rPr>
        <w:t>日常检查记录</w:t>
      </w:r>
      <w:r>
        <w:rPr>
          <w:rFonts w:hint="default" w:ascii="仿宋_GB2312" w:hAnsi="Times New Roman" w:eastAsia="仿宋_GB2312" w:cs="Times New Roman"/>
          <w:color w:val="000000"/>
          <w:sz w:val="32"/>
          <w:szCs w:val="32"/>
          <w:lang w:val="en-US" w:eastAsia="zh-CN"/>
        </w:rPr>
        <w:t>及整改落实情况。</w:t>
      </w:r>
    </w:p>
    <w:p>
      <w:pPr>
        <w:pStyle w:val="1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12" w:lineRule="auto"/>
        <w:ind w:right="31" w:firstLine="640" w:firstLineChars="200"/>
        <w:textAlignment w:val="auto"/>
        <w:rPr>
          <w:rFonts w:ascii="黑体" w:hAnsi="黑体" w:eastAsia="黑体" w:cs="Times New Roman"/>
          <w:b w:val="0"/>
          <w:bCs w:val="0"/>
          <w:color w:val="auto"/>
          <w:sz w:val="32"/>
          <w:szCs w:val="32"/>
        </w:rPr>
      </w:pPr>
      <w:r>
        <w:rPr>
          <w:rFonts w:hint="default" w:ascii="Times New Roman" w:hAnsi="Times New Roman" w:eastAsia="黑体" w:cs="Times New Roman"/>
          <w:b w:val="0"/>
          <w:bCs w:val="0"/>
          <w:color w:val="000000"/>
          <w:sz w:val="32"/>
          <w:szCs w:val="32"/>
          <w:lang w:val="en-US" w:eastAsia="zh-CN"/>
        </w:rPr>
        <w:t>四、</w:t>
      </w:r>
      <w:r>
        <w:rPr>
          <w:rFonts w:hint="eastAsia" w:ascii="黑体" w:hAnsi="黑体" w:eastAsia="黑体" w:cs="Times New Roman"/>
          <w:b w:val="0"/>
          <w:bCs w:val="0"/>
          <w:color w:val="auto"/>
          <w:sz w:val="32"/>
          <w:szCs w:val="32"/>
          <w:lang w:eastAsia="zh-CN"/>
        </w:rPr>
        <w:t>检查</w:t>
      </w:r>
      <w:r>
        <w:rPr>
          <w:rFonts w:ascii="黑体" w:hAnsi="黑体" w:eastAsia="黑体" w:cs="Times New Roman"/>
          <w:b w:val="0"/>
          <w:bCs w:val="0"/>
          <w:color w:val="auto"/>
          <w:sz w:val="32"/>
          <w:szCs w:val="32"/>
        </w:rPr>
        <w:t>情况处理</w:t>
      </w:r>
    </w:p>
    <w:p>
      <w:pPr>
        <w:keepNext w:val="0"/>
        <w:keepLines w:val="0"/>
        <w:pageBreakBefore w:val="0"/>
        <w:widowControl w:val="0"/>
        <w:kinsoku/>
        <w:wordWrap/>
        <w:overflowPunct/>
        <w:topLinePunct w:val="0"/>
        <w:autoSpaceDE/>
        <w:autoSpaceDN/>
        <w:bidi w:val="0"/>
        <w:snapToGrid w:val="0"/>
        <w:spacing w:line="312" w:lineRule="auto"/>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default" w:ascii="仿宋_GB2312" w:hAnsi="仿宋_GB2312" w:eastAsia="仿宋_GB2312" w:cs="仿宋_GB2312"/>
          <w:color w:val="auto"/>
          <w:sz w:val="32"/>
          <w:szCs w:val="32"/>
          <w:lang w:val="en"/>
        </w:rPr>
        <w:t>一</w:t>
      </w:r>
      <w:r>
        <w:rPr>
          <w:rFonts w:hint="eastAsia" w:ascii="仿宋_GB2312" w:hAnsi="仿宋_GB2312" w:eastAsia="仿宋_GB2312" w:cs="仿宋_GB2312"/>
          <w:color w:val="auto"/>
          <w:sz w:val="32"/>
          <w:szCs w:val="32"/>
          <w:lang w:val="zh-CN"/>
        </w:rPr>
        <w:t>）</w:t>
      </w:r>
      <w:r>
        <w:rPr>
          <w:rFonts w:hint="eastAsia" w:ascii="仿宋_GB2312" w:eastAsia="仿宋_GB2312"/>
          <w:sz w:val="32"/>
          <w:szCs w:val="32"/>
        </w:rPr>
        <w:t>检查发现的问题</w:t>
      </w:r>
      <w:r>
        <w:rPr>
          <w:rFonts w:hint="eastAsia" w:ascii="仿宋_GB2312" w:eastAsia="仿宋_GB2312"/>
          <w:sz w:val="32"/>
          <w:szCs w:val="32"/>
          <w:lang w:val="en-US" w:eastAsia="zh-CN"/>
        </w:rPr>
        <w:t>同时</w:t>
      </w:r>
      <w:r>
        <w:rPr>
          <w:rFonts w:hint="eastAsia" w:ascii="仿宋_GB2312" w:eastAsia="仿宋_GB2312"/>
          <w:sz w:val="32"/>
          <w:szCs w:val="32"/>
          <w:lang w:eastAsia="zh-CN"/>
        </w:rPr>
        <w:t>记录到智慧质监系统</w:t>
      </w:r>
      <w:r>
        <w:rPr>
          <w:rFonts w:hint="eastAsia" w:ascii="仿宋_GB2312" w:eastAsia="仿宋_GB2312"/>
          <w:sz w:val="32"/>
          <w:szCs w:val="32"/>
        </w:rPr>
        <w:t>，</w:t>
      </w:r>
      <w:r>
        <w:rPr>
          <w:rFonts w:hint="eastAsia" w:ascii="仿宋_GB2312" w:hAnsi="仿宋_GB2312" w:eastAsia="仿宋_GB2312" w:cs="仿宋_GB2312"/>
          <w:color w:val="auto"/>
          <w:sz w:val="32"/>
          <w:szCs w:val="32"/>
          <w:lang w:val="zh-CN"/>
        </w:rPr>
        <w:t>及时向受检项目</w:t>
      </w:r>
      <w:r>
        <w:rPr>
          <w:rFonts w:hint="eastAsia" w:ascii="仿宋_GB2312" w:hAnsi="仿宋_GB2312" w:eastAsia="仿宋_GB2312" w:cs="仿宋_GB2312"/>
          <w:color w:val="auto"/>
          <w:sz w:val="32"/>
          <w:szCs w:val="32"/>
          <w:lang w:val="zh-CN" w:eastAsia="zh-CN"/>
        </w:rPr>
        <w:t>建设单位</w:t>
      </w:r>
      <w:r>
        <w:rPr>
          <w:rFonts w:hint="eastAsia" w:ascii="仿宋_GB2312" w:hAnsi="仿宋_GB2312" w:eastAsia="仿宋_GB2312" w:cs="仿宋_GB2312"/>
          <w:color w:val="auto"/>
          <w:sz w:val="32"/>
          <w:szCs w:val="32"/>
          <w:lang w:val="zh-CN"/>
        </w:rPr>
        <w:t>反馈检查意见，提出整改要求，</w:t>
      </w:r>
      <w:r>
        <w:rPr>
          <w:rFonts w:hint="eastAsia" w:ascii="仿宋_GB2312" w:hAnsi="仿宋_GB2312" w:eastAsia="仿宋_GB2312" w:cs="仿宋_GB2312"/>
          <w:color w:val="auto"/>
          <w:sz w:val="32"/>
          <w:szCs w:val="32"/>
          <w:lang w:val="en-US" w:eastAsia="zh-CN"/>
        </w:rPr>
        <w:t>印发检查意见</w:t>
      </w:r>
      <w:r>
        <w:rPr>
          <w:rFonts w:hint="eastAsia" w:ascii="仿宋_GB2312" w:hAnsi="仿宋_GB2312" w:eastAsia="仿宋_GB2312" w:cs="仿宋_GB2312"/>
          <w:color w:val="auto"/>
          <w:sz w:val="32"/>
          <w:szCs w:val="32"/>
          <w:lang w:val="zh-CN"/>
        </w:rPr>
        <w:t>。</w:t>
      </w:r>
    </w:p>
    <w:p>
      <w:pPr>
        <w:pStyle w:val="2"/>
        <w:keepNext w:val="0"/>
        <w:keepLines w:val="0"/>
        <w:pageBreakBefore w:val="0"/>
        <w:widowControl w:val="0"/>
        <w:numPr>
          <w:ilvl w:val="0"/>
          <w:numId w:val="0"/>
        </w:numPr>
        <w:kinsoku/>
        <w:wordWrap/>
        <w:overflowPunct/>
        <w:topLinePunct w:val="0"/>
        <w:autoSpaceDE/>
        <w:autoSpaceDN/>
        <w:bidi w:val="0"/>
        <w:snapToGrid w:val="0"/>
        <w:spacing w:line="312" w:lineRule="auto"/>
        <w:ind w:firstLine="640" w:firstLineChars="200"/>
        <w:textAlignment w:val="auto"/>
        <w:rPr>
          <w:rFonts w:hint="default" w:ascii="仿宋_GB2312" w:hAnsi="仿宋_GB2312" w:eastAsia="仿宋_GB2312" w:cs="仿宋_GB2312"/>
          <w:color w:val="auto"/>
          <w:sz w:val="32"/>
          <w:szCs w:val="32"/>
          <w:lang w:val="en-US"/>
        </w:rPr>
      </w:pPr>
      <w:r>
        <w:rPr>
          <w:rFonts w:hint="default" w:ascii="仿宋_GB2312" w:hAnsi="仿宋_GB2312" w:eastAsia="仿宋_GB2312" w:cs="仿宋_GB2312"/>
          <w:color w:val="auto"/>
          <w:sz w:val="32"/>
          <w:szCs w:val="32"/>
          <w:lang w:val="en-US"/>
        </w:rPr>
        <w:t>（</w:t>
      </w:r>
      <w:r>
        <w:rPr>
          <w:rFonts w:hint="default" w:ascii="仿宋_GB2312" w:hAnsi="仿宋_GB2312" w:eastAsia="仿宋_GB2312" w:cs="仿宋_GB2312"/>
          <w:color w:val="auto"/>
          <w:sz w:val="32"/>
          <w:szCs w:val="32"/>
          <w:lang w:val="en"/>
        </w:rPr>
        <w:t>二</w:t>
      </w:r>
      <w:r>
        <w:rPr>
          <w:rFonts w:hint="default"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涉及失信扣分的行为，要求依据部、省级监理检测信用评价办法分别列出扣分条款和扣分分值。</w:t>
      </w:r>
      <w:r>
        <w:rPr>
          <w:rFonts w:hint="default" w:ascii="仿宋_GB2312" w:hAnsi="仿宋_GB2312" w:eastAsia="仿宋_GB2312" w:cs="仿宋_GB2312"/>
          <w:color w:val="auto"/>
          <w:sz w:val="32"/>
          <w:szCs w:val="32"/>
          <w:lang w:val="en-US"/>
        </w:rPr>
        <w:t>检查情况作为202</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rPr>
        <w:t>年度监理、检测信用评价</w:t>
      </w:r>
      <w:r>
        <w:rPr>
          <w:rFonts w:hint="eastAsia" w:ascii="仿宋_GB2312" w:hAnsi="仿宋_GB2312" w:eastAsia="仿宋_GB2312" w:cs="仿宋_GB2312"/>
          <w:color w:val="auto"/>
          <w:sz w:val="32"/>
          <w:szCs w:val="32"/>
          <w:lang w:val="en-US" w:eastAsia="zh-CN"/>
        </w:rPr>
        <w:t>（省级、部级）</w:t>
      </w:r>
      <w:r>
        <w:rPr>
          <w:rFonts w:hint="default" w:ascii="仿宋_GB2312" w:hAnsi="仿宋_GB2312" w:eastAsia="仿宋_GB2312" w:cs="仿宋_GB2312"/>
          <w:color w:val="auto"/>
          <w:sz w:val="32"/>
          <w:szCs w:val="32"/>
          <w:lang w:val="en-US"/>
        </w:rPr>
        <w:t>依据</w:t>
      </w:r>
      <w:r>
        <w:rPr>
          <w:rFonts w:hint="eastAsia" w:ascii="仿宋_GB2312" w:hAnsi="仿宋_GB2312" w:eastAsia="仿宋_GB2312" w:cs="仿宋_GB2312"/>
          <w:color w:val="auto"/>
          <w:sz w:val="32"/>
          <w:szCs w:val="32"/>
          <w:lang w:val="en-US" w:eastAsia="zh-CN"/>
        </w:rPr>
        <w:t>和</w:t>
      </w:r>
      <w:r>
        <w:rPr>
          <w:rFonts w:hint="default" w:ascii="仿宋_GB2312" w:hAnsi="仿宋_GB2312" w:eastAsia="仿宋_GB2312" w:cs="仿宋_GB2312"/>
          <w:color w:val="auto"/>
          <w:sz w:val="32"/>
          <w:szCs w:val="32"/>
          <w:lang w:val="en-US"/>
        </w:rPr>
        <w:t>平安工地考核扣分依据。</w:t>
      </w:r>
    </w:p>
    <w:p>
      <w:pPr>
        <w:keepNext w:val="0"/>
        <w:keepLines w:val="0"/>
        <w:pageBreakBefore w:val="0"/>
        <w:widowControl w:val="0"/>
        <w:kinsoku/>
        <w:wordWrap/>
        <w:overflowPunct/>
        <w:topLinePunct w:val="0"/>
        <w:autoSpaceDE/>
        <w:autoSpaceDN/>
        <w:bidi w:val="0"/>
        <w:snapToGrid w:val="0"/>
        <w:spacing w:line="312" w:lineRule="auto"/>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val="zh-CN"/>
        </w:rPr>
        <w:t>）对</w:t>
      </w:r>
      <w:r>
        <w:rPr>
          <w:rFonts w:hint="eastAsia" w:ascii="仿宋_GB2312" w:hAnsi="仿宋_GB2312" w:eastAsia="仿宋_GB2312" w:cs="仿宋_GB2312"/>
          <w:color w:val="auto"/>
          <w:sz w:val="32"/>
          <w:szCs w:val="32"/>
          <w:lang w:val="zh-CN" w:eastAsia="zh-CN"/>
        </w:rPr>
        <w:t>检查</w:t>
      </w:r>
      <w:r>
        <w:rPr>
          <w:rFonts w:hint="eastAsia" w:ascii="仿宋_GB2312" w:hAnsi="仿宋_GB2312" w:eastAsia="仿宋_GB2312" w:cs="仿宋_GB2312"/>
          <w:color w:val="auto"/>
          <w:sz w:val="32"/>
          <w:szCs w:val="32"/>
          <w:lang w:val="zh-CN"/>
        </w:rPr>
        <w:t>发现的</w:t>
      </w:r>
      <w:r>
        <w:rPr>
          <w:rFonts w:hint="eastAsia" w:ascii="仿宋_GB2312" w:hAnsi="仿宋_GB2312" w:eastAsia="仿宋_GB2312" w:cs="仿宋_GB2312"/>
          <w:color w:val="auto"/>
          <w:sz w:val="32"/>
          <w:szCs w:val="32"/>
          <w:lang w:val="en-US" w:eastAsia="zh-CN"/>
        </w:rPr>
        <w:t>严重问题</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严重失信行为，</w:t>
      </w:r>
      <w:r>
        <w:rPr>
          <w:rFonts w:hint="default" w:ascii="仿宋_GB2312" w:hAnsi="仿宋_GB2312" w:eastAsia="仿宋_GB2312" w:cs="仿宋_GB2312"/>
          <w:color w:val="auto"/>
          <w:sz w:val="32"/>
          <w:szCs w:val="32"/>
          <w:lang w:val="en-US"/>
        </w:rPr>
        <w:t>报局领导统一</w:t>
      </w:r>
      <w:r>
        <w:rPr>
          <w:rFonts w:hint="eastAsia" w:ascii="仿宋_GB2312" w:hAnsi="仿宋_GB2312" w:eastAsia="仿宋_GB2312" w:cs="仿宋_GB2312"/>
          <w:color w:val="auto"/>
          <w:sz w:val="32"/>
          <w:szCs w:val="32"/>
          <w:lang w:val="en-US" w:eastAsia="zh-CN"/>
        </w:rPr>
        <w:t>研究</w:t>
      </w:r>
      <w:r>
        <w:rPr>
          <w:rFonts w:hint="default" w:ascii="仿宋_GB2312" w:hAnsi="仿宋_GB2312" w:eastAsia="仿宋_GB2312" w:cs="仿宋_GB2312"/>
          <w:color w:val="auto"/>
          <w:sz w:val="32"/>
          <w:szCs w:val="32"/>
          <w:lang w:val="en-US"/>
        </w:rPr>
        <w:t>处理</w:t>
      </w:r>
      <w:r>
        <w:rPr>
          <w:rFonts w:hint="eastAsia" w:ascii="仿宋_GB2312" w:hAnsi="仿宋_GB2312" w:eastAsia="仿宋_GB2312" w:cs="仿宋_GB2312"/>
          <w:color w:val="auto"/>
          <w:sz w:val="32"/>
          <w:szCs w:val="32"/>
          <w:lang w:val="zh-CN" w:eastAsia="zh-CN"/>
        </w:rPr>
        <w:t>。</w:t>
      </w:r>
    </w:p>
    <w:p>
      <w:pPr>
        <w:pStyle w:val="2"/>
        <w:keepNext w:val="0"/>
        <w:keepLines w:val="0"/>
        <w:pageBreakBefore w:val="0"/>
        <w:widowControl w:val="0"/>
        <w:kinsoku/>
        <w:wordWrap/>
        <w:overflowPunct/>
        <w:topLinePunct w:val="0"/>
        <w:autoSpaceDE/>
        <w:autoSpaceDN/>
        <w:bidi w:val="0"/>
        <w:snapToGrid w:val="0"/>
        <w:spacing w:line="312" w:lineRule="auto"/>
        <w:textAlignment w:val="auto"/>
        <w:rPr>
          <w:rFonts w:hint="eastAsia" w:ascii="Times New Roman" w:hAnsi="Times New Roman" w:eastAsia="黑体" w:cs="Times New Roman"/>
          <w:color w:val="000000"/>
          <w:sz w:val="32"/>
          <w:szCs w:val="32"/>
          <w:lang w:eastAsia="zh-CN"/>
        </w:rPr>
      </w:pPr>
      <w:r>
        <w:rPr>
          <w:rFonts w:hint="eastAsia" w:eastAsia="黑体" w:cs="Times New Roman"/>
          <w:color w:val="000000"/>
          <w:sz w:val="32"/>
          <w:szCs w:val="32"/>
          <w:lang w:val="en-US" w:eastAsia="zh-CN"/>
        </w:rPr>
        <w:t>五</w:t>
      </w:r>
      <w:r>
        <w:rPr>
          <w:rFonts w:hint="default" w:ascii="Times New Roman" w:hAnsi="Times New Roman" w:eastAsia="黑体" w:cs="Times New Roman"/>
          <w:color w:val="000000"/>
          <w:sz w:val="32"/>
          <w:szCs w:val="32"/>
        </w:rPr>
        <w:t>、</w:t>
      </w:r>
      <w:r>
        <w:rPr>
          <w:rFonts w:hint="eastAsia" w:ascii="Times New Roman" w:hAnsi="Times New Roman" w:eastAsia="黑体" w:cs="Times New Roman"/>
          <w:color w:val="000000"/>
          <w:sz w:val="32"/>
          <w:szCs w:val="32"/>
          <w:lang w:eastAsia="zh-CN"/>
        </w:rPr>
        <w:t>其它工作要求</w:t>
      </w:r>
    </w:p>
    <w:p>
      <w:pPr>
        <w:keepNext w:val="0"/>
        <w:keepLines w:val="0"/>
        <w:pageBreakBefore w:val="0"/>
        <w:widowControl w:val="0"/>
        <w:tabs>
          <w:tab w:val="left" w:pos="1440"/>
        </w:tabs>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 w:eastAsia="zh-CN" w:bidi="ar-SA"/>
        </w:rPr>
        <w:t>局</w:t>
      </w:r>
      <w:r>
        <w:rPr>
          <w:rFonts w:hint="eastAsia" w:ascii="仿宋_GB2312" w:hAnsi="仿宋_GB2312" w:eastAsia="仿宋_GB2312" w:cs="仿宋_GB2312"/>
          <w:color w:val="auto"/>
          <w:kern w:val="2"/>
          <w:sz w:val="32"/>
          <w:szCs w:val="32"/>
          <w:lang w:val="en-US" w:eastAsia="zh-CN" w:bidi="ar-SA"/>
        </w:rPr>
        <w:t>监督组可通过技术发展部抽取试验检测、监理行业</w:t>
      </w:r>
      <w:r>
        <w:rPr>
          <w:rFonts w:hint="default" w:ascii="仿宋_GB2312" w:hAnsi="仿宋_GB2312" w:eastAsia="仿宋_GB2312" w:cs="仿宋_GB2312"/>
          <w:color w:val="auto"/>
          <w:kern w:val="2"/>
          <w:sz w:val="32"/>
          <w:szCs w:val="32"/>
          <w:lang w:val="en" w:eastAsia="zh-CN" w:bidi="ar-SA"/>
        </w:rPr>
        <w:t>相关</w:t>
      </w:r>
      <w:r>
        <w:rPr>
          <w:rFonts w:hint="eastAsia" w:ascii="仿宋_GB2312" w:hAnsi="仿宋_GB2312" w:eastAsia="仿宋_GB2312" w:cs="仿宋_GB2312"/>
          <w:color w:val="auto"/>
          <w:kern w:val="2"/>
          <w:sz w:val="32"/>
          <w:szCs w:val="32"/>
          <w:lang w:val="en-US" w:eastAsia="zh-CN" w:bidi="ar-SA"/>
        </w:rPr>
        <w:t>专家</w:t>
      </w:r>
      <w:r>
        <w:rPr>
          <w:rFonts w:hint="default" w:ascii="仿宋_GB2312" w:hAnsi="仿宋_GB2312" w:eastAsia="仿宋_GB2312" w:cs="仿宋_GB2312"/>
          <w:color w:val="auto"/>
          <w:kern w:val="2"/>
          <w:sz w:val="32"/>
          <w:szCs w:val="32"/>
          <w:lang w:val="en" w:eastAsia="zh-CN" w:bidi="ar-SA"/>
        </w:rPr>
        <w:t>参与检查</w:t>
      </w:r>
      <w:r>
        <w:rPr>
          <w:rFonts w:hint="eastAsia" w:ascii="仿宋_GB2312" w:hAnsi="仿宋_GB2312" w:eastAsia="仿宋_GB2312" w:cs="仿宋_GB2312"/>
          <w:color w:val="auto"/>
          <w:kern w:val="2"/>
          <w:sz w:val="32"/>
          <w:szCs w:val="32"/>
          <w:lang w:val="en-US" w:eastAsia="zh-CN" w:bidi="ar-SA"/>
        </w:rPr>
        <w:t>。检查采取“四不两直”检查方式，根据智慧质监直接导航到现场，轻车简从。严格遵守八项规定、检查纪律及各项廉政规定。</w:t>
      </w:r>
    </w:p>
    <w:p>
      <w:pPr>
        <w:keepNext w:val="0"/>
        <w:keepLines w:val="0"/>
        <w:pageBreakBefore w:val="0"/>
        <w:widowControl w:val="0"/>
        <w:tabs>
          <w:tab w:val="left" w:pos="1440"/>
        </w:tabs>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000000"/>
          <w:kern w:val="2"/>
          <w:sz w:val="32"/>
          <w:szCs w:val="32"/>
          <w:lang w:val="en" w:eastAsia="zh-CN" w:bidi="ar-SA"/>
        </w:rPr>
      </w:pPr>
      <w:r>
        <w:rPr>
          <w:rFonts w:hint="default" w:ascii="Times New Roman" w:hAnsi="Times New Roman" w:eastAsia="仿宋_GB2312" w:cs="Times New Roman"/>
          <w:color w:val="000000"/>
          <w:sz w:val="32"/>
          <w:szCs w:val="32"/>
          <w:lang w:eastAsia="zh-CN"/>
        </w:rPr>
        <w:t>附</w:t>
      </w:r>
      <w:r>
        <w:rPr>
          <w:rFonts w:hint="eastAsia" w:eastAsia="仿宋_GB2312" w:cs="Times New Roman"/>
          <w:color w:val="000000"/>
          <w:sz w:val="32"/>
          <w:szCs w:val="32"/>
          <w:lang w:eastAsia="zh-CN"/>
        </w:rPr>
        <w:t>表</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kern w:val="2"/>
          <w:sz w:val="32"/>
          <w:szCs w:val="32"/>
          <w:lang w:val="en-US" w:eastAsia="zh-CN" w:bidi="ar-SA"/>
        </w:rPr>
        <w:t>监理</w:t>
      </w:r>
      <w:r>
        <w:rPr>
          <w:rFonts w:hint="eastAsia"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检测</w:t>
      </w:r>
      <w:r>
        <w:rPr>
          <w:rFonts w:hint="eastAsia" w:eastAsia="仿宋_GB2312" w:cs="Times New Roman"/>
          <w:color w:val="000000"/>
          <w:kern w:val="2"/>
          <w:sz w:val="32"/>
          <w:szCs w:val="32"/>
          <w:lang w:val="en-US" w:eastAsia="zh-CN" w:bidi="ar-SA"/>
        </w:rPr>
        <w:t>专项</w:t>
      </w:r>
      <w:r>
        <w:rPr>
          <w:rFonts w:hint="eastAsia" w:ascii="Times New Roman" w:hAnsi="Times New Roman" w:eastAsia="仿宋_GB2312" w:cs="Times New Roman"/>
          <w:color w:val="000000"/>
          <w:kern w:val="2"/>
          <w:sz w:val="32"/>
          <w:szCs w:val="32"/>
          <w:lang w:val="en-US" w:eastAsia="zh-CN" w:bidi="ar-SA"/>
        </w:rPr>
        <w:t>检查</w:t>
      </w:r>
      <w:r>
        <w:rPr>
          <w:rFonts w:hint="default" w:ascii="Times New Roman" w:hAnsi="Times New Roman" w:eastAsia="仿宋_GB2312" w:cs="Times New Roman"/>
          <w:color w:val="000000"/>
          <w:kern w:val="2"/>
          <w:sz w:val="32"/>
          <w:szCs w:val="32"/>
          <w:lang w:val="en-US" w:eastAsia="zh-CN" w:bidi="ar-SA"/>
        </w:rPr>
        <w:t>表</w:t>
      </w:r>
      <w:r>
        <w:rPr>
          <w:rFonts w:hint="default" w:eastAsia="仿宋_GB2312" w:cs="Times New Roman"/>
          <w:color w:val="000000"/>
          <w:kern w:val="2"/>
          <w:sz w:val="32"/>
          <w:szCs w:val="32"/>
          <w:lang w:val="en" w:eastAsia="zh-CN" w:bidi="ar-SA"/>
        </w:rPr>
        <w:t>1-</w:t>
      </w:r>
      <w:r>
        <w:rPr>
          <w:rFonts w:hint="eastAsia" w:eastAsia="仿宋_GB2312" w:cs="Times New Roman"/>
          <w:color w:val="000000"/>
          <w:kern w:val="2"/>
          <w:sz w:val="32"/>
          <w:szCs w:val="32"/>
          <w:lang w:val="en-US" w:eastAsia="zh-CN" w:bidi="ar-SA"/>
        </w:rPr>
        <w:t>6</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kern w:val="2"/>
          <w:sz w:val="32"/>
          <w:szCs w:val="32"/>
          <w:lang w:val="en-US" w:eastAsia="zh-CN" w:bidi="ar-SA"/>
        </w:rPr>
      </w:pPr>
    </w:p>
    <w:p>
      <w:pPr>
        <w:jc w:val="both"/>
        <w:rPr>
          <w:rFonts w:hint="eastAsia" w:ascii="黑体" w:hAnsi="黑体" w:eastAsia="黑体" w:cs="黑体"/>
          <w:b w:val="0"/>
          <w:bCs w:val="0"/>
          <w:sz w:val="32"/>
          <w:szCs w:val="32"/>
          <w:lang w:eastAsia="zh-CN"/>
        </w:rPr>
      </w:pPr>
      <w:r>
        <w:rPr>
          <w:rFonts w:hint="default" w:ascii="Times New Roman" w:hAnsi="Times New Roman" w:eastAsia="黑体" w:cs="Times New Roman"/>
          <w:sz w:val="32"/>
          <w:szCs w:val="32"/>
          <w:lang w:eastAsia="zh-CN"/>
        </w:rPr>
        <w:br w:type="page"/>
      </w:r>
      <w:r>
        <w:rPr>
          <w:rFonts w:hint="eastAsia" w:ascii="黑体" w:hAnsi="黑体" w:eastAsia="黑体" w:cs="黑体"/>
          <w:color w:val="auto"/>
          <w:kern w:val="2"/>
          <w:sz w:val="32"/>
          <w:szCs w:val="32"/>
          <w:lang w:val="en-US" w:eastAsia="zh-CN" w:bidi="ar-SA"/>
        </w:rPr>
        <w:t>附表</w:t>
      </w:r>
      <w:r>
        <w:rPr>
          <w:rFonts w:hint="eastAsia" w:ascii="黑体" w:hAnsi="黑体" w:eastAsia="黑体" w:cs="黑体"/>
          <w:color w:val="auto"/>
          <w:kern w:val="2"/>
          <w:sz w:val="32"/>
          <w:szCs w:val="32"/>
          <w:lang w:val="en" w:eastAsia="zh-CN" w:bidi="ar-SA"/>
        </w:rPr>
        <w:t>1</w:t>
      </w:r>
      <w:r>
        <w:rPr>
          <w:rFonts w:hint="eastAsia" w:ascii="黑体" w:hAnsi="黑体" w:eastAsia="黑体" w:cs="黑体"/>
          <w:color w:val="auto"/>
          <w:kern w:val="2"/>
          <w:sz w:val="32"/>
          <w:szCs w:val="32"/>
          <w:lang w:val="en-US" w:eastAsia="zh-CN" w:bidi="ar-SA"/>
        </w:rPr>
        <w:t>：</w:t>
      </w:r>
    </w:p>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kern w:val="2"/>
          <w:sz w:val="32"/>
          <w:szCs w:val="32"/>
          <w:lang w:val="en-US" w:eastAsia="zh-CN" w:bidi="ar-SA"/>
        </w:rPr>
        <w:t>建设单位试验检测管理</w:t>
      </w:r>
      <w:r>
        <w:rPr>
          <w:rFonts w:hint="eastAsia" w:asciiTheme="minorEastAsia" w:hAnsiTheme="minorEastAsia" w:eastAsiaTheme="minorEastAsia" w:cstheme="minorEastAsia"/>
          <w:b/>
          <w:bCs/>
          <w:color w:val="000000"/>
          <w:kern w:val="2"/>
          <w:sz w:val="32"/>
          <w:szCs w:val="32"/>
          <w:lang w:val="en" w:eastAsia="zh-CN" w:bidi="ar-SA"/>
        </w:rPr>
        <w:t>专项</w:t>
      </w:r>
      <w:r>
        <w:rPr>
          <w:rFonts w:hint="eastAsia" w:asciiTheme="minorEastAsia" w:hAnsiTheme="minorEastAsia" w:eastAsiaTheme="minorEastAsia" w:cstheme="minorEastAsia"/>
          <w:b/>
          <w:bCs/>
          <w:color w:val="000000"/>
          <w:kern w:val="2"/>
          <w:sz w:val="32"/>
          <w:szCs w:val="32"/>
          <w:lang w:val="en-US" w:eastAsia="zh-CN" w:bidi="ar-SA"/>
        </w:rPr>
        <w:t>检查表</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24"/>
        </w:rPr>
        <w:t xml:space="preserve">         </w:t>
      </w:r>
    </w:p>
    <w:tbl>
      <w:tblPr>
        <w:tblStyle w:val="13"/>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278"/>
        <w:gridCol w:w="5454"/>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48" w:type="dxa"/>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b/>
                <w:bCs/>
                <w:kern w:val="0"/>
                <w:sz w:val="24"/>
                <w:lang w:val="en"/>
              </w:rPr>
            </w:pPr>
            <w:r>
              <w:rPr>
                <w:rFonts w:hint="eastAsia" w:asciiTheme="minorEastAsia" w:hAnsiTheme="minorEastAsia" w:eastAsiaTheme="minorEastAsia" w:cstheme="minorEastAsia"/>
                <w:b/>
                <w:bCs/>
                <w:kern w:val="0"/>
                <w:sz w:val="24"/>
                <w:lang w:val="en"/>
              </w:rPr>
              <w:t>督查对象</w:t>
            </w:r>
          </w:p>
        </w:tc>
        <w:tc>
          <w:tcPr>
            <w:tcW w:w="1278" w:type="dxa"/>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检查项目</w:t>
            </w:r>
          </w:p>
        </w:tc>
        <w:tc>
          <w:tcPr>
            <w:tcW w:w="5454" w:type="dxa"/>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检查内容</w:t>
            </w:r>
          </w:p>
        </w:tc>
        <w:tc>
          <w:tcPr>
            <w:tcW w:w="1671" w:type="dxa"/>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8"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r>
              <w:rPr>
                <w:rFonts w:hint="eastAsia" w:asciiTheme="minorEastAsia" w:hAnsiTheme="minorEastAsia" w:eastAsiaTheme="minorEastAsia" w:cstheme="minorEastAsia"/>
                <w:kern w:val="0"/>
                <w:sz w:val="24"/>
              </w:rPr>
              <w:t>建设单位</w:t>
            </w:r>
          </w:p>
        </w:tc>
        <w:tc>
          <w:tcPr>
            <w:tcW w:w="1278" w:type="dxa"/>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kern w:val="0"/>
                <w:sz w:val="24"/>
                <w:lang w:val="en"/>
              </w:rPr>
            </w:pPr>
            <w:r>
              <w:rPr>
                <w:rFonts w:hint="eastAsia" w:asciiTheme="minorEastAsia" w:hAnsiTheme="minorEastAsia" w:eastAsiaTheme="minorEastAsia" w:cstheme="minorEastAsia"/>
                <w:kern w:val="0"/>
                <w:sz w:val="24"/>
                <w:lang w:val="en"/>
              </w:rPr>
              <w:t>管理机构设置</w:t>
            </w:r>
          </w:p>
        </w:tc>
        <w:tc>
          <w:tcPr>
            <w:tcW w:w="5454" w:type="dxa"/>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建设单位应设置试验检测归口管理部门，并安排专职人员负责本项目试验检测日常管理工作。</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1278" w:type="dxa"/>
            <w:vMerge w:val="restart"/>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kern w:val="0"/>
                <w:sz w:val="24"/>
                <w:lang w:val="en"/>
              </w:rPr>
            </w:pPr>
            <w:r>
              <w:rPr>
                <w:rFonts w:hint="eastAsia" w:asciiTheme="minorEastAsia" w:hAnsiTheme="minorEastAsia" w:eastAsiaTheme="minorEastAsia" w:cstheme="minorEastAsia"/>
                <w:kern w:val="0"/>
                <w:sz w:val="24"/>
                <w:lang w:val="en"/>
              </w:rPr>
              <w:t>备案、检查管理</w:t>
            </w:r>
          </w:p>
        </w:tc>
        <w:tc>
          <w:tcPr>
            <w:tcW w:w="5454" w:type="dxa"/>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应对工地试验室及现场检测项目建立管理台账、及时更新并进行备案检查，督促检测项目通过智慧质监系统报备，未通过备案前不得出具检测报告。</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1278" w:type="dxa"/>
            <w:vMerge w:val="continue"/>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kern w:val="0"/>
                <w:sz w:val="24"/>
                <w:lang w:val="en"/>
              </w:rPr>
            </w:pPr>
          </w:p>
        </w:tc>
        <w:tc>
          <w:tcPr>
            <w:tcW w:w="5454" w:type="dxa"/>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按每半年一次的频率对所有工地试验室及现场检测项目进行检查，检查结果发文通报。杜绝借资质承揽业务、超资质范围出具报告现象，重点检查合同签定、机构资质、人员资格、注册登记、到岗履约、驻地设置、仪器设备、检测频率和项目、报告真实性等情况。</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1278" w:type="dxa"/>
            <w:vMerge w:val="restart"/>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kern w:val="0"/>
                <w:sz w:val="24"/>
                <w:lang w:val="en"/>
              </w:rPr>
            </w:pPr>
            <w:r>
              <w:rPr>
                <w:rFonts w:hint="eastAsia" w:asciiTheme="minorEastAsia" w:hAnsiTheme="minorEastAsia" w:eastAsiaTheme="minorEastAsia" w:cstheme="minorEastAsia"/>
                <w:kern w:val="0"/>
                <w:sz w:val="24"/>
                <w:lang w:val="en" w:eastAsia="zh-CN"/>
              </w:rPr>
              <w:t>第三方现场</w:t>
            </w:r>
            <w:r>
              <w:rPr>
                <w:rFonts w:hint="eastAsia" w:asciiTheme="minorEastAsia" w:hAnsiTheme="minorEastAsia" w:eastAsiaTheme="minorEastAsia" w:cstheme="minorEastAsia"/>
                <w:kern w:val="0"/>
                <w:sz w:val="24"/>
                <w:lang w:val="en"/>
              </w:rPr>
              <w:t>检测管理</w:t>
            </w:r>
          </w:p>
        </w:tc>
        <w:tc>
          <w:tcPr>
            <w:tcW w:w="5454" w:type="dxa"/>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应按规范要求的检测</w:t>
            </w:r>
            <w:r>
              <w:rPr>
                <w:rFonts w:hint="eastAsia" w:asciiTheme="minorEastAsia" w:hAnsiTheme="minorEastAsia" w:eastAsiaTheme="minorEastAsia" w:cstheme="minorEastAsia"/>
                <w:kern w:val="0"/>
                <w:sz w:val="24"/>
                <w:lang w:val="en"/>
              </w:rPr>
              <w:t>指标、</w:t>
            </w:r>
            <w:r>
              <w:rPr>
                <w:rFonts w:hint="eastAsia" w:asciiTheme="minorEastAsia" w:hAnsiTheme="minorEastAsia" w:eastAsiaTheme="minorEastAsia" w:cstheme="minorEastAsia"/>
                <w:kern w:val="0"/>
                <w:sz w:val="24"/>
              </w:rPr>
              <w:t>频率开展</w:t>
            </w:r>
            <w:r>
              <w:rPr>
                <w:rFonts w:hint="eastAsia" w:asciiTheme="minorEastAsia" w:hAnsiTheme="minorEastAsia" w:eastAsiaTheme="minorEastAsia" w:cstheme="minorEastAsia"/>
                <w:kern w:val="0"/>
                <w:sz w:val="24"/>
                <w:lang w:eastAsia="zh-CN"/>
              </w:rPr>
              <w:t>第三方现场检测</w:t>
            </w:r>
            <w:r>
              <w:rPr>
                <w:rFonts w:hint="eastAsia" w:asciiTheme="minorEastAsia" w:hAnsiTheme="minorEastAsia" w:eastAsiaTheme="minorEastAsia" w:cstheme="minorEastAsia"/>
                <w:kern w:val="0"/>
                <w:sz w:val="24"/>
              </w:rPr>
              <w:t>工作。</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1278" w:type="dxa"/>
            <w:vMerge w:val="continue"/>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kern w:val="0"/>
                <w:sz w:val="24"/>
                <w:lang w:val="en"/>
              </w:rPr>
            </w:pPr>
          </w:p>
        </w:tc>
        <w:tc>
          <w:tcPr>
            <w:tcW w:w="5454" w:type="dxa"/>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eastAsia="zh-CN"/>
              </w:rPr>
              <w:t>第三方现场</w:t>
            </w:r>
            <w:r>
              <w:rPr>
                <w:rFonts w:hint="eastAsia" w:asciiTheme="minorEastAsia" w:hAnsiTheme="minorEastAsia" w:eastAsiaTheme="minorEastAsia" w:cstheme="minorEastAsia"/>
                <w:kern w:val="0"/>
                <w:sz w:val="24"/>
              </w:rPr>
              <w:t>检测机构须符合资质要求。</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1278" w:type="dxa"/>
            <w:vMerge w:val="restart"/>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kern w:val="0"/>
                <w:sz w:val="24"/>
                <w:lang w:val="en"/>
              </w:rPr>
            </w:pPr>
            <w:r>
              <w:rPr>
                <w:rFonts w:hint="eastAsia" w:asciiTheme="minorEastAsia" w:hAnsiTheme="minorEastAsia" w:eastAsiaTheme="minorEastAsia" w:cstheme="minorEastAsia"/>
                <w:kern w:val="0"/>
                <w:sz w:val="24"/>
                <w:lang w:val="en"/>
              </w:rPr>
              <w:t>负面清单管理</w:t>
            </w:r>
          </w:p>
        </w:tc>
        <w:tc>
          <w:tcPr>
            <w:tcW w:w="5454" w:type="dxa"/>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按照省交通运输厅及省交通质安局有关文件要求，现场检测项目应及时在智慧质监系统报备，工地试验室不合格报告，交工检测、桥梁动静载试验、桩基检测、桩基承载力试验、单片梁试验检测报告应及时上传智慧质监系统。</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1278" w:type="dxa"/>
            <w:vMerge w:val="continue"/>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kern w:val="0"/>
                <w:sz w:val="24"/>
                <w:lang w:val="en"/>
              </w:rPr>
            </w:pPr>
          </w:p>
        </w:tc>
        <w:tc>
          <w:tcPr>
            <w:tcW w:w="5454" w:type="dxa"/>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应及时处理、闭合不合格报告。</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1278" w:type="dxa"/>
            <w:vMerge w:val="restart"/>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kern w:val="0"/>
                <w:sz w:val="24"/>
                <w:lang w:val="en"/>
              </w:rPr>
            </w:pPr>
            <w:r>
              <w:rPr>
                <w:rFonts w:hint="eastAsia" w:asciiTheme="minorEastAsia" w:hAnsiTheme="minorEastAsia" w:eastAsiaTheme="minorEastAsia" w:cstheme="minorEastAsia"/>
                <w:kern w:val="0"/>
                <w:sz w:val="24"/>
                <w:lang w:val="en"/>
              </w:rPr>
              <w:t>关键数据监管</w:t>
            </w:r>
          </w:p>
        </w:tc>
        <w:tc>
          <w:tcPr>
            <w:tcW w:w="5454" w:type="dxa"/>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应统一建立检测数据监管系统，实现施工、监理等工地试验室主要力学数据（压力机、万能机）实时自动上传，桩基完整性检测原始波形图须及时存入监管系统。</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1278" w:type="dxa"/>
            <w:vMerge w:val="continue"/>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kern w:val="0"/>
                <w:sz w:val="24"/>
                <w:lang w:val="en"/>
              </w:rPr>
            </w:pPr>
          </w:p>
        </w:tc>
        <w:tc>
          <w:tcPr>
            <w:tcW w:w="5454" w:type="dxa"/>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应即时报警不合格数据，并及时处理、闭合。</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1278" w:type="dxa"/>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kern w:val="0"/>
                <w:sz w:val="24"/>
                <w:lang w:val="en"/>
              </w:rPr>
            </w:pPr>
            <w:r>
              <w:rPr>
                <w:rFonts w:hint="eastAsia" w:asciiTheme="minorEastAsia" w:hAnsiTheme="minorEastAsia" w:eastAsiaTheme="minorEastAsia" w:cstheme="minorEastAsia"/>
                <w:kern w:val="0"/>
                <w:sz w:val="24"/>
              </w:rPr>
              <w:t>检测记录、报告</w:t>
            </w:r>
          </w:p>
        </w:tc>
        <w:tc>
          <w:tcPr>
            <w:tcW w:w="5454" w:type="dxa"/>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应按照《公路水运试验检测数据报告编制导则》统一格式，完善样品信息和签署。</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1278" w:type="dxa"/>
            <w:vMerge w:val="restart"/>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kern w:val="0"/>
                <w:sz w:val="24"/>
                <w:lang w:val="en"/>
              </w:rPr>
            </w:pPr>
            <w:r>
              <w:rPr>
                <w:rFonts w:hint="eastAsia" w:asciiTheme="minorEastAsia" w:hAnsiTheme="minorEastAsia" w:eastAsiaTheme="minorEastAsia" w:cstheme="minorEastAsia"/>
                <w:kern w:val="0"/>
                <w:sz w:val="24"/>
                <w:lang w:val="en"/>
              </w:rPr>
              <w:t>信用评价管理</w:t>
            </w:r>
          </w:p>
        </w:tc>
        <w:tc>
          <w:tcPr>
            <w:tcW w:w="5454" w:type="dxa"/>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信用评价扣分应附检查通报文件依据。</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1278"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lang w:val="en"/>
              </w:rPr>
            </w:pPr>
          </w:p>
        </w:tc>
        <w:tc>
          <w:tcPr>
            <w:tcW w:w="5454" w:type="dxa"/>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涉及人员失信扣分的应落实到人。</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bl>
    <w:p>
      <w:pPr>
        <w:adjustRightInd w:val="0"/>
        <w:snapToGrid w:val="0"/>
        <w:jc w:val="both"/>
        <w:outlineLvl w:val="0"/>
        <w:rPr>
          <w:rFonts w:hint="eastAsia" w:ascii="黑体" w:hAnsi="黑体" w:eastAsia="黑体" w:cs="黑体"/>
          <w:color w:val="auto"/>
          <w:kern w:val="2"/>
          <w:sz w:val="32"/>
          <w:szCs w:val="32"/>
          <w:lang w:val="en-US" w:eastAsia="zh-CN" w:bidi="ar-SA"/>
        </w:rPr>
      </w:pPr>
      <w:r>
        <w:rPr>
          <w:rFonts w:hint="eastAsia" w:ascii="仿宋_GB2312" w:hAnsi="仿宋_GB2312" w:eastAsia="仿宋_GB2312" w:cs="仿宋_GB2312"/>
          <w:sz w:val="24"/>
        </w:rPr>
        <w:br w:type="page"/>
      </w:r>
      <w:r>
        <w:rPr>
          <w:rFonts w:hint="eastAsia" w:ascii="黑体" w:hAnsi="黑体" w:eastAsia="黑体" w:cs="黑体"/>
          <w:color w:val="auto"/>
          <w:kern w:val="2"/>
          <w:sz w:val="32"/>
          <w:szCs w:val="32"/>
          <w:lang w:val="en-US" w:eastAsia="zh-CN" w:bidi="ar-SA"/>
        </w:rPr>
        <w:t>附表</w:t>
      </w:r>
      <w:r>
        <w:rPr>
          <w:rFonts w:hint="default" w:ascii="黑体" w:hAnsi="黑体" w:eastAsia="黑体" w:cs="黑体"/>
          <w:color w:val="auto"/>
          <w:kern w:val="2"/>
          <w:sz w:val="32"/>
          <w:szCs w:val="32"/>
          <w:lang w:val="en" w:eastAsia="zh-CN" w:bidi="ar-SA"/>
        </w:rPr>
        <w:t>2</w:t>
      </w:r>
      <w:r>
        <w:rPr>
          <w:rFonts w:hint="eastAsia" w:ascii="黑体" w:hAnsi="黑体" w:eastAsia="黑体" w:cs="黑体"/>
          <w:color w:val="auto"/>
          <w:kern w:val="2"/>
          <w:sz w:val="32"/>
          <w:szCs w:val="32"/>
          <w:lang w:val="en-US" w:eastAsia="zh-CN" w:bidi="ar-SA"/>
        </w:rPr>
        <w:t>：</w:t>
      </w:r>
    </w:p>
    <w:p>
      <w:pPr>
        <w:jc w:val="center"/>
        <w:rPr>
          <w:rFonts w:hint="eastAsia" w:asciiTheme="minorEastAsia" w:hAnsiTheme="minorEastAsia" w:eastAsiaTheme="minorEastAsia" w:cstheme="minorEastAsia"/>
          <w:b/>
          <w:bCs/>
          <w:color w:val="000000"/>
          <w:kern w:val="2"/>
          <w:sz w:val="32"/>
          <w:szCs w:val="32"/>
          <w:lang w:val="en" w:eastAsia="zh-CN" w:bidi="ar-SA"/>
        </w:rPr>
      </w:pPr>
      <w:r>
        <w:rPr>
          <w:rFonts w:hint="eastAsia" w:asciiTheme="minorEastAsia" w:hAnsiTheme="minorEastAsia" w:eastAsiaTheme="minorEastAsia" w:cstheme="minorEastAsia"/>
          <w:b/>
          <w:bCs/>
          <w:color w:val="000000"/>
          <w:kern w:val="2"/>
          <w:sz w:val="32"/>
          <w:szCs w:val="32"/>
          <w:lang w:val="en-US" w:eastAsia="zh-CN" w:bidi="ar-SA"/>
        </w:rPr>
        <w:t>现场监理机构</w:t>
      </w:r>
      <w:r>
        <w:rPr>
          <w:rFonts w:hint="default" w:asciiTheme="minorEastAsia" w:hAnsiTheme="minorEastAsia" w:eastAsiaTheme="minorEastAsia" w:cstheme="minorEastAsia"/>
          <w:b/>
          <w:bCs/>
          <w:color w:val="000000"/>
          <w:kern w:val="2"/>
          <w:sz w:val="32"/>
          <w:szCs w:val="32"/>
          <w:lang w:val="en" w:eastAsia="zh-CN" w:bidi="ar-SA"/>
        </w:rPr>
        <w:t>专项</w:t>
      </w:r>
      <w:r>
        <w:rPr>
          <w:rFonts w:hint="eastAsia" w:asciiTheme="minorEastAsia" w:hAnsiTheme="minorEastAsia" w:eastAsiaTheme="minorEastAsia" w:cstheme="minorEastAsia"/>
          <w:b/>
          <w:bCs/>
          <w:color w:val="000000"/>
          <w:kern w:val="2"/>
          <w:sz w:val="32"/>
          <w:szCs w:val="32"/>
          <w:lang w:val="en-US" w:eastAsia="zh-CN" w:bidi="ar-SA"/>
        </w:rPr>
        <w:t>检查表</w:t>
      </w:r>
    </w:p>
    <w:tbl>
      <w:tblPr>
        <w:tblStyle w:val="13"/>
        <w:tblW w:w="4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1152"/>
        <w:gridCol w:w="468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69" w:type="pct"/>
            <w:gridSpan w:val="2"/>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检查项目</w:t>
            </w:r>
          </w:p>
        </w:tc>
        <w:tc>
          <w:tcPr>
            <w:tcW w:w="2634" w:type="pct"/>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检查内容</w:t>
            </w:r>
          </w:p>
        </w:tc>
        <w:tc>
          <w:tcPr>
            <w:tcW w:w="1195" w:type="pct"/>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2"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r>
              <w:rPr>
                <w:rFonts w:hint="eastAsia" w:asciiTheme="minorEastAsia" w:hAnsiTheme="minorEastAsia" w:eastAsiaTheme="minorEastAsia" w:cstheme="minorEastAsia"/>
                <w:spacing w:val="-12"/>
                <w:sz w:val="24"/>
              </w:rPr>
              <w:t>监理</w:t>
            </w:r>
          </w:p>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r>
              <w:rPr>
                <w:rFonts w:hint="eastAsia" w:asciiTheme="minorEastAsia" w:hAnsiTheme="minorEastAsia" w:eastAsiaTheme="minorEastAsia" w:cstheme="minorEastAsia"/>
                <w:spacing w:val="-12"/>
                <w:sz w:val="24"/>
              </w:rPr>
              <w:t>人员</w:t>
            </w:r>
          </w:p>
        </w:tc>
        <w:tc>
          <w:tcPr>
            <w:tcW w:w="647"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
              </w:rPr>
              <w:t>履约</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管理</w:t>
            </w: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人员资格资历须满足监理规范、招标文件及相关规定要求。</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人员变更、退场手续应齐全。</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按照人员履约管理办法做好考勤工作。</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22"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r>
              <w:rPr>
                <w:rFonts w:hint="eastAsia" w:asciiTheme="minorEastAsia" w:hAnsiTheme="minorEastAsia" w:eastAsiaTheme="minorEastAsia" w:cstheme="minorEastAsia"/>
                <w:spacing w:val="-12"/>
                <w:sz w:val="24"/>
              </w:rPr>
              <w:t>监理机构工作质量</w:t>
            </w:r>
          </w:p>
        </w:tc>
        <w:tc>
          <w:tcPr>
            <w:tcW w:w="647"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监理</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规范</w:t>
            </w: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lang w:eastAsia="zh-CN"/>
              </w:rPr>
            </w:pPr>
            <w:r>
              <w:rPr>
                <w:rFonts w:hint="eastAsia" w:asciiTheme="minorEastAsia" w:hAnsiTheme="minorEastAsia" w:eastAsiaTheme="minorEastAsia" w:cstheme="minorEastAsia"/>
                <w:kern w:val="0"/>
                <w:sz w:val="24"/>
                <w:lang w:eastAsia="zh-CN"/>
              </w:rPr>
              <w:t>监理规范及地方标准执行落实情况</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监理</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审批</w:t>
            </w: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开工报告、施工组织设计、施工技术方案审批手续应齐全。</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审查危险性较大工程技术措施、方案和列入评估范围内工程的施工安全风险评估报告。</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sz w:val="24"/>
              </w:rPr>
              <w:t>质量监理</w:t>
            </w: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按监理规范和合同要求旁站。</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巡视工作质量须到位，发现问题应记录及下发指令。</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lang w:val="en"/>
              </w:rPr>
            </w:pPr>
            <w:r>
              <w:rPr>
                <w:rFonts w:hint="eastAsia" w:asciiTheme="minorEastAsia" w:hAnsiTheme="minorEastAsia" w:eastAsiaTheme="minorEastAsia" w:cstheme="minorEastAsia"/>
                <w:kern w:val="0"/>
                <w:sz w:val="24"/>
                <w:lang w:val="en"/>
              </w:rPr>
              <w:t>监理指令及时上传智慧质监系统。</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经审批的施工方案应在现场实施到位。</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lang w:eastAsia="zh-CN"/>
              </w:rPr>
            </w:pPr>
            <w:r>
              <w:rPr>
                <w:rFonts w:hint="eastAsia" w:asciiTheme="minorEastAsia" w:hAnsiTheme="minorEastAsia" w:eastAsiaTheme="minorEastAsia" w:cstheme="minorEastAsia"/>
                <w:kern w:val="0"/>
                <w:sz w:val="24"/>
                <w:lang w:eastAsia="zh-CN"/>
              </w:rPr>
              <w:t>监理抽检资料真实准确，抽检频率满足要求。</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有效管控现场施工质量，发现存在的问题应及督促整改到位。</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安全</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监理</w:t>
            </w: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建立安全生产责任制、安全检查制度、事故报告制度、安全生产费用管理制度、安全生产应急管理制度、教育培训制度、安全会议制度等，且具有操作性。</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编制安全监理计划及细则，并按计划及细则组织实施。</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kern w:val="0"/>
                <w:sz w:val="24"/>
              </w:rPr>
              <w:t>落实各项安全专项检查和日常巡查，发现安全隐患要求施工单位及时整改，并有文字记录，下发指令闭合。</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kern w:val="0"/>
                <w:sz w:val="24"/>
              </w:rPr>
              <w:t>落实平安工地考核各项要求，每季度对所辖合同段平安工地建设管理情况进行监督检查，发现问题及时督促整改。</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制定重大风险源管理办法，建立重大风险台账，及时更新，及时销号。</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kern w:val="0"/>
                <w:sz w:val="24"/>
              </w:rPr>
              <w:t>对特种设备是否在合格有效期运行、特种作业人员持证上岗的情况开展检查。</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安全经费审批及管理应符合相关要求。</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kern w:val="0"/>
                <w:sz w:val="24"/>
              </w:rPr>
              <w:t>落实一会三卡及十项施工重大风险管控要求，并对所辖施工单位按要求落实相关工作情况进行检查。</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责任</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事故</w:t>
            </w: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施工现场应无责任质量安全事故、较大质量问题或安全隐患。</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22"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c>
          <w:tcPr>
            <w:tcW w:w="647"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sz w:val="24"/>
              </w:rPr>
              <w:t>工地试验室</w:t>
            </w: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原材料抽检、标准试验应规范，数据须真实。</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169" w:type="pct"/>
            <w:gridSpan w:val="2"/>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r>
              <w:rPr>
                <w:rFonts w:hint="eastAsia" w:asciiTheme="minorEastAsia" w:hAnsiTheme="minorEastAsia" w:eastAsiaTheme="minorEastAsia" w:cstheme="minorEastAsia"/>
                <w:spacing w:val="-12"/>
                <w:sz w:val="24"/>
              </w:rPr>
              <w:t>廉政建设</w:t>
            </w:r>
          </w:p>
        </w:tc>
        <w:tc>
          <w:tcPr>
            <w:tcW w:w="2634" w:type="pct"/>
            <w:noWrap w:val="0"/>
            <w:vAlign w:val="center"/>
          </w:tcPr>
          <w:p>
            <w:pPr>
              <w:keepNext w:val="0"/>
              <w:keepLines w:val="0"/>
              <w:pageBreakBefore w:val="0"/>
              <w:widowControl/>
              <w:kinsoku/>
              <w:wordWrap/>
              <w:overflowPunct/>
              <w:topLinePunct w:val="0"/>
              <w:autoSpaceDE/>
              <w:autoSpaceDN/>
              <w:bidi w:val="0"/>
              <w:snapToGrid w:val="0"/>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不得存在索贿、受贿、吃拿卡要等行为。</w:t>
            </w:r>
          </w:p>
        </w:tc>
        <w:tc>
          <w:tcPr>
            <w:tcW w:w="119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pacing w:val="-12"/>
                <w:sz w:val="24"/>
              </w:rPr>
            </w:pPr>
          </w:p>
        </w:tc>
      </w:tr>
    </w:tbl>
    <w:p>
      <w:pPr>
        <w:adjustRightInd w:val="0"/>
        <w:snapToGrid w:val="0"/>
        <w:ind w:firstLine="480" w:firstLineChars="200"/>
        <w:jc w:val="left"/>
        <w:rPr>
          <w:rFonts w:ascii="仿宋" w:hAnsi="仿宋" w:eastAsia="仿宋" w:cs="仿宋"/>
          <w:sz w:val="32"/>
          <w:szCs w:val="32"/>
        </w:rPr>
      </w:pPr>
      <w:r>
        <w:rPr>
          <w:rFonts w:hint="eastAsia" w:ascii="仿宋_GB2312" w:hAnsi="仿宋_GB2312" w:eastAsia="仿宋_GB2312" w:cs="仿宋_GB2312"/>
          <w:kern w:val="0"/>
          <w:sz w:val="24"/>
          <w:szCs w:val="24"/>
          <w:lang w:val="en" w:eastAsia="zh-CN"/>
        </w:rPr>
        <w:t>备注：</w:t>
      </w:r>
      <w:r>
        <w:rPr>
          <w:rFonts w:hint="default" w:ascii="仿宋_GB2312" w:hAnsi="仿宋_GB2312" w:eastAsia="仿宋_GB2312" w:cs="仿宋_GB2312"/>
          <w:kern w:val="0"/>
          <w:sz w:val="24"/>
          <w:szCs w:val="24"/>
          <w:lang w:val="en"/>
        </w:rPr>
        <w:t>▲</w:t>
      </w:r>
      <w:r>
        <w:rPr>
          <w:rFonts w:hint="eastAsia" w:ascii="仿宋_GB2312" w:hAnsi="仿宋_GB2312" w:eastAsia="仿宋_GB2312" w:cs="仿宋_GB2312"/>
          <w:kern w:val="0"/>
          <w:sz w:val="24"/>
          <w:szCs w:val="24"/>
          <w:lang w:val="en" w:eastAsia="zh-CN"/>
        </w:rPr>
        <w:t>为此次专项检查重点。</w:t>
      </w:r>
    </w:p>
    <w:p>
      <w:pPr>
        <w:jc w:val="both"/>
        <w:rPr>
          <w:rFonts w:hint="default" w:ascii="Times New Roman" w:hAnsi="Times New Roman" w:cs="Times New Roman"/>
          <w:sz w:val="32"/>
          <w:szCs w:val="32"/>
          <w:lang w:val="en-US" w:eastAsia="zh-CN"/>
        </w:rPr>
      </w:pPr>
    </w:p>
    <w:p>
      <w:pPr>
        <w:jc w:val="both"/>
        <w:rPr>
          <w:rFonts w:hint="eastAsia" w:ascii="黑体" w:hAnsi="黑体" w:eastAsia="黑体" w:cs="黑体"/>
          <w:color w:val="auto"/>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br w:type="page"/>
      </w:r>
      <w:bookmarkStart w:id="1" w:name="_Toc492046552_WPSOffice_Level1"/>
      <w:bookmarkStart w:id="2" w:name="_Toc1476065882_WPSOffice_Level1"/>
      <w:r>
        <w:rPr>
          <w:rFonts w:hint="eastAsia" w:ascii="黑体" w:hAnsi="黑体" w:eastAsia="黑体" w:cs="黑体"/>
          <w:color w:val="auto"/>
          <w:kern w:val="2"/>
          <w:sz w:val="32"/>
          <w:szCs w:val="32"/>
          <w:lang w:val="en-US" w:eastAsia="zh-CN" w:bidi="ar-SA"/>
        </w:rPr>
        <w:t>附表</w:t>
      </w:r>
      <w:r>
        <w:rPr>
          <w:rFonts w:hint="default" w:ascii="黑体" w:hAnsi="黑体" w:eastAsia="黑体" w:cs="黑体"/>
          <w:color w:val="auto"/>
          <w:kern w:val="2"/>
          <w:sz w:val="32"/>
          <w:szCs w:val="32"/>
          <w:lang w:val="en" w:eastAsia="zh-CN" w:bidi="ar-SA"/>
        </w:rPr>
        <w:t>3</w:t>
      </w:r>
      <w:r>
        <w:rPr>
          <w:rFonts w:hint="eastAsia" w:ascii="黑体" w:hAnsi="黑体" w:eastAsia="黑体" w:cs="黑体"/>
          <w:color w:val="auto"/>
          <w:kern w:val="2"/>
          <w:sz w:val="32"/>
          <w:szCs w:val="32"/>
          <w:lang w:val="en-US" w:eastAsia="zh-CN" w:bidi="ar-SA"/>
        </w:rPr>
        <w:t>：</w:t>
      </w:r>
    </w:p>
    <w:p>
      <w:pPr>
        <w:jc w:val="center"/>
        <w:rPr>
          <w:rFonts w:hint="eastAsia" w:asciiTheme="minorEastAsia" w:hAnsiTheme="minorEastAsia" w:eastAsiaTheme="minorEastAsia" w:cstheme="minorEastAsia"/>
          <w:b/>
          <w:bCs/>
          <w:color w:val="000000"/>
          <w:kern w:val="2"/>
          <w:sz w:val="32"/>
          <w:szCs w:val="32"/>
          <w:lang w:val="en-US" w:eastAsia="zh-CN" w:bidi="ar-SA"/>
        </w:rPr>
      </w:pPr>
      <w:r>
        <w:rPr>
          <w:rFonts w:hint="eastAsia" w:asciiTheme="minorEastAsia" w:hAnsiTheme="minorEastAsia" w:eastAsiaTheme="minorEastAsia" w:cstheme="minorEastAsia"/>
          <w:b/>
          <w:bCs/>
          <w:color w:val="000000"/>
          <w:kern w:val="2"/>
          <w:sz w:val="32"/>
          <w:szCs w:val="32"/>
          <w:lang w:val="en-US" w:eastAsia="zh-CN" w:bidi="ar-SA"/>
        </w:rPr>
        <w:t>工地试验室</w:t>
      </w:r>
      <w:bookmarkEnd w:id="1"/>
      <w:bookmarkEnd w:id="2"/>
      <w:r>
        <w:rPr>
          <w:rFonts w:hint="default" w:asciiTheme="minorEastAsia" w:hAnsiTheme="minorEastAsia" w:eastAsiaTheme="minorEastAsia" w:cstheme="minorEastAsia"/>
          <w:b/>
          <w:bCs/>
          <w:color w:val="000000"/>
          <w:kern w:val="2"/>
          <w:sz w:val="32"/>
          <w:szCs w:val="32"/>
          <w:lang w:val="en" w:eastAsia="zh-CN" w:bidi="ar-SA"/>
        </w:rPr>
        <w:t>专项</w:t>
      </w:r>
      <w:r>
        <w:rPr>
          <w:rFonts w:hint="eastAsia" w:asciiTheme="minorEastAsia" w:hAnsiTheme="minorEastAsia" w:eastAsiaTheme="minorEastAsia" w:cstheme="minorEastAsia"/>
          <w:b/>
          <w:bCs/>
          <w:color w:val="000000"/>
          <w:kern w:val="2"/>
          <w:sz w:val="32"/>
          <w:szCs w:val="32"/>
          <w:lang w:val="en-US" w:eastAsia="zh-CN" w:bidi="ar-SA"/>
        </w:rPr>
        <w:t>检查表</w:t>
      </w:r>
    </w:p>
    <w:tbl>
      <w:tblPr>
        <w:tblStyle w:val="13"/>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30"/>
        <w:gridCol w:w="645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8" w:type="dxa"/>
            <w:noWrap w:val="0"/>
            <w:vAlign w:val="center"/>
          </w:tcPr>
          <w:p>
            <w:pPr>
              <w:widowControl/>
              <w:jc w:val="center"/>
              <w:rPr>
                <w:rFonts w:hint="eastAsia" w:asciiTheme="minorEastAsia" w:hAnsiTheme="minorEastAsia" w:eastAsiaTheme="minorEastAsia" w:cstheme="minorEastAsia"/>
                <w:b/>
                <w:bCs/>
                <w:kern w:val="0"/>
                <w:sz w:val="24"/>
                <w:lang w:val="en"/>
              </w:rPr>
            </w:pPr>
            <w:r>
              <w:rPr>
                <w:rFonts w:hint="eastAsia" w:asciiTheme="minorEastAsia" w:hAnsiTheme="minorEastAsia" w:eastAsiaTheme="minorEastAsia" w:cstheme="minorEastAsia"/>
                <w:b/>
                <w:bCs/>
                <w:kern w:val="0"/>
                <w:sz w:val="24"/>
                <w:lang w:val="en"/>
              </w:rPr>
              <w:t>督查对象</w:t>
            </w:r>
          </w:p>
        </w:tc>
        <w:tc>
          <w:tcPr>
            <w:tcW w:w="1230" w:type="dxa"/>
            <w:noWrap w:val="0"/>
            <w:vAlign w:val="center"/>
          </w:tcPr>
          <w:p>
            <w:pPr>
              <w:widowControl/>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检查项目</w:t>
            </w:r>
          </w:p>
        </w:tc>
        <w:tc>
          <w:tcPr>
            <w:tcW w:w="6450" w:type="dxa"/>
            <w:noWrap w:val="0"/>
            <w:vAlign w:val="center"/>
          </w:tcPr>
          <w:p>
            <w:pPr>
              <w:widowControl/>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检查内容</w:t>
            </w:r>
          </w:p>
        </w:tc>
        <w:tc>
          <w:tcPr>
            <w:tcW w:w="899" w:type="dxa"/>
            <w:noWrap w:val="0"/>
            <w:vAlign w:val="center"/>
          </w:tcPr>
          <w:p>
            <w:pPr>
              <w:widowControl/>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restart"/>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施工、监理单位工地试验室</w:t>
            </w:r>
          </w:p>
        </w:tc>
        <w:tc>
          <w:tcPr>
            <w:tcW w:w="1230" w:type="dxa"/>
            <w:vMerge w:val="restart"/>
            <w:noWrap w:val="0"/>
            <w:vAlign w:val="center"/>
          </w:tcPr>
          <w:p>
            <w:pPr>
              <w:widowControl/>
              <w:jc w:val="center"/>
              <w:rPr>
                <w:rFonts w:hint="eastAsia" w:asciiTheme="minorEastAsia" w:hAnsiTheme="minorEastAsia" w:eastAsiaTheme="minorEastAsia" w:cstheme="minorEastAsia"/>
                <w:kern w:val="0"/>
                <w:sz w:val="24"/>
                <w:szCs w:val="24"/>
                <w:lang w:val="en"/>
              </w:rPr>
            </w:pPr>
            <w:r>
              <w:rPr>
                <w:rFonts w:hint="eastAsia" w:asciiTheme="minorEastAsia" w:hAnsiTheme="minorEastAsia" w:eastAsiaTheme="minorEastAsia" w:cstheme="minorEastAsia"/>
                <w:sz w:val="24"/>
                <w:szCs w:val="24"/>
                <w:lang w:val="en"/>
              </w:rPr>
              <w:t>▲</w:t>
            </w:r>
            <w:r>
              <w:rPr>
                <w:rFonts w:hint="eastAsia" w:asciiTheme="minorEastAsia" w:hAnsiTheme="minorEastAsia" w:eastAsiaTheme="minorEastAsia" w:cstheme="minorEastAsia"/>
                <w:kern w:val="0"/>
                <w:sz w:val="24"/>
                <w:szCs w:val="24"/>
                <w:lang w:val="en"/>
              </w:rPr>
              <w:t>假数据假报告</w:t>
            </w: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通过现场试验验证检测人员不得存在实操能力不足或严重违反规程操作，或不清楚检测部位，或未能提供检测原始数据和工作痕迹，或不清楚检测报告内容的问题。</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通过验证性检测（或监督抽检）比对施工、监理工地试验室检测，检测报告结论不得相反或存在重大问题。</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不得存在未进行检测而出具检测报告或为满足检测频率要求而编造数据报告或进行了检测但篡改数据出具检测报告的问题。</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试验台账不得虚假或人员签字不得虚假或不得伪造印章。</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数据精度与仪器分度值应对应</w:t>
            </w:r>
            <w:r>
              <w:rPr>
                <w:rFonts w:hint="eastAsia" w:asciiTheme="minorEastAsia" w:hAnsiTheme="minorEastAsia" w:eastAsiaTheme="minorEastAsia" w:cstheme="minorEastAsia"/>
                <w:kern w:val="0"/>
                <w:sz w:val="24"/>
                <w:szCs w:val="24"/>
                <w:lang w:val="en"/>
              </w:rPr>
              <w:t>，或试验仪器、配件、溶剂</w:t>
            </w:r>
            <w:r>
              <w:rPr>
                <w:rFonts w:hint="eastAsia" w:asciiTheme="minorEastAsia" w:hAnsiTheme="minorEastAsia" w:eastAsiaTheme="minorEastAsia" w:cstheme="minorEastAsia"/>
                <w:kern w:val="0"/>
                <w:sz w:val="24"/>
                <w:szCs w:val="24"/>
              </w:rPr>
              <w:t>应</w:t>
            </w:r>
            <w:r>
              <w:rPr>
                <w:rFonts w:hint="eastAsia" w:asciiTheme="minorEastAsia" w:hAnsiTheme="minorEastAsia" w:eastAsiaTheme="minorEastAsia" w:cstheme="minorEastAsia"/>
                <w:kern w:val="0"/>
                <w:sz w:val="24"/>
                <w:szCs w:val="24"/>
                <w:lang w:val="en"/>
              </w:rPr>
              <w:t>齐全。</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报告中数据、结论与原始记录须一致。</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多组试验时，不得存在数据明显雷同的问题。</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监理试验检测不得由施工单位代做。</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在记录所反映出的时间段内，不得存在不可能完成相应工作量的问题。</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restart"/>
            <w:noWrap w:val="0"/>
            <w:vAlign w:val="center"/>
          </w:tcPr>
          <w:p>
            <w:pPr>
              <w:widowControl/>
              <w:jc w:val="center"/>
              <w:rPr>
                <w:rFonts w:hint="eastAsia" w:asciiTheme="minorEastAsia" w:hAnsiTheme="minorEastAsia" w:eastAsiaTheme="minorEastAsia" w:cstheme="minorEastAsia"/>
                <w:kern w:val="0"/>
                <w:sz w:val="24"/>
                <w:szCs w:val="24"/>
                <w:lang w:val="en"/>
              </w:rPr>
            </w:pPr>
            <w:r>
              <w:rPr>
                <w:rFonts w:hint="eastAsia" w:asciiTheme="minorEastAsia" w:hAnsiTheme="minorEastAsia" w:eastAsiaTheme="minorEastAsia" w:cstheme="minorEastAsia"/>
                <w:kern w:val="0"/>
                <w:sz w:val="24"/>
                <w:szCs w:val="24"/>
                <w:lang w:val="en"/>
              </w:rPr>
              <w:t>借资质或超范围承揽业务</w:t>
            </w: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实际从业人员应是检测机构人员，且应注册在本检测机构。</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仪器、设备、场地应是本检测机构所有或所租。</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检测记录或报告应是本检测机构人员编制。</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合同签订应是本检测机构。</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不得超出资质范围或授权参数出具检测报告。</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restart"/>
            <w:noWrap w:val="0"/>
            <w:vAlign w:val="center"/>
          </w:tcPr>
          <w:p>
            <w:pPr>
              <w:widowControl/>
              <w:jc w:val="center"/>
              <w:rPr>
                <w:rFonts w:hint="eastAsia" w:asciiTheme="minorEastAsia" w:hAnsiTheme="minorEastAsia" w:eastAsiaTheme="minorEastAsia" w:cstheme="minorEastAsia"/>
                <w:kern w:val="0"/>
                <w:sz w:val="24"/>
                <w:szCs w:val="24"/>
                <w:lang w:val="en"/>
              </w:rPr>
            </w:pPr>
            <w:r>
              <w:rPr>
                <w:rFonts w:hint="eastAsia" w:asciiTheme="minorEastAsia" w:hAnsiTheme="minorEastAsia" w:eastAsiaTheme="minorEastAsia" w:cstheme="minorEastAsia"/>
                <w:sz w:val="24"/>
                <w:szCs w:val="24"/>
                <w:lang w:val="en"/>
              </w:rPr>
              <w:t>▲</w:t>
            </w:r>
            <w:r>
              <w:rPr>
                <w:rFonts w:hint="eastAsia" w:asciiTheme="minorEastAsia" w:hAnsiTheme="minorEastAsia" w:eastAsiaTheme="minorEastAsia" w:cstheme="minorEastAsia"/>
                <w:kern w:val="0"/>
                <w:sz w:val="24"/>
                <w:szCs w:val="24"/>
                <w:lang w:val="en"/>
              </w:rPr>
              <w:t>检测</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
              </w:rPr>
              <w:t>人员</w:t>
            </w: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应持证上岗且注册登记，持证专业须满足要求。</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不得存在“索拿卡要”行为。</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restart"/>
            <w:noWrap w:val="0"/>
            <w:vAlign w:val="center"/>
          </w:tcPr>
          <w:p>
            <w:pPr>
              <w:widowControl/>
              <w:jc w:val="center"/>
              <w:rPr>
                <w:rFonts w:hint="eastAsia" w:asciiTheme="minorEastAsia" w:hAnsiTheme="minorEastAsia" w:eastAsiaTheme="minorEastAsia" w:cstheme="minorEastAsia"/>
                <w:kern w:val="0"/>
                <w:sz w:val="24"/>
                <w:szCs w:val="24"/>
                <w:lang w:val="en"/>
              </w:rPr>
            </w:pPr>
            <w:r>
              <w:rPr>
                <w:rFonts w:hint="eastAsia" w:asciiTheme="minorEastAsia" w:hAnsiTheme="minorEastAsia" w:eastAsiaTheme="minorEastAsia" w:cstheme="minorEastAsia"/>
                <w:sz w:val="24"/>
                <w:szCs w:val="24"/>
                <w:lang w:val="en"/>
              </w:rPr>
              <w:t>▲</w:t>
            </w:r>
            <w:r>
              <w:rPr>
                <w:rFonts w:hint="eastAsia" w:asciiTheme="minorEastAsia" w:hAnsiTheme="minorEastAsia" w:eastAsiaTheme="minorEastAsia" w:cstheme="minorEastAsia"/>
                <w:kern w:val="0"/>
                <w:sz w:val="24"/>
                <w:szCs w:val="24"/>
                <w:lang w:val="en"/>
              </w:rPr>
              <w:t>检测指标及频率</w:t>
            </w:r>
          </w:p>
        </w:tc>
        <w:tc>
          <w:tcPr>
            <w:tcW w:w="6450" w:type="dxa"/>
            <w:noWrap w:val="0"/>
            <w:vAlign w:val="center"/>
          </w:tcPr>
          <w:p>
            <w:pPr>
              <w:widowControl/>
              <w:jc w:val="left"/>
              <w:rPr>
                <w:rFonts w:hint="eastAsia" w:asciiTheme="minorEastAsia" w:hAnsiTheme="minorEastAsia" w:eastAsiaTheme="minorEastAsia" w:cstheme="minorEastAsia"/>
                <w:kern w:val="0"/>
                <w:sz w:val="24"/>
                <w:szCs w:val="24"/>
                <w:lang w:val="en"/>
              </w:rPr>
            </w:pPr>
            <w:r>
              <w:rPr>
                <w:rFonts w:hint="eastAsia" w:asciiTheme="minorEastAsia" w:hAnsiTheme="minorEastAsia" w:eastAsiaTheme="minorEastAsia" w:cstheme="minorEastAsia"/>
                <w:kern w:val="0"/>
                <w:sz w:val="24"/>
                <w:szCs w:val="24"/>
                <w:lang w:val="en"/>
              </w:rPr>
              <w:t>按检测规程实施。</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应自检或委托试验</w:t>
            </w:r>
            <w:r>
              <w:rPr>
                <w:rFonts w:hint="eastAsia" w:asciiTheme="minorEastAsia" w:hAnsiTheme="minorEastAsia" w:eastAsiaTheme="minorEastAsia" w:cstheme="minorEastAsia"/>
                <w:kern w:val="0"/>
                <w:sz w:val="24"/>
                <w:szCs w:val="24"/>
                <w:lang w:val="en"/>
              </w:rPr>
              <w:t>，</w:t>
            </w:r>
            <w:r>
              <w:rPr>
                <w:rFonts w:hint="eastAsia" w:asciiTheme="minorEastAsia" w:hAnsiTheme="minorEastAsia" w:eastAsiaTheme="minorEastAsia" w:cstheme="minorEastAsia"/>
                <w:kern w:val="0"/>
                <w:sz w:val="24"/>
                <w:szCs w:val="24"/>
              </w:rPr>
              <w:t>且</w:t>
            </w:r>
            <w:r>
              <w:rPr>
                <w:rFonts w:hint="eastAsia" w:asciiTheme="minorEastAsia" w:hAnsiTheme="minorEastAsia" w:eastAsiaTheme="minorEastAsia" w:cstheme="minorEastAsia"/>
                <w:kern w:val="0"/>
                <w:sz w:val="24"/>
                <w:szCs w:val="24"/>
                <w:lang w:val="en"/>
              </w:rPr>
              <w:t>委托试验的检测机构资质</w:t>
            </w:r>
            <w:r>
              <w:rPr>
                <w:rFonts w:hint="eastAsia" w:asciiTheme="minorEastAsia" w:hAnsiTheme="minorEastAsia" w:eastAsiaTheme="minorEastAsia" w:cstheme="minorEastAsia"/>
                <w:kern w:val="0"/>
                <w:sz w:val="24"/>
                <w:szCs w:val="24"/>
              </w:rPr>
              <w:t>须</w:t>
            </w:r>
            <w:r>
              <w:rPr>
                <w:rFonts w:hint="eastAsia" w:asciiTheme="minorEastAsia" w:hAnsiTheme="minorEastAsia" w:eastAsiaTheme="minorEastAsia" w:cstheme="minorEastAsia"/>
                <w:kern w:val="0"/>
                <w:sz w:val="24"/>
                <w:szCs w:val="24"/>
                <w:lang w:val="en"/>
              </w:rPr>
              <w:t>符合要求。</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应建立原材料进场台账，原材料检测（或外委检测）、过程质量检验、配合比设计</w:t>
            </w:r>
            <w:r>
              <w:rPr>
                <w:rFonts w:hint="eastAsia" w:asciiTheme="minorEastAsia" w:hAnsiTheme="minorEastAsia" w:eastAsiaTheme="minorEastAsia" w:cstheme="minorEastAsia"/>
                <w:kern w:val="0"/>
                <w:sz w:val="24"/>
                <w:szCs w:val="24"/>
                <w:lang w:val="en"/>
              </w:rPr>
              <w:t>指标、</w:t>
            </w:r>
            <w:r>
              <w:rPr>
                <w:rFonts w:hint="eastAsia" w:asciiTheme="minorEastAsia" w:hAnsiTheme="minorEastAsia" w:eastAsiaTheme="minorEastAsia" w:cstheme="minorEastAsia"/>
                <w:kern w:val="0"/>
                <w:sz w:val="24"/>
                <w:szCs w:val="24"/>
              </w:rPr>
              <w:t>频率须满足规范要求。</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restart"/>
            <w:noWrap w:val="0"/>
            <w:vAlign w:val="center"/>
          </w:tcPr>
          <w:p>
            <w:pPr>
              <w:widowControl/>
              <w:jc w:val="center"/>
              <w:rPr>
                <w:rFonts w:hint="eastAsia" w:asciiTheme="minorEastAsia" w:hAnsiTheme="minorEastAsia" w:eastAsiaTheme="minorEastAsia" w:cstheme="minorEastAsia"/>
                <w:kern w:val="0"/>
                <w:sz w:val="24"/>
                <w:szCs w:val="24"/>
                <w:lang w:val="en"/>
              </w:rPr>
            </w:pPr>
            <w:r>
              <w:rPr>
                <w:rFonts w:hint="eastAsia" w:asciiTheme="minorEastAsia" w:hAnsiTheme="minorEastAsia" w:eastAsiaTheme="minorEastAsia" w:cstheme="minorEastAsia"/>
                <w:sz w:val="24"/>
                <w:szCs w:val="24"/>
                <w:lang w:val="en"/>
              </w:rPr>
              <w:t>▲</w:t>
            </w:r>
            <w:r>
              <w:rPr>
                <w:rFonts w:hint="eastAsia" w:asciiTheme="minorEastAsia" w:hAnsiTheme="minorEastAsia" w:eastAsiaTheme="minorEastAsia" w:cstheme="minorEastAsia"/>
                <w:kern w:val="0"/>
                <w:sz w:val="24"/>
                <w:szCs w:val="24"/>
                <w:lang w:val="en"/>
              </w:rPr>
              <w:t>负面清单管理</w:t>
            </w: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应及时上传不合格检测报告到智慧质监系统。</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应及时处理、闭合不合格报告。</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noWrap w:val="0"/>
            <w:vAlign w:val="center"/>
          </w:tcPr>
          <w:p>
            <w:pPr>
              <w:widowControl/>
              <w:jc w:val="center"/>
              <w:rPr>
                <w:rFonts w:hint="eastAsia" w:asciiTheme="minorEastAsia" w:hAnsiTheme="minorEastAsia" w:eastAsiaTheme="minorEastAsia" w:cstheme="minorEastAsia"/>
                <w:kern w:val="0"/>
                <w:sz w:val="24"/>
                <w:szCs w:val="24"/>
                <w:lang w:val="en"/>
              </w:rPr>
            </w:pPr>
            <w:r>
              <w:rPr>
                <w:rFonts w:hint="eastAsia" w:asciiTheme="minorEastAsia" w:hAnsiTheme="minorEastAsia" w:eastAsiaTheme="minorEastAsia" w:cstheme="minorEastAsia"/>
                <w:sz w:val="24"/>
                <w:szCs w:val="24"/>
                <w:lang w:val="en"/>
              </w:rPr>
              <w:t>▲</w:t>
            </w:r>
            <w:r>
              <w:rPr>
                <w:rFonts w:hint="eastAsia" w:asciiTheme="minorEastAsia" w:hAnsiTheme="minorEastAsia" w:eastAsiaTheme="minorEastAsia" w:cstheme="minorEastAsia"/>
                <w:kern w:val="0"/>
                <w:sz w:val="24"/>
                <w:szCs w:val="24"/>
                <w:lang w:val="en"/>
              </w:rPr>
              <w:t>仪器设备、试验环境</w:t>
            </w: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试验环境须满足试验检测要求；</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仪器设备须按规定进行检定和校准。</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restart"/>
            <w:noWrap w:val="0"/>
            <w:vAlign w:val="center"/>
          </w:tcPr>
          <w:p>
            <w:pPr>
              <w:widowControl/>
              <w:jc w:val="center"/>
              <w:rPr>
                <w:rFonts w:hint="eastAsia" w:asciiTheme="minorEastAsia" w:hAnsiTheme="minorEastAsia" w:eastAsiaTheme="minorEastAsia" w:cstheme="minorEastAsia"/>
                <w:kern w:val="0"/>
                <w:sz w:val="24"/>
                <w:szCs w:val="24"/>
                <w:lang w:val="en"/>
              </w:rPr>
            </w:pPr>
            <w:r>
              <w:rPr>
                <w:rFonts w:hint="eastAsia" w:asciiTheme="minorEastAsia" w:hAnsiTheme="minorEastAsia" w:eastAsiaTheme="minorEastAsia" w:cstheme="minorEastAsia"/>
                <w:sz w:val="24"/>
                <w:szCs w:val="24"/>
                <w:lang w:val="en"/>
              </w:rPr>
              <w:t>▲</w:t>
            </w:r>
            <w:r>
              <w:rPr>
                <w:rFonts w:hint="eastAsia" w:asciiTheme="minorEastAsia" w:hAnsiTheme="minorEastAsia" w:eastAsiaTheme="minorEastAsia" w:cstheme="minorEastAsia"/>
                <w:kern w:val="0"/>
                <w:sz w:val="24"/>
                <w:szCs w:val="24"/>
                <w:lang w:val="en"/>
              </w:rPr>
              <w:t>检测记录、报告</w:t>
            </w: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应按标准规范出具检测报告。</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widowControl/>
              <w:jc w:val="center"/>
              <w:rPr>
                <w:rFonts w:hint="eastAsia" w:asciiTheme="minorEastAsia" w:hAnsiTheme="minorEastAsia" w:eastAsiaTheme="minorEastAsia" w:cstheme="minorEastAsia"/>
                <w:kern w:val="0"/>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应按照《公路水运试验检测数据报告编制导则》统一格式，完善样品信息和签署。</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restart"/>
            <w:noWrap w:val="0"/>
            <w:vAlign w:val="center"/>
          </w:tcPr>
          <w:p>
            <w:pPr>
              <w:widowControl/>
              <w:jc w:val="center"/>
              <w:rPr>
                <w:rFonts w:hint="eastAsia" w:asciiTheme="minorEastAsia" w:hAnsiTheme="minorEastAsia" w:eastAsiaTheme="minorEastAsia" w:cstheme="minorEastAsia"/>
                <w:kern w:val="0"/>
                <w:sz w:val="24"/>
                <w:szCs w:val="24"/>
                <w:lang w:val="en"/>
              </w:rPr>
            </w:pPr>
            <w:r>
              <w:rPr>
                <w:rFonts w:hint="eastAsia" w:asciiTheme="minorEastAsia" w:hAnsiTheme="minorEastAsia" w:eastAsiaTheme="minorEastAsia" w:cstheme="minorEastAsia"/>
                <w:kern w:val="0"/>
                <w:sz w:val="24"/>
                <w:szCs w:val="24"/>
                <w:lang w:val="en"/>
              </w:rPr>
              <w:t>母体机构检查管理</w:t>
            </w: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工地试验室备案前，应对工地试验室进行检查指导。</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rPr>
            </w:pPr>
          </w:p>
        </w:tc>
        <w:tc>
          <w:tcPr>
            <w:tcW w:w="1230"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szCs w:val="24"/>
                <w:lang w:val="en"/>
              </w:rPr>
            </w:pPr>
          </w:p>
        </w:tc>
        <w:tc>
          <w:tcPr>
            <w:tcW w:w="6450" w:type="dxa"/>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母体机构</w:t>
            </w:r>
            <w:r>
              <w:rPr>
                <w:rFonts w:hint="eastAsia" w:asciiTheme="minorEastAsia" w:hAnsiTheme="minorEastAsia" w:eastAsiaTheme="minorEastAsia" w:cstheme="minorEastAsia"/>
                <w:kern w:val="0"/>
                <w:sz w:val="24"/>
                <w:szCs w:val="24"/>
                <w:lang w:val="en"/>
              </w:rPr>
              <w:t>每半年开展一次检查，有检查记录并整改闭合</w:t>
            </w:r>
            <w:r>
              <w:rPr>
                <w:rFonts w:hint="eastAsia" w:asciiTheme="minorEastAsia" w:hAnsiTheme="minorEastAsia" w:eastAsiaTheme="minorEastAsia" w:cstheme="minorEastAsia"/>
                <w:kern w:val="0"/>
                <w:sz w:val="24"/>
                <w:szCs w:val="24"/>
              </w:rPr>
              <w:t>。</w:t>
            </w:r>
          </w:p>
        </w:tc>
        <w:tc>
          <w:tcPr>
            <w:tcW w:w="899"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2"/>
          <w:sz w:val="32"/>
          <w:szCs w:val="32"/>
          <w:lang w:val="en-US" w:eastAsia="zh-CN" w:bidi="ar-SA"/>
        </w:rPr>
      </w:pPr>
      <w:r>
        <w:rPr>
          <w:rFonts w:hint="eastAsia" w:ascii="仿宋_GB2312" w:hAnsi="仿宋_GB2312" w:eastAsia="仿宋_GB2312" w:cs="仿宋_GB2312"/>
          <w:kern w:val="0"/>
          <w:sz w:val="24"/>
          <w:szCs w:val="24"/>
          <w:lang w:val="en" w:eastAsia="zh-CN"/>
        </w:rPr>
        <w:t>备注：</w:t>
      </w:r>
      <w:r>
        <w:rPr>
          <w:rFonts w:hint="default" w:ascii="仿宋_GB2312" w:hAnsi="仿宋_GB2312" w:eastAsia="仿宋_GB2312" w:cs="仿宋_GB2312"/>
          <w:kern w:val="0"/>
          <w:sz w:val="24"/>
          <w:szCs w:val="24"/>
          <w:lang w:val="en"/>
        </w:rPr>
        <w:t>▲</w:t>
      </w:r>
      <w:r>
        <w:rPr>
          <w:rFonts w:hint="eastAsia" w:ascii="仿宋_GB2312" w:hAnsi="仿宋_GB2312" w:eastAsia="仿宋_GB2312" w:cs="仿宋_GB2312"/>
          <w:kern w:val="0"/>
          <w:sz w:val="24"/>
          <w:szCs w:val="24"/>
          <w:lang w:val="en" w:eastAsia="zh-CN"/>
        </w:rPr>
        <w:t>为此次专项检查重点。</w:t>
      </w:r>
      <w:r>
        <w:rPr>
          <w:rFonts w:hint="eastAsia" w:ascii="宋体" w:hAnsi="宋体"/>
          <w:b/>
          <w:bCs/>
          <w:sz w:val="36"/>
          <w:szCs w:val="36"/>
        </w:rPr>
        <w:br w:type="page"/>
      </w:r>
      <w:r>
        <w:rPr>
          <w:rFonts w:hint="eastAsia" w:ascii="黑体" w:hAnsi="黑体" w:eastAsia="黑体" w:cs="黑体"/>
          <w:color w:val="auto"/>
          <w:kern w:val="2"/>
          <w:sz w:val="32"/>
          <w:szCs w:val="32"/>
          <w:lang w:val="en-US" w:eastAsia="zh-CN" w:bidi="ar-SA"/>
        </w:rPr>
        <w:t>附表</w:t>
      </w:r>
      <w:r>
        <w:rPr>
          <w:rFonts w:hint="default" w:ascii="黑体" w:hAnsi="黑体" w:eastAsia="黑体" w:cs="黑体"/>
          <w:color w:val="auto"/>
          <w:kern w:val="2"/>
          <w:sz w:val="32"/>
          <w:szCs w:val="32"/>
          <w:lang w:val="en" w:eastAsia="zh-CN" w:bidi="ar-SA"/>
        </w:rPr>
        <w:t>4</w:t>
      </w:r>
      <w:r>
        <w:rPr>
          <w:rFonts w:hint="eastAsia" w:ascii="黑体" w:hAnsi="黑体" w:eastAsia="黑体" w:cs="黑体"/>
          <w:color w:val="auto"/>
          <w:kern w:val="2"/>
          <w:sz w:val="32"/>
          <w:szCs w:val="32"/>
          <w:lang w:val="en-US" w:eastAsia="zh-CN" w:bidi="ar-SA"/>
        </w:rPr>
        <w:t>：</w:t>
      </w:r>
    </w:p>
    <w:p>
      <w:pPr>
        <w:jc w:val="center"/>
        <w:rPr>
          <w:rFonts w:hint="eastAsia" w:asciiTheme="minorEastAsia" w:hAnsiTheme="minorEastAsia" w:eastAsiaTheme="minorEastAsia" w:cstheme="minorEastAsia"/>
          <w:b/>
          <w:bCs/>
          <w:color w:val="000000"/>
          <w:kern w:val="2"/>
          <w:sz w:val="32"/>
          <w:szCs w:val="32"/>
          <w:lang w:val="en-US" w:eastAsia="zh-CN" w:bidi="ar-SA"/>
        </w:rPr>
      </w:pPr>
      <w:r>
        <w:rPr>
          <w:rFonts w:hint="eastAsia" w:asciiTheme="minorEastAsia" w:hAnsiTheme="minorEastAsia" w:eastAsiaTheme="minorEastAsia" w:cstheme="minorEastAsia"/>
          <w:b/>
          <w:bCs/>
          <w:color w:val="000000"/>
          <w:kern w:val="2"/>
          <w:sz w:val="32"/>
          <w:szCs w:val="32"/>
          <w:lang w:val="en-US" w:eastAsia="zh-CN" w:bidi="ar-SA"/>
        </w:rPr>
        <w:t>现场检测项目</w:t>
      </w:r>
      <w:r>
        <w:rPr>
          <w:rFonts w:hint="default" w:asciiTheme="minorEastAsia" w:hAnsiTheme="minorEastAsia" w:eastAsiaTheme="minorEastAsia" w:cstheme="minorEastAsia"/>
          <w:b/>
          <w:bCs/>
          <w:color w:val="000000"/>
          <w:kern w:val="2"/>
          <w:sz w:val="32"/>
          <w:szCs w:val="32"/>
          <w:lang w:val="en" w:eastAsia="zh-CN" w:bidi="ar-SA"/>
        </w:rPr>
        <w:t>专项</w:t>
      </w:r>
      <w:r>
        <w:rPr>
          <w:rFonts w:hint="eastAsia" w:asciiTheme="minorEastAsia" w:hAnsiTheme="minorEastAsia" w:eastAsiaTheme="minorEastAsia" w:cstheme="minorEastAsia"/>
          <w:b/>
          <w:bCs/>
          <w:color w:val="000000"/>
          <w:kern w:val="2"/>
          <w:sz w:val="32"/>
          <w:szCs w:val="32"/>
          <w:lang w:val="en-US" w:eastAsia="zh-CN" w:bidi="ar-SA"/>
        </w:rPr>
        <w:t>检查表</w:t>
      </w:r>
    </w:p>
    <w:tbl>
      <w:tblPr>
        <w:tblStyle w:val="13"/>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431"/>
        <w:gridCol w:w="5796"/>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44" w:type="dxa"/>
            <w:noWrap w:val="0"/>
            <w:vAlign w:val="center"/>
          </w:tcPr>
          <w:p>
            <w:pPr>
              <w:widowControl/>
              <w:jc w:val="center"/>
              <w:rPr>
                <w:rFonts w:hint="eastAsia" w:asciiTheme="minorEastAsia" w:hAnsiTheme="minorEastAsia" w:eastAsiaTheme="minorEastAsia" w:cstheme="minorEastAsia"/>
                <w:b/>
                <w:bCs/>
                <w:kern w:val="0"/>
                <w:sz w:val="24"/>
                <w:lang w:val="en"/>
              </w:rPr>
            </w:pPr>
            <w:r>
              <w:rPr>
                <w:rFonts w:hint="eastAsia" w:asciiTheme="minorEastAsia" w:hAnsiTheme="minorEastAsia" w:eastAsiaTheme="minorEastAsia" w:cstheme="minorEastAsia"/>
                <w:b/>
                <w:bCs/>
                <w:kern w:val="0"/>
                <w:sz w:val="24"/>
                <w:lang w:val="en"/>
              </w:rPr>
              <w:t>督查对象</w:t>
            </w:r>
          </w:p>
        </w:tc>
        <w:tc>
          <w:tcPr>
            <w:tcW w:w="1431" w:type="dxa"/>
            <w:noWrap w:val="0"/>
            <w:vAlign w:val="center"/>
          </w:tcPr>
          <w:p>
            <w:pPr>
              <w:widowControl/>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检查项目</w:t>
            </w:r>
          </w:p>
        </w:tc>
        <w:tc>
          <w:tcPr>
            <w:tcW w:w="5796" w:type="dxa"/>
            <w:noWrap w:val="0"/>
            <w:vAlign w:val="center"/>
          </w:tcPr>
          <w:p>
            <w:pPr>
              <w:widowControl/>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检查内容</w:t>
            </w:r>
          </w:p>
        </w:tc>
        <w:tc>
          <w:tcPr>
            <w:tcW w:w="1518" w:type="dxa"/>
            <w:noWrap w:val="0"/>
            <w:vAlign w:val="center"/>
          </w:tcPr>
          <w:p>
            <w:pPr>
              <w:widowControl/>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restart"/>
            <w:noWrap w:val="0"/>
            <w:vAlign w:val="center"/>
          </w:tcPr>
          <w:p>
            <w:pPr>
              <w:adjustRightInd w:val="0"/>
              <w:snapToGrid w:val="0"/>
              <w:jc w:val="center"/>
              <w:rPr>
                <w:rFonts w:hint="eastAsia" w:asciiTheme="minorEastAsia" w:hAnsiTheme="minorEastAsia" w:eastAsiaTheme="minorEastAsia" w:cstheme="minorEastAsia"/>
                <w:spacing w:val="-12"/>
                <w:sz w:val="24"/>
              </w:rPr>
            </w:pPr>
            <w:r>
              <w:rPr>
                <w:rFonts w:hint="eastAsia" w:asciiTheme="minorEastAsia" w:hAnsiTheme="minorEastAsia" w:eastAsiaTheme="minorEastAsia" w:cstheme="minorEastAsia"/>
                <w:spacing w:val="-12"/>
                <w:sz w:val="24"/>
              </w:rPr>
              <w:t>第三方现场检测项目</w:t>
            </w:r>
          </w:p>
        </w:tc>
        <w:tc>
          <w:tcPr>
            <w:tcW w:w="1431" w:type="dxa"/>
            <w:vMerge w:val="restart"/>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spacing w:val="-12"/>
                <w:sz w:val="24"/>
                <w:lang w:val="en"/>
              </w:rPr>
              <w:t>假数据</w:t>
            </w:r>
          </w:p>
          <w:p>
            <w:pPr>
              <w:adjustRightInd w:val="0"/>
              <w:snapToGrid w:val="0"/>
              <w:jc w:val="center"/>
              <w:rPr>
                <w:rFonts w:hint="eastAsia" w:asciiTheme="minorEastAsia" w:hAnsiTheme="minorEastAsia" w:eastAsiaTheme="minorEastAsia" w:cstheme="minorEastAsia"/>
                <w:spacing w:val="-12"/>
                <w:sz w:val="24"/>
                <w:lang w:val="en"/>
              </w:rPr>
            </w:pPr>
            <w:r>
              <w:rPr>
                <w:rFonts w:hint="eastAsia" w:asciiTheme="minorEastAsia" w:hAnsiTheme="minorEastAsia" w:eastAsiaTheme="minorEastAsia" w:cstheme="minorEastAsia"/>
                <w:spacing w:val="-12"/>
                <w:sz w:val="24"/>
                <w:lang w:val="en"/>
              </w:rPr>
              <w:t>假报告</w:t>
            </w: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通过现场试验验证检测人员不得存在实操能力不足或严重违反规程操作，或不清楚检测部位，或未能提供检测原始数据和工作痕迹，或不清楚检测报告内容的问题。</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通过验证性检测（或监督抽检）比对现场检测，检测报告结论不得相反或存在重大问题。</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不得存在未进行检测而出具检测报告或为满足检测频率要求而编造数据报告或进行了检测但篡改数据出具检测报告的问题。</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人员签字不得虚假，不得伪造印章。</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数据精度与仪器分度值应对应</w:t>
            </w:r>
            <w:r>
              <w:rPr>
                <w:rFonts w:hint="eastAsia" w:asciiTheme="minorEastAsia" w:hAnsiTheme="minorEastAsia" w:eastAsiaTheme="minorEastAsia" w:cstheme="minorEastAsia"/>
                <w:kern w:val="0"/>
                <w:sz w:val="24"/>
                <w:lang w:val="en"/>
              </w:rPr>
              <w:t>，或试验仪器、配件、溶剂</w:t>
            </w:r>
            <w:r>
              <w:rPr>
                <w:rFonts w:hint="eastAsia" w:asciiTheme="minorEastAsia" w:hAnsiTheme="minorEastAsia" w:eastAsiaTheme="minorEastAsia" w:cstheme="minorEastAsia"/>
                <w:kern w:val="0"/>
                <w:sz w:val="24"/>
              </w:rPr>
              <w:t>应</w:t>
            </w:r>
            <w:r>
              <w:rPr>
                <w:rFonts w:hint="eastAsia" w:asciiTheme="minorEastAsia" w:hAnsiTheme="minorEastAsia" w:eastAsiaTheme="minorEastAsia" w:cstheme="minorEastAsia"/>
                <w:kern w:val="0"/>
                <w:sz w:val="24"/>
                <w:lang w:val="en"/>
              </w:rPr>
              <w:t>齐全。</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报告中数据、结论与原始记录须一致。</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多组试验时，不得存在数据明显雷同的问题。</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桩基完整性检测原始波形图与报告中波形图须一致。</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在记录所反映出的时间段内，不得存在不可能完成相应工作量的问题。</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restart"/>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r>
              <w:rPr>
                <w:rFonts w:hint="eastAsia" w:asciiTheme="minorEastAsia" w:hAnsiTheme="minorEastAsia" w:eastAsiaTheme="minorEastAsia" w:cstheme="minorEastAsia"/>
                <w:spacing w:val="-12"/>
                <w:sz w:val="24"/>
                <w:lang w:val="en"/>
              </w:rPr>
              <w:t>借资质或超范围承揽业务</w:t>
            </w: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实际从业人员应是本检测机构人员，且应注册在本检测机构。</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仪器、设备、场地应是本检测机构所有或所租。</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检测记录或报告应是本检测机构人员编制。</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合同签订应是本检测机构。</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不得超出资质范围出具检测报告。</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restart"/>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spacing w:val="-12"/>
                <w:sz w:val="24"/>
                <w:lang w:val="en"/>
              </w:rPr>
              <w:t>检测人员</w:t>
            </w: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持证上岗且注册登记，持证专业须满足要求。</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不得存在“索拿卡要”行为。</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spacing w:val="-12"/>
                <w:sz w:val="24"/>
                <w:lang w:val="en"/>
              </w:rPr>
              <w:t>合同签订</w:t>
            </w:r>
          </w:p>
        </w:tc>
        <w:tc>
          <w:tcPr>
            <w:tcW w:w="5796" w:type="dxa"/>
            <w:noWrap w:val="0"/>
            <w:vAlign w:val="center"/>
          </w:tcPr>
          <w:p>
            <w:pPr>
              <w:widowControl/>
              <w:jc w:val="left"/>
              <w:rPr>
                <w:rFonts w:hint="eastAsia" w:asciiTheme="minorEastAsia" w:hAnsiTheme="minorEastAsia" w:eastAsiaTheme="minorEastAsia" w:cstheme="minorEastAsia"/>
                <w:kern w:val="0"/>
                <w:sz w:val="24"/>
                <w:lang w:val="en"/>
              </w:rPr>
            </w:pPr>
            <w:r>
              <w:rPr>
                <w:rFonts w:hint="eastAsia" w:asciiTheme="minorEastAsia" w:hAnsiTheme="minorEastAsia" w:eastAsiaTheme="minorEastAsia" w:cstheme="minorEastAsia"/>
                <w:kern w:val="0"/>
                <w:sz w:val="24"/>
                <w:lang w:val="en"/>
              </w:rPr>
              <w:t>合同及时签订，合同约定的参数、频率满足规范要求。</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spacing w:val="-12"/>
                <w:sz w:val="24"/>
                <w:lang w:val="en"/>
              </w:rPr>
              <w:t>检测指标及频率</w:t>
            </w: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现场检测</w:t>
            </w:r>
            <w:r>
              <w:rPr>
                <w:rFonts w:hint="eastAsia" w:asciiTheme="minorEastAsia" w:hAnsiTheme="minorEastAsia" w:eastAsiaTheme="minorEastAsia" w:cstheme="minorEastAsia"/>
                <w:kern w:val="0"/>
                <w:sz w:val="24"/>
                <w:lang w:val="en"/>
              </w:rPr>
              <w:t>指标、</w:t>
            </w:r>
            <w:r>
              <w:rPr>
                <w:rFonts w:hint="eastAsia" w:asciiTheme="minorEastAsia" w:hAnsiTheme="minorEastAsia" w:eastAsiaTheme="minorEastAsia" w:cstheme="minorEastAsia"/>
                <w:kern w:val="0"/>
                <w:sz w:val="24"/>
              </w:rPr>
              <w:t>频率须满足规范要求。</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restart"/>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spacing w:val="-12"/>
                <w:sz w:val="24"/>
                <w:lang w:val="en"/>
              </w:rPr>
              <w:t>负面清单管理</w:t>
            </w: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现场检测项目应及时在智慧质监系统报备，交工检测、桥梁动静载试验、桩基检测、桩基承载力试验、单片梁试验检测报告应及时上传智慧质监系统。</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施工单位应及时签定现场检测项目委托服务合同，现场检测项目应及时报备，检测工作应按规范实施。</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restart"/>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spacing w:val="-12"/>
                <w:sz w:val="24"/>
                <w:lang w:val="en"/>
              </w:rPr>
              <w:t>仪器设备</w:t>
            </w: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设备须进行检定或校准。</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en"/>
              </w:rPr>
              <w:t>仪器</w:t>
            </w:r>
            <w:r>
              <w:rPr>
                <w:rFonts w:hint="eastAsia" w:asciiTheme="minorEastAsia" w:hAnsiTheme="minorEastAsia" w:eastAsiaTheme="minorEastAsia" w:cstheme="minorEastAsia"/>
                <w:kern w:val="0"/>
                <w:sz w:val="24"/>
              </w:rPr>
              <w:t>设备须配备</w:t>
            </w:r>
            <w:r>
              <w:rPr>
                <w:rFonts w:hint="eastAsia" w:asciiTheme="minorEastAsia" w:hAnsiTheme="minorEastAsia" w:eastAsiaTheme="minorEastAsia" w:cstheme="minorEastAsia"/>
                <w:kern w:val="0"/>
                <w:sz w:val="24"/>
                <w:lang w:val="en"/>
              </w:rPr>
              <w:t>齐全</w:t>
            </w:r>
            <w:r>
              <w:rPr>
                <w:rFonts w:hint="eastAsia" w:asciiTheme="minorEastAsia" w:hAnsiTheme="minorEastAsia" w:eastAsiaTheme="minorEastAsia" w:cstheme="minorEastAsia"/>
                <w:kern w:val="0"/>
                <w:sz w:val="24"/>
              </w:rPr>
              <w:t>，且能够正常使用。</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restart"/>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r>
              <w:rPr>
                <w:rFonts w:hint="eastAsia" w:asciiTheme="minorEastAsia" w:hAnsiTheme="minorEastAsia" w:eastAsiaTheme="minorEastAsia" w:cstheme="minorEastAsia"/>
                <w:sz w:val="24"/>
                <w:lang w:val="en"/>
              </w:rPr>
              <w:t>▲</w:t>
            </w:r>
            <w:r>
              <w:rPr>
                <w:rFonts w:hint="eastAsia" w:asciiTheme="minorEastAsia" w:hAnsiTheme="minorEastAsia" w:eastAsiaTheme="minorEastAsia" w:cstheme="minorEastAsia"/>
                <w:spacing w:val="-12"/>
                <w:sz w:val="24"/>
                <w:lang w:val="en"/>
              </w:rPr>
              <w:t>检测记录、报告</w:t>
            </w: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检测记录、报告应签字，并加盖印章。</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按要求及时提供检测报告。</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4" w:type="dxa"/>
            <w:vMerge w:val="continue"/>
            <w:noWrap w:val="0"/>
            <w:vAlign w:val="center"/>
          </w:tcPr>
          <w:p>
            <w:pPr>
              <w:adjustRightInd w:val="0"/>
              <w:snapToGrid w:val="0"/>
              <w:jc w:val="center"/>
              <w:rPr>
                <w:rFonts w:hint="eastAsia" w:asciiTheme="minorEastAsia" w:hAnsiTheme="minorEastAsia" w:eastAsiaTheme="minorEastAsia" w:cstheme="minorEastAsia"/>
                <w:spacing w:val="-12"/>
                <w:sz w:val="24"/>
              </w:rPr>
            </w:pPr>
          </w:p>
        </w:tc>
        <w:tc>
          <w:tcPr>
            <w:tcW w:w="1431" w:type="dxa"/>
            <w:noWrap w:val="0"/>
            <w:vAlign w:val="center"/>
          </w:tcPr>
          <w:p>
            <w:pPr>
              <w:adjustRightInd w:val="0"/>
              <w:snapToGrid w:val="0"/>
              <w:jc w:val="center"/>
              <w:rPr>
                <w:rFonts w:hint="eastAsia" w:asciiTheme="minorEastAsia" w:hAnsiTheme="minorEastAsia" w:eastAsiaTheme="minorEastAsia" w:cstheme="minorEastAsia"/>
                <w:spacing w:val="-12"/>
                <w:sz w:val="24"/>
                <w:lang w:val="en"/>
              </w:rPr>
            </w:pPr>
            <w:r>
              <w:rPr>
                <w:rFonts w:hint="eastAsia" w:asciiTheme="minorEastAsia" w:hAnsiTheme="minorEastAsia" w:eastAsiaTheme="minorEastAsia" w:cstheme="minorEastAsia"/>
                <w:spacing w:val="-12"/>
                <w:sz w:val="24"/>
                <w:lang w:val="en"/>
              </w:rPr>
              <w:t>母体机构检查管理</w:t>
            </w:r>
          </w:p>
        </w:tc>
        <w:tc>
          <w:tcPr>
            <w:tcW w:w="5796" w:type="dxa"/>
            <w:noWrap w:val="0"/>
            <w:vAlign w:val="center"/>
          </w:tcPr>
          <w:p>
            <w:pPr>
              <w:widowControl/>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szCs w:val="24"/>
              </w:rPr>
              <w:t>母体机构</w:t>
            </w:r>
            <w:r>
              <w:rPr>
                <w:rFonts w:hint="eastAsia" w:asciiTheme="minorEastAsia" w:hAnsiTheme="minorEastAsia" w:eastAsiaTheme="minorEastAsia" w:cstheme="minorEastAsia"/>
                <w:kern w:val="0"/>
                <w:sz w:val="24"/>
                <w:szCs w:val="24"/>
                <w:lang w:val="en"/>
              </w:rPr>
              <w:t>每半年开展一次检查，有检查记录并整改闭合</w:t>
            </w:r>
            <w:r>
              <w:rPr>
                <w:rFonts w:hint="eastAsia" w:asciiTheme="minorEastAsia" w:hAnsiTheme="minorEastAsia" w:eastAsiaTheme="minorEastAsia" w:cstheme="minorEastAsia"/>
                <w:kern w:val="0"/>
                <w:sz w:val="24"/>
                <w:szCs w:val="24"/>
              </w:rPr>
              <w:t>。</w:t>
            </w:r>
          </w:p>
        </w:tc>
        <w:tc>
          <w:tcPr>
            <w:tcW w:w="1518" w:type="dxa"/>
            <w:noWrap w:val="0"/>
            <w:vAlign w:val="center"/>
          </w:tcPr>
          <w:p>
            <w:pPr>
              <w:adjustRightInd w:val="0"/>
              <w:snapToGrid w:val="0"/>
              <w:jc w:val="center"/>
              <w:rPr>
                <w:rFonts w:hint="eastAsia" w:asciiTheme="minorEastAsia" w:hAnsiTheme="minorEastAsia" w:eastAsiaTheme="minorEastAsia" w:cstheme="minorEastAsia"/>
                <w:spacing w:val="-12"/>
                <w:sz w:val="24"/>
              </w:rPr>
            </w:pPr>
          </w:p>
        </w:tc>
      </w:tr>
    </w:tbl>
    <w:p>
      <w:pPr>
        <w:adjustRightInd w:val="0"/>
        <w:snapToGrid w:val="0"/>
        <w:jc w:val="both"/>
        <w:outlineLvl w:val="0"/>
        <w:rPr>
          <w:rFonts w:hint="eastAsia" w:ascii="仿宋_GB2312" w:hAnsi="仿宋_GB2312" w:eastAsia="仿宋_GB2312" w:cs="仿宋_GB2312"/>
          <w:kern w:val="0"/>
          <w:sz w:val="24"/>
          <w:szCs w:val="24"/>
          <w:lang w:val="en" w:eastAsia="zh-CN"/>
        </w:rPr>
      </w:pPr>
      <w:r>
        <w:rPr>
          <w:rFonts w:hint="eastAsia" w:ascii="仿宋_GB2312" w:hAnsi="仿宋_GB2312" w:eastAsia="仿宋_GB2312" w:cs="仿宋_GB2312"/>
          <w:kern w:val="0"/>
          <w:sz w:val="24"/>
          <w:szCs w:val="24"/>
          <w:lang w:val="en" w:eastAsia="zh-CN"/>
        </w:rPr>
        <w:t>备注：</w:t>
      </w:r>
      <w:r>
        <w:rPr>
          <w:rFonts w:hint="default" w:ascii="仿宋_GB2312" w:hAnsi="仿宋_GB2312" w:eastAsia="仿宋_GB2312" w:cs="仿宋_GB2312"/>
          <w:kern w:val="0"/>
          <w:sz w:val="24"/>
          <w:szCs w:val="24"/>
          <w:lang w:val="en"/>
        </w:rPr>
        <w:t>▲</w:t>
      </w:r>
      <w:r>
        <w:rPr>
          <w:rFonts w:hint="eastAsia" w:ascii="仿宋_GB2312" w:hAnsi="仿宋_GB2312" w:eastAsia="仿宋_GB2312" w:cs="仿宋_GB2312"/>
          <w:kern w:val="0"/>
          <w:sz w:val="24"/>
          <w:szCs w:val="24"/>
          <w:lang w:val="en" w:eastAsia="zh-CN"/>
        </w:rPr>
        <w:t>为此次专项检查重点。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2"/>
          <w:sz w:val="32"/>
          <w:szCs w:val="32"/>
          <w:lang w:val="en" w:eastAsia="zh-CN" w:bidi="ar-SA"/>
        </w:rPr>
      </w:pPr>
      <w:r>
        <w:rPr>
          <w:rFonts w:hint="eastAsia" w:ascii="仿宋" w:hAnsi="仿宋" w:eastAsia="仿宋"/>
          <w:spacing w:val="-12"/>
          <w:sz w:val="24"/>
          <w:lang w:val="en"/>
        </w:rPr>
        <w:br w:type="page"/>
      </w:r>
      <w:r>
        <w:rPr>
          <w:rFonts w:hint="eastAsia" w:ascii="黑体" w:hAnsi="黑体" w:eastAsia="黑体" w:cs="黑体"/>
          <w:color w:val="auto"/>
          <w:kern w:val="2"/>
          <w:sz w:val="32"/>
          <w:szCs w:val="32"/>
          <w:lang w:val="en-US" w:eastAsia="zh-CN" w:bidi="ar-SA"/>
        </w:rPr>
        <w:t>附表</w:t>
      </w:r>
      <w:r>
        <w:rPr>
          <w:rFonts w:hint="default" w:ascii="黑体" w:hAnsi="黑体" w:eastAsia="黑体" w:cs="黑体"/>
          <w:color w:val="auto"/>
          <w:kern w:val="2"/>
          <w:sz w:val="32"/>
          <w:szCs w:val="32"/>
          <w:lang w:val="en" w:eastAsia="zh-CN" w:bidi="ar-SA"/>
        </w:rPr>
        <w:t>5</w:t>
      </w:r>
      <w:r>
        <w:rPr>
          <w:rFonts w:hint="eastAsia" w:ascii="黑体" w:hAnsi="黑体" w:eastAsia="黑体" w:cs="黑体"/>
          <w:color w:val="auto"/>
          <w:kern w:val="2"/>
          <w:sz w:val="32"/>
          <w:szCs w:val="32"/>
          <w:lang w:val="en-US" w:eastAsia="zh-CN" w:bidi="ar-SA"/>
        </w:rPr>
        <w:t>：</w:t>
      </w:r>
    </w:p>
    <w:p>
      <w:pPr>
        <w:jc w:val="center"/>
        <w:rPr>
          <w:rFonts w:hint="eastAsia" w:asciiTheme="minorEastAsia" w:hAnsiTheme="minorEastAsia" w:eastAsiaTheme="minorEastAsia" w:cstheme="minorEastAsia"/>
          <w:b/>
          <w:bCs/>
          <w:color w:val="000000"/>
          <w:kern w:val="2"/>
          <w:sz w:val="32"/>
          <w:szCs w:val="32"/>
          <w:lang w:val="en-US" w:eastAsia="zh-CN" w:bidi="ar-SA"/>
        </w:rPr>
      </w:pPr>
      <w:r>
        <w:rPr>
          <w:rFonts w:hint="eastAsia" w:asciiTheme="minorEastAsia" w:hAnsiTheme="minorEastAsia" w:eastAsiaTheme="minorEastAsia" w:cstheme="minorEastAsia"/>
          <w:b/>
          <w:bCs/>
          <w:color w:val="000000"/>
          <w:kern w:val="2"/>
          <w:sz w:val="32"/>
          <w:szCs w:val="32"/>
          <w:lang w:val="en-US" w:eastAsia="zh-CN" w:bidi="ar-SA"/>
        </w:rPr>
        <w:t>试验检测母体机构专项检查表</w:t>
      </w:r>
    </w:p>
    <w:tbl>
      <w:tblPr>
        <w:tblStyle w:val="13"/>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10"/>
        <w:gridCol w:w="507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督查对象</w:t>
            </w:r>
          </w:p>
        </w:tc>
        <w:tc>
          <w:tcPr>
            <w:tcW w:w="74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检查内容</w:t>
            </w:r>
          </w:p>
        </w:tc>
        <w:tc>
          <w:tcPr>
            <w:tcW w:w="12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b/>
                <w:bCs/>
                <w:color w:val="auto"/>
                <w:sz w:val="24"/>
                <w:szCs w:val="24"/>
                <w:highlight w:val="none"/>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行为内容</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情形分类</w:t>
            </w:r>
          </w:p>
        </w:tc>
        <w:tc>
          <w:tcPr>
            <w:tcW w:w="121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1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试验检测母体机构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租借试验检测等级证书承揽试验检测业务的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在工地试验室母体授权中资质挂靠；在现场检测项目中出借资质；试验检测业务转包和违规分包</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以弄虚作假或其他违法形式骗取等级证书或承接业务的，伪造、涂改、转让等级证书的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串标、围标等不正当投标行为；试验检测换证、升级活动中业绩、主要人员及强制性设备弄虚作假；试验检测活动中有行贿受贿等违法行为</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出具虚假数据报告并造成质量安全事故或质量标准降低的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工程质量降低达不到设计标准、形成事故隐患需要返工，以及造成质量安全事故、经检查发现检测机构事前对其出具了虚假合格报告的；因检测机构出具虚假报告，误导工程质量控制措施，导致工程质量降低的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bookmarkStart w:id="3" w:name="_Hlk74302308"/>
            <w:r>
              <w:rPr>
                <w:rFonts w:hint="eastAsia" w:asciiTheme="minorEastAsia" w:hAnsiTheme="minorEastAsia" w:eastAsiaTheme="minorEastAsia" w:cstheme="minorEastAsia"/>
                <w:color w:val="auto"/>
                <w:sz w:val="24"/>
                <w:szCs w:val="24"/>
                <w:highlight w:val="none"/>
              </w:rPr>
              <w:t>存在虚假数据报告及其他虚假资料</w:t>
            </w:r>
            <w:bookmarkEnd w:id="3"/>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bookmarkStart w:id="4" w:name="_Hlk74302094"/>
            <w:r>
              <w:rPr>
                <w:rFonts w:hint="eastAsia" w:asciiTheme="minorEastAsia" w:hAnsiTheme="minorEastAsia" w:eastAsiaTheme="minorEastAsia" w:cstheme="minorEastAsia"/>
                <w:color w:val="auto"/>
                <w:sz w:val="24"/>
                <w:szCs w:val="24"/>
                <w:highlight w:val="none"/>
              </w:rPr>
              <w:t>未进行试验而出具试验报告的；为满足检测频率要求而编造数据报告；进行了试验但篡改数据出具试验报告的；原始记录（凭据）虚假；数据精度与仪器分度值不对应的；仪器使用台账虚假的；试验台账虚假或人员签字虚假的；出具的试验报告不能提供有效原始记录（凭据）的；报告中数据、结论与原始记录严重不一致；多组试验时，数据明显雷同的；在记录所反映出的时间段内，不可能完成相应工作量的；设备未进行标定或标定过期，或试验仪器、配件、溶剂不齐全</w:t>
            </w:r>
            <w:r>
              <w:rPr>
                <w:rFonts w:hint="eastAsia" w:asciiTheme="minorEastAsia" w:hAnsiTheme="minorEastAsia" w:eastAsiaTheme="minorEastAsia" w:cstheme="minorEastAsia"/>
                <w:color w:val="auto"/>
                <w:sz w:val="24"/>
                <w:szCs w:val="24"/>
                <w:highlight w:val="none"/>
                <w:lang w:eastAsia="zh-CN"/>
              </w:rPr>
              <w:t>，或仪器设备故障而</w:t>
            </w:r>
            <w:r>
              <w:rPr>
                <w:rFonts w:hint="eastAsia" w:asciiTheme="minorEastAsia" w:hAnsiTheme="minorEastAsia" w:eastAsiaTheme="minorEastAsia" w:cstheme="minorEastAsia"/>
                <w:color w:val="auto"/>
                <w:sz w:val="24"/>
                <w:szCs w:val="24"/>
                <w:highlight w:val="none"/>
              </w:rPr>
              <w:t>出</w:t>
            </w:r>
            <w:r>
              <w:rPr>
                <w:rFonts w:hint="eastAsia" w:asciiTheme="minorEastAsia" w:hAnsiTheme="minorEastAsia" w:eastAsiaTheme="minorEastAsia" w:cstheme="minorEastAsia"/>
                <w:color w:val="auto"/>
                <w:sz w:val="24"/>
                <w:szCs w:val="24"/>
                <w:highlight w:val="none"/>
                <w:lang w:eastAsia="zh-CN"/>
              </w:rPr>
              <w:t>具</w:t>
            </w:r>
            <w:r>
              <w:rPr>
                <w:rFonts w:hint="eastAsia" w:asciiTheme="minorEastAsia" w:hAnsiTheme="minorEastAsia" w:eastAsiaTheme="minorEastAsia" w:cstheme="minorEastAsia"/>
                <w:color w:val="auto"/>
                <w:sz w:val="24"/>
                <w:szCs w:val="24"/>
                <w:highlight w:val="none"/>
              </w:rPr>
              <w:t>报告的；试验人员有冒名顶替的</w:t>
            </w:r>
            <w:bookmarkEnd w:id="4"/>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在《等级证书》注明的项目范围外出具试验检测报告且使用专用标识章的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在《等级证书》注明的项目范围外出具试验检测报告且使用专用标识章的；未通过计量认证但对外出具试验检测报告且使用专用标识章的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0"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未对设立的工地试验室及现场检测项目有效监管的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每半年对工地试验室或现场检测项目检查少于1 次，无检查记录或未下发整改通知书的；对工地试验室或现场检测项目的授权超出母体范围或超授权范围进行试验的；工地试验室或现场检测项目对外承接试验检测业务的；工地试验室或现场检测项目被质监机构，市、县级交通运输主管部门约谈或通报批评的；工地试验室或现场检测项目有信用评价得分＜70分的；交工检测、桥梁动静载试验、桩基检测、桩基承载力试验、单片梁试验报告出具后，未在5个工作日内上传至智慧质监系统的；工地试验室未经质监机构备案开展检测工作出具报告的；工地试验室、现场检测项目未签订合同进场检测的；工地试验室或现场检测项目存在虚假数据和报告及其他虚假资料的；工地试验室或现场检测项目检测人员未在母体注册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聘用重复执业的检测人员从事试验检测工作的</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或所聘用的试验检测人员被评为信用差的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人员职业资格的登记机构与本人实际从事试验检测工作的机构不一致；所聘用的试验检测人员在当年信用评价期内被评为信用差的</w:t>
            </w:r>
            <w:r>
              <w:rPr>
                <w:rFonts w:hint="eastAsia" w:asciiTheme="minorEastAsia" w:hAnsiTheme="minorEastAsia" w:eastAsiaTheme="minorEastAsia" w:cstheme="minorEastAsia"/>
                <w:color w:val="auto"/>
                <w:sz w:val="24"/>
                <w:szCs w:val="24"/>
                <w:highlight w:val="none"/>
                <w:lang w:eastAsia="zh-CN"/>
              </w:rPr>
              <w:t>；有持证要求的岗位聘用</w:t>
            </w:r>
            <w:r>
              <w:rPr>
                <w:rFonts w:hint="eastAsia" w:asciiTheme="minorEastAsia" w:hAnsiTheme="minorEastAsia" w:eastAsiaTheme="minorEastAsia" w:cstheme="minorEastAsia"/>
                <w:color w:val="auto"/>
                <w:sz w:val="24"/>
                <w:szCs w:val="24"/>
                <w:highlight w:val="none"/>
              </w:rPr>
              <w:t>无证人员</w:t>
            </w:r>
            <w:r>
              <w:rPr>
                <w:rFonts w:hint="eastAsia" w:asciiTheme="minorEastAsia" w:hAnsiTheme="minorEastAsia" w:eastAsiaTheme="minorEastAsia" w:cstheme="minorEastAsia"/>
                <w:color w:val="auto"/>
                <w:sz w:val="24"/>
                <w:szCs w:val="24"/>
                <w:highlight w:val="none"/>
                <w:lang w:eastAsia="zh-CN"/>
              </w:rPr>
              <w:t>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报告签字人不具备资格；试验记录、报告存在代签事实的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试验记录、报告签字人为无证人员或未在本单位从业登记的；报告审核和签发人为助理试验检测师的；报告签发人非授权签字人的；试验记录、报告存在代签事实</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试验检测设备配备不满足等级标准要求</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未配备相应设备的；设备已经购置但尚未到位或安装到位后不能正常使用的；设备损坏不能使用的；检定/校准结果显示仪器设备不能达到使用要求但仍在使用的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试验检测设备未按规定检定校准的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自校规程不满足要求“试验检测使用的仪器设备超过检定周期未实施检定的或超过要求的校准/自校周期未进行校准/自校的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试验检测环境达不到技术标准规定要求的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功能分区不合理；用电、消防、排污排废措施不完善；温湿度控制措施不完善；水泥及混凝土养护温湿度不满足要求</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试验检测记录或报告不规范，格式未做统一要求的，相关内容不完整的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试验检测记录不规范；试验检测报告不规范；试验检测记录内容不完整；试验检测报告不完整(含漏签、漏盖章)；试验检测记录或报告格式未做统一要求的。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无故不参加质监机构等组织的比对试验等能力验证活动的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无故不参加部、省交通运输主管部门及质量监督管理部门组织的比对试验的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使用已过期的《等级证书》和专用标识章出具报告的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《等级证书》和专用标识章过期后，使用该《等级证书》和专用标识章出具报告的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试验检测结论表述不正确的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试验检测报告中结论表述不严谨、不正确的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试验检测记录报告使用标准不正确的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试验检测报告中使用作废的或未受控检测标准的；未按委托人要求的标准、依据进行检测和判定的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参加质监机构组织的比对试验等能力验证时，无故遮挡或未显示试验数据的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参加部、省市交通运输主管部门及质量监督管理部门组织的比对试验时，被认定存在无故遮挡或未显示试验数据等弄虚作假行为的的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1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对各级交通运输主管部门及质监机构提出的意见整改未闭合的</w:t>
            </w:r>
          </w:p>
        </w:tc>
        <w:tc>
          <w:tcPr>
            <w:tcW w:w="5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未按意见进行整改的；未在规定期限内反馈的；整改反馈资料不能闭合的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p>
        </w:tc>
      </w:tr>
    </w:tbl>
    <w:p>
      <w:pPr>
        <w:jc w:val="both"/>
        <w:rPr>
          <w:rFonts w:hint="eastAsia" w:ascii="仿宋" w:hAnsi="仿宋" w:eastAsia="仿宋"/>
          <w:spacing w:val="-12"/>
          <w:sz w:val="24"/>
          <w:lang w:val="en-US" w:eastAsia="zh-CN"/>
        </w:rPr>
      </w:pPr>
      <w:bookmarkStart w:id="5" w:name="_Toc1144958370_WPSOffice_Level1"/>
      <w:bookmarkStart w:id="6" w:name="_Toc1751551677_WPSOffice_Level1"/>
      <w:r>
        <w:rPr>
          <w:rFonts w:hint="eastAsia" w:ascii="宋体" w:hAnsi="宋体"/>
          <w:b/>
          <w:bCs/>
          <w:sz w:val="36"/>
          <w:szCs w:val="36"/>
          <w:lang w:val="en-US" w:eastAsia="zh-CN"/>
        </w:rPr>
        <w:t xml:space="preserve">  </w:t>
      </w:r>
      <w:bookmarkEnd w:id="5"/>
      <w:bookmarkEnd w:id="6"/>
      <w:bookmarkStart w:id="7" w:name="_Toc647515660_WPSOffice_Level1"/>
      <w:r>
        <w:rPr>
          <w:rFonts w:hint="eastAsia" w:ascii="仿宋" w:hAnsi="仿宋" w:eastAsia="仿宋"/>
          <w:spacing w:val="-12"/>
          <w:sz w:val="24"/>
          <w:lang w:val="en-US" w:eastAsia="zh-CN"/>
        </w:rPr>
        <w:t xml:space="preserve">                      </w:t>
      </w:r>
      <w:bookmarkEnd w:id="7"/>
    </w:p>
    <w:p>
      <w:pPr>
        <w:jc w:val="both"/>
        <w:rPr>
          <w:rFonts w:hint="eastAsia" w:ascii="仿宋" w:hAnsi="仿宋" w:eastAsia="仿宋"/>
          <w:spacing w:val="-12"/>
          <w:sz w:val="24"/>
          <w:lang w:val="en-US" w:eastAsia="zh-CN"/>
        </w:rPr>
      </w:pPr>
    </w:p>
    <w:p>
      <w:pPr>
        <w:jc w:val="both"/>
        <w:rPr>
          <w:rFonts w:hint="eastAsia" w:ascii="仿宋" w:hAnsi="仿宋" w:eastAsia="仿宋"/>
          <w:spacing w:val="-12"/>
          <w:sz w:val="24"/>
          <w:lang w:val="en-US" w:eastAsia="zh-CN"/>
        </w:rPr>
      </w:pPr>
    </w:p>
    <w:p>
      <w:pPr>
        <w:jc w:val="both"/>
        <w:rPr>
          <w:rFonts w:hint="eastAsia" w:ascii="仿宋" w:hAnsi="仿宋" w:eastAsia="仿宋"/>
          <w:spacing w:val="-12"/>
          <w:sz w:val="24"/>
          <w:lang w:val="en-US" w:eastAsia="zh-CN"/>
        </w:rPr>
      </w:pPr>
    </w:p>
    <w:p>
      <w:pPr>
        <w:jc w:val="both"/>
        <w:rPr>
          <w:rFonts w:hint="eastAsia" w:ascii="仿宋" w:hAnsi="仿宋" w:eastAsia="仿宋"/>
          <w:spacing w:val="-12"/>
          <w:sz w:val="24"/>
          <w:lang w:val="en-US" w:eastAsia="zh-CN"/>
        </w:rPr>
      </w:pPr>
    </w:p>
    <w:p>
      <w:pPr>
        <w:jc w:val="both"/>
        <w:rPr>
          <w:rFonts w:hint="eastAsia" w:ascii="仿宋" w:hAnsi="仿宋" w:eastAsia="仿宋"/>
          <w:spacing w:val="-12"/>
          <w:sz w:val="24"/>
          <w:lang w:val="en-US" w:eastAsia="zh-CN"/>
        </w:rPr>
      </w:pPr>
    </w:p>
    <w:p>
      <w:pPr>
        <w:jc w:val="both"/>
        <w:rPr>
          <w:rFonts w:hint="eastAsia" w:ascii="仿宋" w:hAnsi="仿宋" w:eastAsia="仿宋"/>
          <w:spacing w:val="-12"/>
          <w:sz w:val="24"/>
          <w:lang w:val="en-US" w:eastAsia="zh-CN"/>
        </w:rPr>
      </w:pPr>
    </w:p>
    <w:p>
      <w:pPr>
        <w:jc w:val="both"/>
        <w:rPr>
          <w:rFonts w:hint="eastAsia" w:ascii="仿宋" w:hAnsi="仿宋" w:eastAsia="仿宋"/>
          <w:spacing w:val="-12"/>
          <w:sz w:val="24"/>
          <w:lang w:val="en-US" w:eastAsia="zh-CN"/>
        </w:rPr>
      </w:pPr>
    </w:p>
    <w:p>
      <w:pPr>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br w:type="page"/>
      </w:r>
    </w:p>
    <w:p>
      <w:pPr>
        <w:jc w:val="both"/>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附表6：</w:t>
      </w:r>
    </w:p>
    <w:p>
      <w:pPr>
        <w:jc w:val="center"/>
        <w:rPr>
          <w:rFonts w:hint="eastAsia" w:asciiTheme="minorEastAsia" w:hAnsiTheme="minorEastAsia" w:eastAsiaTheme="minorEastAsia" w:cstheme="minorEastAsia"/>
          <w:b/>
          <w:bCs/>
          <w:color w:val="000000"/>
          <w:kern w:val="2"/>
          <w:sz w:val="32"/>
          <w:szCs w:val="32"/>
          <w:lang w:val="en-US" w:eastAsia="zh-CN" w:bidi="ar-SA"/>
        </w:rPr>
      </w:pPr>
      <w:r>
        <w:rPr>
          <w:rFonts w:hint="eastAsia" w:asciiTheme="minorEastAsia" w:hAnsiTheme="minorEastAsia" w:eastAsiaTheme="minorEastAsia" w:cstheme="minorEastAsia"/>
          <w:b/>
          <w:bCs/>
          <w:color w:val="000000"/>
          <w:kern w:val="2"/>
          <w:sz w:val="32"/>
          <w:szCs w:val="32"/>
          <w:lang w:val="en-US" w:eastAsia="zh-CN" w:bidi="ar-SA"/>
        </w:rPr>
        <w:t>监理企业专项检查表</w:t>
      </w:r>
    </w:p>
    <w:tbl>
      <w:tblPr>
        <w:tblStyle w:val="13"/>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10"/>
        <w:gridCol w:w="4922"/>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4" w:hRule="atLeast"/>
          <w:jc w:val="center"/>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督查对象</w:t>
            </w:r>
          </w:p>
        </w:tc>
        <w:tc>
          <w:tcPr>
            <w:tcW w:w="73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检查内容</w:t>
            </w:r>
          </w:p>
        </w:tc>
        <w:tc>
          <w:tcPr>
            <w:tcW w:w="157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b/>
                <w:bCs/>
                <w:color w:val="auto"/>
                <w:sz w:val="24"/>
                <w:szCs w:val="24"/>
                <w:highlight w:val="none"/>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行为内容</w:t>
            </w:r>
          </w:p>
        </w:tc>
        <w:tc>
          <w:tcPr>
            <w:tcW w:w="4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情形分类</w:t>
            </w:r>
          </w:p>
        </w:tc>
        <w:tc>
          <w:tcPr>
            <w:tcW w:w="15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1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监理企业</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出借监理企业资质的</w:t>
            </w:r>
          </w:p>
        </w:tc>
        <w:tc>
          <w:tcPr>
            <w:tcW w:w="4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监理企业转让、出借资质证书或者以其他方式 允许他人以本企业的名义投标</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以他人名义或弄虚作假 进行投标的</w:t>
            </w:r>
          </w:p>
        </w:tc>
        <w:tc>
          <w:tcPr>
            <w:tcW w:w="4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以他人名义或弄虚作假进行投标的，以向招标 人或评标委员会成员行贿的手段谋取中标的， 或串标、围标的</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超越资质</w:t>
            </w:r>
          </w:p>
        </w:tc>
        <w:tc>
          <w:tcPr>
            <w:tcW w:w="4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1.企业许可资质与实际承揽业务范围不匹配</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2.通过资质挂靠、借用其他单位资质证书等承 揽业务工程</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kinsoku/>
              <w:wordWrap/>
              <w:overflowPunct/>
              <w:topLinePunct w:val="0"/>
              <w:autoSpaceDE/>
              <w:autoSpaceDN/>
              <w:bidi w:val="0"/>
              <w:adjustRightInd/>
              <w:snapToGrid w:val="0"/>
              <w:spacing w:line="240" w:lineRule="auto"/>
              <w:ind w:left="132" w:leftChars="0"/>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虚假投诉举报</w:t>
            </w:r>
          </w:p>
        </w:tc>
        <w:tc>
          <w:tcPr>
            <w:tcW w:w="4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故意捏造事实、仿造证明材料，虚假恶意投诉 的违法违规行为</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分包、转包</w:t>
            </w:r>
          </w:p>
        </w:tc>
        <w:tc>
          <w:tcPr>
            <w:tcW w:w="4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监理单位在中标监理项目后分包转包监理工作。收取费用，将全部或部 分监理业务转让给其他单位或个人</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kinsoku/>
              <w:wordWrap/>
              <w:overflowPunct/>
              <w:topLinePunct w:val="0"/>
              <w:autoSpaceDE/>
              <w:autoSpaceDN/>
              <w:bidi w:val="0"/>
              <w:adjustRightInd/>
              <w:snapToGrid w:val="0"/>
              <w:spacing w:line="240" w:lineRule="auto"/>
              <w:ind w:left="123" w:leftChars="0" w:right="133" w:rightChars="0" w:firstLine="29"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在重大质量事故或较大 及以上等级安全生产责 任事故中，监理企业负 有主要责任的</w:t>
            </w:r>
          </w:p>
        </w:tc>
        <w:tc>
          <w:tcPr>
            <w:tcW w:w="4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在重大质量事故或较大及以上等级安全生产 责任事故中，监理企业负有主要责任的</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7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kinsoku/>
              <w:wordWrap/>
              <w:overflowPunct/>
              <w:topLinePunct w:val="0"/>
              <w:autoSpaceDE/>
              <w:autoSpaceDN/>
              <w:bidi w:val="0"/>
              <w:adjustRightInd/>
              <w:snapToGrid w:val="0"/>
              <w:spacing w:line="240" w:lineRule="auto"/>
              <w:ind w:left="113" w:leftChars="0" w:right="164" w:rightChars="0" w:firstLine="39"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en-US" w:bidi="ar-SA"/>
              </w:rPr>
            </w:pPr>
            <w:r>
              <w:rPr>
                <w:rFonts w:hint="eastAsia" w:asciiTheme="minorEastAsia" w:hAnsiTheme="minorEastAsia" w:eastAsiaTheme="minorEastAsia" w:cstheme="minorEastAsia"/>
                <w:color w:val="auto"/>
                <w:kern w:val="2"/>
                <w:sz w:val="24"/>
                <w:szCs w:val="24"/>
                <w:highlight w:val="none"/>
                <w:lang w:val="en-US" w:eastAsia="zh-CN" w:bidi="ar-SA"/>
              </w:rPr>
              <w:t>监理企业恶意拖欠监理 人员工资及相关费用</w:t>
            </w:r>
          </w:p>
        </w:tc>
        <w:tc>
          <w:tcPr>
            <w:tcW w:w="4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1.恶意拖欠监理人员工资及相关费用被司法 机关强制执行；</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en-US"/>
              </w:rPr>
            </w:pPr>
            <w:r>
              <w:rPr>
                <w:rFonts w:hint="eastAsia" w:asciiTheme="minorEastAsia" w:hAnsiTheme="minorEastAsia" w:eastAsiaTheme="minorEastAsia" w:cstheme="minorEastAsia"/>
                <w:color w:val="auto"/>
                <w:sz w:val="24"/>
                <w:szCs w:val="24"/>
                <w:highlight w:val="none"/>
                <w:lang w:val="en-US" w:eastAsia="zh-CN"/>
              </w:rPr>
              <w:t>2.因拖欠问题造成群体事件或不良社会影响</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10"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0" w:type="auto"/>
            <w:noWrap w:val="0"/>
            <w:vAlign w:val="center"/>
          </w:tcPr>
          <w:p>
            <w:pPr>
              <w:pStyle w:val="25"/>
              <w:keepNext w:val="0"/>
              <w:keepLines w:val="0"/>
              <w:pageBreakBefore w:val="0"/>
              <w:kinsoku/>
              <w:wordWrap/>
              <w:overflowPunct/>
              <w:topLinePunct w:val="0"/>
              <w:autoSpaceDE/>
              <w:autoSpaceDN/>
              <w:bidi w:val="0"/>
              <w:adjustRightInd/>
              <w:snapToGrid w:val="0"/>
              <w:spacing w:line="240" w:lineRule="auto"/>
              <w:ind w:left="132" w:leftChars="0"/>
              <w:jc w:val="center"/>
              <w:textAlignment w:val="auto"/>
              <w:rPr>
                <w:rFonts w:hint="eastAsia" w:asciiTheme="minorEastAsia" w:hAnsiTheme="minorEastAsia" w:eastAsiaTheme="minorEastAsia" w:cstheme="minorEastAsia"/>
                <w:color w:val="auto"/>
                <w:kern w:val="2"/>
                <w:sz w:val="24"/>
                <w:szCs w:val="24"/>
                <w:highlight w:val="none"/>
                <w:lang w:val="en-US" w:eastAsia="en-US" w:bidi="ar-SA"/>
              </w:rPr>
            </w:pPr>
            <w:r>
              <w:rPr>
                <w:rFonts w:hint="eastAsia" w:asciiTheme="minorEastAsia" w:hAnsiTheme="minorEastAsia" w:eastAsiaTheme="minorEastAsia" w:cstheme="minorEastAsia"/>
                <w:color w:val="auto"/>
                <w:kern w:val="2"/>
                <w:sz w:val="24"/>
                <w:szCs w:val="24"/>
                <w:highlight w:val="none"/>
                <w:lang w:val="en-US" w:eastAsia="zh-CN" w:bidi="ar-SA"/>
              </w:rPr>
              <w:t>骗取信用评级</w:t>
            </w:r>
          </w:p>
        </w:tc>
        <w:tc>
          <w:tcPr>
            <w:tcW w:w="492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en-US"/>
              </w:rPr>
            </w:pPr>
            <w:r>
              <w:rPr>
                <w:rFonts w:hint="eastAsia" w:asciiTheme="minorEastAsia" w:hAnsiTheme="minorEastAsia" w:eastAsiaTheme="minorEastAsia" w:cstheme="minorEastAsia"/>
                <w:color w:val="auto"/>
                <w:sz w:val="24"/>
                <w:szCs w:val="24"/>
                <w:highlight w:val="none"/>
                <w:lang w:val="en-US" w:eastAsia="zh-CN"/>
              </w:rPr>
              <w:t>信用评价弄虚作假或以不正当手段骗取较高 信用等级</w:t>
            </w:r>
          </w:p>
        </w:tc>
        <w:tc>
          <w:tcPr>
            <w:tcW w:w="1576"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710"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0" w:type="auto"/>
            <w:noWrap w:val="0"/>
            <w:vAlign w:val="center"/>
          </w:tcPr>
          <w:p>
            <w:pPr>
              <w:pStyle w:val="25"/>
              <w:keepNext w:val="0"/>
              <w:keepLines w:val="0"/>
              <w:pageBreakBefore w:val="0"/>
              <w:kinsoku/>
              <w:wordWrap/>
              <w:overflowPunct/>
              <w:topLinePunct w:val="0"/>
              <w:autoSpaceDE/>
              <w:autoSpaceDN/>
              <w:bidi w:val="0"/>
              <w:adjustRightInd/>
              <w:snapToGrid w:val="0"/>
              <w:spacing w:line="240" w:lineRule="auto"/>
              <w:ind w:left="143" w:leftChars="0" w:right="164" w:rightChars="0" w:firstLine="9"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en-US" w:bidi="ar-SA"/>
              </w:rPr>
            </w:pPr>
            <w:r>
              <w:rPr>
                <w:rFonts w:hint="eastAsia" w:asciiTheme="minorEastAsia" w:hAnsiTheme="minorEastAsia" w:eastAsiaTheme="minorEastAsia" w:cstheme="minorEastAsia"/>
                <w:color w:val="auto"/>
                <w:kern w:val="2"/>
                <w:sz w:val="24"/>
                <w:szCs w:val="24"/>
                <w:highlight w:val="none"/>
                <w:lang w:val="en-US" w:eastAsia="zh-CN" w:bidi="ar-SA"/>
              </w:rPr>
              <w:t>监理企业应申请评价而 拒绝申请评价的</w:t>
            </w:r>
          </w:p>
        </w:tc>
        <w:tc>
          <w:tcPr>
            <w:tcW w:w="492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en-US"/>
              </w:rPr>
            </w:pPr>
            <w:r>
              <w:rPr>
                <w:rFonts w:hint="eastAsia" w:asciiTheme="minorEastAsia" w:hAnsiTheme="minorEastAsia" w:eastAsiaTheme="minorEastAsia" w:cstheme="minorEastAsia"/>
                <w:color w:val="auto"/>
                <w:sz w:val="24"/>
                <w:szCs w:val="24"/>
                <w:highlight w:val="none"/>
                <w:lang w:val="en-US" w:eastAsia="zh-CN"/>
              </w:rPr>
              <w:t>监理企业应申请评价而拒绝申请评价的</w:t>
            </w:r>
          </w:p>
        </w:tc>
        <w:tc>
          <w:tcPr>
            <w:tcW w:w="1576"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710"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0" w:type="auto"/>
            <w:noWrap w:val="0"/>
            <w:vAlign w:val="center"/>
          </w:tcPr>
          <w:p>
            <w:pPr>
              <w:pStyle w:val="25"/>
              <w:keepNext w:val="0"/>
              <w:keepLines w:val="0"/>
              <w:pageBreakBefore w:val="0"/>
              <w:kinsoku/>
              <w:wordWrap/>
              <w:overflowPunct/>
              <w:topLinePunct w:val="0"/>
              <w:autoSpaceDE/>
              <w:autoSpaceDN/>
              <w:bidi w:val="0"/>
              <w:adjustRightInd/>
              <w:snapToGrid w:val="0"/>
              <w:spacing w:line="240" w:lineRule="auto"/>
              <w:ind w:left="123" w:leftChars="0" w:right="163" w:rightChars="0" w:firstLine="29"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en-US" w:bidi="ar-SA"/>
              </w:rPr>
            </w:pPr>
            <w:r>
              <w:rPr>
                <w:rFonts w:hint="eastAsia" w:asciiTheme="minorEastAsia" w:hAnsiTheme="minorEastAsia" w:eastAsiaTheme="minorEastAsia" w:cstheme="minorEastAsia"/>
                <w:color w:val="auto"/>
                <w:kern w:val="2"/>
                <w:sz w:val="24"/>
                <w:szCs w:val="24"/>
                <w:highlight w:val="none"/>
                <w:lang w:val="en-US" w:eastAsia="zh-CN" w:bidi="ar-SA"/>
              </w:rPr>
              <w:t>在资质申报、延续、变 更等过程中弄虚作假</w:t>
            </w:r>
          </w:p>
        </w:tc>
        <w:tc>
          <w:tcPr>
            <w:tcW w:w="492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en-US"/>
              </w:rPr>
            </w:pPr>
            <w:r>
              <w:rPr>
                <w:rFonts w:hint="eastAsia" w:asciiTheme="minorEastAsia" w:hAnsiTheme="minorEastAsia" w:eastAsiaTheme="minorEastAsia" w:cstheme="minorEastAsia"/>
                <w:color w:val="auto"/>
                <w:sz w:val="24"/>
                <w:szCs w:val="24"/>
                <w:highlight w:val="none"/>
                <w:lang w:val="en-US" w:eastAsia="zh-CN"/>
              </w:rPr>
              <w:t>在各层级资质申报、延续、变更等过程中，存 在提供虚假材料、伪造工作业绩、隐瞒重大问 题等行为</w:t>
            </w:r>
          </w:p>
        </w:tc>
        <w:tc>
          <w:tcPr>
            <w:tcW w:w="1576"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710"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0" w:type="auto"/>
            <w:noWrap w:val="0"/>
            <w:vAlign w:val="center"/>
          </w:tcPr>
          <w:p>
            <w:pPr>
              <w:pStyle w:val="25"/>
              <w:keepNext w:val="0"/>
              <w:keepLines w:val="0"/>
              <w:pageBreakBefore w:val="0"/>
              <w:kinsoku/>
              <w:wordWrap/>
              <w:overflowPunct/>
              <w:topLinePunct w:val="0"/>
              <w:autoSpaceDE/>
              <w:autoSpaceDN/>
              <w:bidi w:val="0"/>
              <w:adjustRightInd/>
              <w:snapToGrid w:val="0"/>
              <w:spacing w:line="240" w:lineRule="auto"/>
              <w:ind w:left="123" w:leftChars="0" w:right="163" w:rightChars="0" w:firstLine="29"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监理企业人员</w:t>
            </w:r>
          </w:p>
        </w:tc>
        <w:tc>
          <w:tcPr>
            <w:tcW w:w="492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监理企业人员数量、资质是否符合《公路水运工程监理企业资质管理规定》要求。</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监理人员变更、注销是否降低人员资质要求</w:t>
            </w:r>
          </w:p>
        </w:tc>
        <w:tc>
          <w:tcPr>
            <w:tcW w:w="1576"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710"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0" w:type="auto"/>
            <w:noWrap w:val="0"/>
            <w:vAlign w:val="center"/>
          </w:tcPr>
          <w:p>
            <w:pPr>
              <w:pStyle w:val="25"/>
              <w:keepNext w:val="0"/>
              <w:keepLines w:val="0"/>
              <w:pageBreakBefore w:val="0"/>
              <w:kinsoku/>
              <w:wordWrap/>
              <w:overflowPunct/>
              <w:topLinePunct w:val="0"/>
              <w:autoSpaceDE/>
              <w:autoSpaceDN/>
              <w:bidi w:val="0"/>
              <w:adjustRightInd/>
              <w:snapToGrid w:val="0"/>
              <w:spacing w:line="240" w:lineRule="auto"/>
              <w:ind w:left="123" w:leftChars="0" w:right="163" w:rightChars="0" w:firstLine="29"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监理企业业绩</w:t>
            </w:r>
          </w:p>
        </w:tc>
        <w:tc>
          <w:tcPr>
            <w:tcW w:w="492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企业业绩和个人业绩是否符合《公路水运工程监理企业资质管理规定》要求</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zh-CN"/>
              </w:rPr>
            </w:pPr>
          </w:p>
        </w:tc>
        <w:tc>
          <w:tcPr>
            <w:tcW w:w="1576"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710"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0" w:type="auto"/>
            <w:noWrap w:val="0"/>
            <w:vAlign w:val="center"/>
          </w:tcPr>
          <w:p>
            <w:pPr>
              <w:pStyle w:val="25"/>
              <w:keepNext w:val="0"/>
              <w:keepLines w:val="0"/>
              <w:pageBreakBefore w:val="0"/>
              <w:kinsoku/>
              <w:wordWrap/>
              <w:overflowPunct/>
              <w:topLinePunct w:val="0"/>
              <w:autoSpaceDE/>
              <w:autoSpaceDN/>
              <w:bidi w:val="0"/>
              <w:adjustRightInd/>
              <w:snapToGrid w:val="0"/>
              <w:spacing w:line="240" w:lineRule="auto"/>
              <w:ind w:left="123" w:leftChars="0" w:right="163" w:rightChars="0" w:firstLine="29"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监理企业试验检测设备配备不满足等级标准要求</w:t>
            </w:r>
          </w:p>
        </w:tc>
        <w:tc>
          <w:tcPr>
            <w:tcW w:w="492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1.仪器设备是否符合《公路水运工程监理企业资质管理规定》要求，</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2.未配备相应设备的；设备已经购置但尚未到位或安装到位后不能正常使用的；设备损坏不能使用的；检定/校准结果显示仪器设备不能达到使用要求但仍在使用的</w:t>
            </w:r>
          </w:p>
        </w:tc>
        <w:tc>
          <w:tcPr>
            <w:tcW w:w="1576"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710"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0" w:type="auto"/>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监理企业未对项目派出机构有效监管的</w:t>
            </w:r>
          </w:p>
        </w:tc>
        <w:tc>
          <w:tcPr>
            <w:tcW w:w="492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每半年对项目派出机构检查少于1 次，无检查记录或未下发整改通知书、检查意见的；整改未回复的。</w:t>
            </w:r>
          </w:p>
        </w:tc>
        <w:tc>
          <w:tcPr>
            <w:tcW w:w="1576"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p>
        </w:tc>
      </w:tr>
    </w:tbl>
    <w:p>
      <w:pPr>
        <w:jc w:val="both"/>
        <w:rPr>
          <w:rFonts w:hint="default" w:ascii="仿宋" w:hAnsi="仿宋" w:eastAsia="仿宋"/>
          <w:spacing w:val="-12"/>
          <w:sz w:val="24"/>
          <w:lang w:val="en-US" w:eastAsia="zh-CN"/>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snapToGrid w:val="0"/>
        <w:spacing w:line="264" w:lineRule="auto"/>
        <w:ind w:right="533" w:firstLine="90" w:firstLineChars="50"/>
        <w:jc w:val="center"/>
        <w:rPr>
          <w:rFonts w:ascii="仿宋_GB2312" w:hAnsi="宋体" w:eastAsia="仿宋_GB2312"/>
          <w:sz w:val="18"/>
          <w:szCs w:val="18"/>
        </w:rPr>
      </w:pPr>
    </w:p>
    <w:p>
      <w:pPr>
        <w:pBdr>
          <w:top w:val="single" w:color="auto" w:sz="4" w:space="0"/>
          <w:bottom w:val="single" w:color="auto" w:sz="4" w:space="1"/>
        </w:pBdr>
        <w:tabs>
          <w:tab w:val="left" w:pos="-1890"/>
        </w:tabs>
        <w:adjustRightInd w:val="0"/>
        <w:snapToGrid w:val="0"/>
        <w:ind w:firstLine="280" w:firstLineChars="100"/>
        <w:rPr>
          <w:rFonts w:hint="default" w:ascii="仿宋_GB2312" w:eastAsia="仿宋_GB2312"/>
          <w:snapToGrid w:val="0"/>
          <w:sz w:val="28"/>
          <w:szCs w:val="28"/>
          <w:lang w:val="en-US" w:eastAsia="zh-CN"/>
        </w:rPr>
      </w:pPr>
      <w:r>
        <w:rPr>
          <w:rFonts w:hint="eastAsia" w:ascii="仿宋_GB2312" w:eastAsia="仿宋_GB2312"/>
          <w:snapToGrid w:val="0"/>
          <w:sz w:val="28"/>
          <w:szCs w:val="28"/>
          <w:lang w:val="en-US" w:eastAsia="zh-CN"/>
        </w:rPr>
        <w:t>抄送：各市州交通质安机构。</w:t>
      </w:r>
    </w:p>
    <w:p>
      <w:pPr>
        <w:pBdr>
          <w:top w:val="none" w:color="auto" w:sz="0" w:space="0"/>
          <w:bottom w:val="single" w:color="auto" w:sz="4" w:space="1"/>
        </w:pBdr>
        <w:tabs>
          <w:tab w:val="left" w:pos="-1890"/>
        </w:tabs>
        <w:adjustRightInd w:val="0"/>
        <w:snapToGrid w:val="0"/>
        <w:ind w:firstLine="280" w:firstLineChars="100"/>
        <w:rPr>
          <w:rFonts w:ascii="仿宋_GB2312" w:hAnsi="宋体" w:eastAsia="仿宋_GB2312"/>
          <w:sz w:val="32"/>
          <w:szCs w:val="32"/>
        </w:rPr>
      </w:pPr>
      <w:r>
        <w:rPr>
          <w:rFonts w:hint="eastAsia" w:ascii="仿宋_GB2312" w:eastAsia="仿宋_GB2312"/>
          <w:snapToGrid w:val="0"/>
          <w:sz w:val="28"/>
          <w:szCs w:val="28"/>
        </w:rPr>
        <w:t xml:space="preserve">湖南省交通建设质量安全监督管理局综合部  </w:t>
      </w:r>
      <w:r>
        <w:rPr>
          <w:rFonts w:hint="eastAsia" w:ascii="仿宋_GB2312" w:eastAsia="仿宋_GB2312"/>
          <w:sz w:val="28"/>
          <w:szCs w:val="28"/>
        </w:rPr>
        <w:t>2024年4月1</w:t>
      </w:r>
      <w:r>
        <w:rPr>
          <w:rFonts w:hint="eastAsia" w:ascii="仿宋_GB2312" w:eastAsia="仿宋_GB2312"/>
          <w:sz w:val="28"/>
          <w:szCs w:val="28"/>
          <w:lang w:val="en-US" w:eastAsia="zh-CN"/>
        </w:rPr>
        <w:t>8</w:t>
      </w:r>
      <w:r>
        <w:rPr>
          <w:rFonts w:hint="eastAsia" w:ascii="仿宋_GB2312" w:eastAsia="仿宋_GB2312"/>
          <w:sz w:val="28"/>
          <w:szCs w:val="28"/>
        </w:rPr>
        <w:t>日印发</w:t>
      </w:r>
      <w:bookmarkEnd w:id="0"/>
    </w:p>
    <w:sectPr>
      <w:headerReference r:id="rId3" w:type="default"/>
      <w:footerReference r:id="rId4" w:type="default"/>
      <w:footerReference r:id="rId5" w:type="even"/>
      <w:pgSz w:w="11906" w:h="16838"/>
      <w:pgMar w:top="2154" w:right="1474" w:bottom="1701" w:left="1588" w:header="851" w:footer="1531"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wordWrap w:val="0"/>
      <w:ind w:left="-359" w:leftChars="-171" w:right="-88" w:rightChars="-42" w:firstLine="358" w:firstLineChars="128"/>
      <w:jc w:val="right"/>
      <w:rPr>
        <w:rStyle w:val="16"/>
      </w:rPr>
    </w:pPr>
    <w:r>
      <w:rPr>
        <w:rStyle w:val="16"/>
        <w:rFonts w:hint="eastAsia"/>
      </w:rPr>
      <w:t xml:space="preserve">  — </w:t>
    </w:r>
    <w:r>
      <w:fldChar w:fldCharType="begin"/>
    </w:r>
    <w:r>
      <w:rPr>
        <w:rStyle w:val="16"/>
      </w:rPr>
      <w:instrText xml:space="preserve">PAGE  </w:instrText>
    </w:r>
    <w:r>
      <w:fldChar w:fldCharType="separate"/>
    </w:r>
    <w:r>
      <w:rPr>
        <w:rStyle w:val="16"/>
      </w:rPr>
      <w:t>1</w:t>
    </w:r>
    <w:r>
      <w:fldChar w:fldCharType="end"/>
    </w:r>
    <w:r>
      <w:rPr>
        <w:rStyle w:val="16"/>
        <w:rFonts w:hint="eastAsia"/>
      </w:rPr>
      <w:t xml:space="preserve"> —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fldChar w:fldCharType="begin"/>
    </w:r>
    <w:r>
      <w:rPr>
        <w:rStyle w:val="16"/>
      </w:rPr>
      <w:instrText xml:space="preserve">PAGE  </w:instrText>
    </w:r>
    <w:r>
      <w:fldChar w:fldCharType="separate"/>
    </w:r>
    <w:r>
      <w:rPr>
        <w:rStyle w:val="16"/>
      </w:rPr>
      <w:t>11</w: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ZWUxOTYwZjlhYTk0Yzk4ZGE0NmQzZDU0ZGNjY2M5OTkifQ=="/>
  </w:docVars>
  <w:rsids>
    <w:rsidRoot w:val="0010221E"/>
    <w:rsid w:val="00000DAA"/>
    <w:rsid w:val="00000F24"/>
    <w:rsid w:val="0000283C"/>
    <w:rsid w:val="000051E3"/>
    <w:rsid w:val="00005426"/>
    <w:rsid w:val="000064D5"/>
    <w:rsid w:val="000065C2"/>
    <w:rsid w:val="000067BE"/>
    <w:rsid w:val="00006E75"/>
    <w:rsid w:val="00007B9F"/>
    <w:rsid w:val="0001093A"/>
    <w:rsid w:val="00010C08"/>
    <w:rsid w:val="000122B8"/>
    <w:rsid w:val="00012751"/>
    <w:rsid w:val="00012A13"/>
    <w:rsid w:val="00013372"/>
    <w:rsid w:val="00013D65"/>
    <w:rsid w:val="00015046"/>
    <w:rsid w:val="00015453"/>
    <w:rsid w:val="0001610D"/>
    <w:rsid w:val="00016A54"/>
    <w:rsid w:val="0002140A"/>
    <w:rsid w:val="000218AD"/>
    <w:rsid w:val="000243B7"/>
    <w:rsid w:val="00024A4F"/>
    <w:rsid w:val="00026323"/>
    <w:rsid w:val="000264DA"/>
    <w:rsid w:val="000269C4"/>
    <w:rsid w:val="000303FF"/>
    <w:rsid w:val="00032FB6"/>
    <w:rsid w:val="000332FA"/>
    <w:rsid w:val="00033538"/>
    <w:rsid w:val="0003384A"/>
    <w:rsid w:val="00035B64"/>
    <w:rsid w:val="00035FCB"/>
    <w:rsid w:val="00037F8A"/>
    <w:rsid w:val="0004192D"/>
    <w:rsid w:val="00041BA2"/>
    <w:rsid w:val="00042402"/>
    <w:rsid w:val="000437CE"/>
    <w:rsid w:val="00043937"/>
    <w:rsid w:val="00043D1E"/>
    <w:rsid w:val="00044234"/>
    <w:rsid w:val="00044C3E"/>
    <w:rsid w:val="00045647"/>
    <w:rsid w:val="00045E35"/>
    <w:rsid w:val="000464C9"/>
    <w:rsid w:val="00047207"/>
    <w:rsid w:val="00047DAF"/>
    <w:rsid w:val="00047DCB"/>
    <w:rsid w:val="00047FB9"/>
    <w:rsid w:val="00051B94"/>
    <w:rsid w:val="0005252E"/>
    <w:rsid w:val="00053D16"/>
    <w:rsid w:val="00054000"/>
    <w:rsid w:val="00054D0F"/>
    <w:rsid w:val="000551AC"/>
    <w:rsid w:val="00055874"/>
    <w:rsid w:val="00055ABA"/>
    <w:rsid w:val="00056081"/>
    <w:rsid w:val="00057A91"/>
    <w:rsid w:val="00057F32"/>
    <w:rsid w:val="0006035B"/>
    <w:rsid w:val="000608E2"/>
    <w:rsid w:val="00061F17"/>
    <w:rsid w:val="000623FA"/>
    <w:rsid w:val="00063325"/>
    <w:rsid w:val="00063D71"/>
    <w:rsid w:val="00063FF8"/>
    <w:rsid w:val="000643A5"/>
    <w:rsid w:val="00064FCE"/>
    <w:rsid w:val="000662F5"/>
    <w:rsid w:val="000666DF"/>
    <w:rsid w:val="00066E90"/>
    <w:rsid w:val="000673FA"/>
    <w:rsid w:val="00071D4F"/>
    <w:rsid w:val="0007429E"/>
    <w:rsid w:val="00075AF6"/>
    <w:rsid w:val="00077F14"/>
    <w:rsid w:val="00080778"/>
    <w:rsid w:val="0008195A"/>
    <w:rsid w:val="00081A7C"/>
    <w:rsid w:val="000821EC"/>
    <w:rsid w:val="000824E2"/>
    <w:rsid w:val="00084491"/>
    <w:rsid w:val="00084877"/>
    <w:rsid w:val="0008509E"/>
    <w:rsid w:val="00085718"/>
    <w:rsid w:val="0008751A"/>
    <w:rsid w:val="00091CD9"/>
    <w:rsid w:val="0009231D"/>
    <w:rsid w:val="0009294F"/>
    <w:rsid w:val="00093860"/>
    <w:rsid w:val="00094F9F"/>
    <w:rsid w:val="00095EE3"/>
    <w:rsid w:val="00096848"/>
    <w:rsid w:val="00097EBC"/>
    <w:rsid w:val="000A04B3"/>
    <w:rsid w:val="000A10F4"/>
    <w:rsid w:val="000A2D5D"/>
    <w:rsid w:val="000A372C"/>
    <w:rsid w:val="000A621B"/>
    <w:rsid w:val="000A6F25"/>
    <w:rsid w:val="000A704D"/>
    <w:rsid w:val="000A739A"/>
    <w:rsid w:val="000A7488"/>
    <w:rsid w:val="000B14B9"/>
    <w:rsid w:val="000B1DC8"/>
    <w:rsid w:val="000B3ED3"/>
    <w:rsid w:val="000B6657"/>
    <w:rsid w:val="000C2794"/>
    <w:rsid w:val="000C28A3"/>
    <w:rsid w:val="000C2BD4"/>
    <w:rsid w:val="000C3234"/>
    <w:rsid w:val="000C388E"/>
    <w:rsid w:val="000D2978"/>
    <w:rsid w:val="000D3F48"/>
    <w:rsid w:val="000D5AD7"/>
    <w:rsid w:val="000E0B52"/>
    <w:rsid w:val="000E1CF3"/>
    <w:rsid w:val="000E1D68"/>
    <w:rsid w:val="000E2062"/>
    <w:rsid w:val="000E4CAE"/>
    <w:rsid w:val="000E67C4"/>
    <w:rsid w:val="000E698B"/>
    <w:rsid w:val="000E7000"/>
    <w:rsid w:val="000E7101"/>
    <w:rsid w:val="000E7CA5"/>
    <w:rsid w:val="000F0A47"/>
    <w:rsid w:val="000F1AC0"/>
    <w:rsid w:val="000F41C2"/>
    <w:rsid w:val="000F42AC"/>
    <w:rsid w:val="00100E35"/>
    <w:rsid w:val="0010193F"/>
    <w:rsid w:val="00101DB2"/>
    <w:rsid w:val="0010221E"/>
    <w:rsid w:val="00103DDF"/>
    <w:rsid w:val="00106563"/>
    <w:rsid w:val="0010688F"/>
    <w:rsid w:val="00106FB0"/>
    <w:rsid w:val="0011003A"/>
    <w:rsid w:val="0011084C"/>
    <w:rsid w:val="00110AFA"/>
    <w:rsid w:val="00111BFD"/>
    <w:rsid w:val="001138D7"/>
    <w:rsid w:val="00115506"/>
    <w:rsid w:val="001155FF"/>
    <w:rsid w:val="001174D8"/>
    <w:rsid w:val="00121914"/>
    <w:rsid w:val="0012281E"/>
    <w:rsid w:val="001240F4"/>
    <w:rsid w:val="00125F45"/>
    <w:rsid w:val="0012624A"/>
    <w:rsid w:val="0013012A"/>
    <w:rsid w:val="0013039E"/>
    <w:rsid w:val="0013095A"/>
    <w:rsid w:val="00131C24"/>
    <w:rsid w:val="001322EB"/>
    <w:rsid w:val="00132D90"/>
    <w:rsid w:val="00133552"/>
    <w:rsid w:val="001338FA"/>
    <w:rsid w:val="001346DA"/>
    <w:rsid w:val="00134842"/>
    <w:rsid w:val="00134DC7"/>
    <w:rsid w:val="001353DF"/>
    <w:rsid w:val="00135647"/>
    <w:rsid w:val="00140CBC"/>
    <w:rsid w:val="00140CD4"/>
    <w:rsid w:val="0014262D"/>
    <w:rsid w:val="00143E99"/>
    <w:rsid w:val="001454DA"/>
    <w:rsid w:val="00147A2D"/>
    <w:rsid w:val="001503FF"/>
    <w:rsid w:val="001531C9"/>
    <w:rsid w:val="00153B41"/>
    <w:rsid w:val="0015514C"/>
    <w:rsid w:val="00156402"/>
    <w:rsid w:val="00157442"/>
    <w:rsid w:val="0016042A"/>
    <w:rsid w:val="00160BC2"/>
    <w:rsid w:val="00161784"/>
    <w:rsid w:val="00162083"/>
    <w:rsid w:val="001620FE"/>
    <w:rsid w:val="00170054"/>
    <w:rsid w:val="00172A08"/>
    <w:rsid w:val="001730B1"/>
    <w:rsid w:val="001737D9"/>
    <w:rsid w:val="001762A5"/>
    <w:rsid w:val="00177625"/>
    <w:rsid w:val="001800F6"/>
    <w:rsid w:val="0018021A"/>
    <w:rsid w:val="00180940"/>
    <w:rsid w:val="0018251C"/>
    <w:rsid w:val="00182DBB"/>
    <w:rsid w:val="001839EF"/>
    <w:rsid w:val="00185DF9"/>
    <w:rsid w:val="00187205"/>
    <w:rsid w:val="00187FD7"/>
    <w:rsid w:val="001926DB"/>
    <w:rsid w:val="001932E0"/>
    <w:rsid w:val="001940DE"/>
    <w:rsid w:val="00194692"/>
    <w:rsid w:val="00194A7B"/>
    <w:rsid w:val="0019690D"/>
    <w:rsid w:val="00196A59"/>
    <w:rsid w:val="0019720A"/>
    <w:rsid w:val="001A1D60"/>
    <w:rsid w:val="001A1F05"/>
    <w:rsid w:val="001A30C2"/>
    <w:rsid w:val="001A4855"/>
    <w:rsid w:val="001A6AF1"/>
    <w:rsid w:val="001B02CA"/>
    <w:rsid w:val="001B0FEB"/>
    <w:rsid w:val="001B1966"/>
    <w:rsid w:val="001B1C6A"/>
    <w:rsid w:val="001B1DFD"/>
    <w:rsid w:val="001B2B0D"/>
    <w:rsid w:val="001B3E7C"/>
    <w:rsid w:val="001B3E8C"/>
    <w:rsid w:val="001B536C"/>
    <w:rsid w:val="001B7D08"/>
    <w:rsid w:val="001C142C"/>
    <w:rsid w:val="001C34AA"/>
    <w:rsid w:val="001C3C07"/>
    <w:rsid w:val="001C42B2"/>
    <w:rsid w:val="001C5044"/>
    <w:rsid w:val="001C5D01"/>
    <w:rsid w:val="001C66A0"/>
    <w:rsid w:val="001C6FEF"/>
    <w:rsid w:val="001C79BE"/>
    <w:rsid w:val="001C7A9B"/>
    <w:rsid w:val="001D15D8"/>
    <w:rsid w:val="001D17C6"/>
    <w:rsid w:val="001D5D26"/>
    <w:rsid w:val="001E02DB"/>
    <w:rsid w:val="001E26B0"/>
    <w:rsid w:val="001E7F56"/>
    <w:rsid w:val="001E7F6E"/>
    <w:rsid w:val="001F1DB9"/>
    <w:rsid w:val="001F348F"/>
    <w:rsid w:val="001F5FCB"/>
    <w:rsid w:val="001F60A8"/>
    <w:rsid w:val="001F7409"/>
    <w:rsid w:val="001F7432"/>
    <w:rsid w:val="001F7E17"/>
    <w:rsid w:val="00200395"/>
    <w:rsid w:val="002016C1"/>
    <w:rsid w:val="002019A9"/>
    <w:rsid w:val="00202273"/>
    <w:rsid w:val="0020687E"/>
    <w:rsid w:val="0020706F"/>
    <w:rsid w:val="002106E2"/>
    <w:rsid w:val="00211226"/>
    <w:rsid w:val="00212248"/>
    <w:rsid w:val="00212350"/>
    <w:rsid w:val="0021311E"/>
    <w:rsid w:val="00214CC9"/>
    <w:rsid w:val="00214EBE"/>
    <w:rsid w:val="002171AC"/>
    <w:rsid w:val="00217753"/>
    <w:rsid w:val="00217BFB"/>
    <w:rsid w:val="0022021F"/>
    <w:rsid w:val="00220C42"/>
    <w:rsid w:val="00220EB3"/>
    <w:rsid w:val="00221257"/>
    <w:rsid w:val="0022255A"/>
    <w:rsid w:val="002229AF"/>
    <w:rsid w:val="00222E80"/>
    <w:rsid w:val="00225D8B"/>
    <w:rsid w:val="00230459"/>
    <w:rsid w:val="002304AD"/>
    <w:rsid w:val="00231ADC"/>
    <w:rsid w:val="00232863"/>
    <w:rsid w:val="002337EC"/>
    <w:rsid w:val="002338AE"/>
    <w:rsid w:val="00234AA6"/>
    <w:rsid w:val="00234EBC"/>
    <w:rsid w:val="00235634"/>
    <w:rsid w:val="002365F8"/>
    <w:rsid w:val="00237282"/>
    <w:rsid w:val="00237F4A"/>
    <w:rsid w:val="00240340"/>
    <w:rsid w:val="002403F3"/>
    <w:rsid w:val="00243324"/>
    <w:rsid w:val="0024448D"/>
    <w:rsid w:val="00245DD8"/>
    <w:rsid w:val="00246061"/>
    <w:rsid w:val="0024751F"/>
    <w:rsid w:val="00253B42"/>
    <w:rsid w:val="00253E67"/>
    <w:rsid w:val="00255315"/>
    <w:rsid w:val="0025534B"/>
    <w:rsid w:val="00255732"/>
    <w:rsid w:val="00255DA0"/>
    <w:rsid w:val="0026124D"/>
    <w:rsid w:val="002620B5"/>
    <w:rsid w:val="002626A7"/>
    <w:rsid w:val="00262C6E"/>
    <w:rsid w:val="00265026"/>
    <w:rsid w:val="0027116E"/>
    <w:rsid w:val="00273A09"/>
    <w:rsid w:val="00274E0C"/>
    <w:rsid w:val="00275430"/>
    <w:rsid w:val="00276E7B"/>
    <w:rsid w:val="002801BF"/>
    <w:rsid w:val="00281190"/>
    <w:rsid w:val="00282D22"/>
    <w:rsid w:val="0028388D"/>
    <w:rsid w:val="00285B28"/>
    <w:rsid w:val="002863B8"/>
    <w:rsid w:val="00286D69"/>
    <w:rsid w:val="00286E67"/>
    <w:rsid w:val="00291AD6"/>
    <w:rsid w:val="00292B3B"/>
    <w:rsid w:val="0029459F"/>
    <w:rsid w:val="00294FC1"/>
    <w:rsid w:val="00295EE1"/>
    <w:rsid w:val="00296E24"/>
    <w:rsid w:val="0029726F"/>
    <w:rsid w:val="002A0191"/>
    <w:rsid w:val="002A0EA0"/>
    <w:rsid w:val="002A3492"/>
    <w:rsid w:val="002A4199"/>
    <w:rsid w:val="002A6571"/>
    <w:rsid w:val="002A665B"/>
    <w:rsid w:val="002A7DD2"/>
    <w:rsid w:val="002A7DE4"/>
    <w:rsid w:val="002A7EAC"/>
    <w:rsid w:val="002B1993"/>
    <w:rsid w:val="002B1B73"/>
    <w:rsid w:val="002B3078"/>
    <w:rsid w:val="002B3281"/>
    <w:rsid w:val="002B4E56"/>
    <w:rsid w:val="002B4FD3"/>
    <w:rsid w:val="002B53C3"/>
    <w:rsid w:val="002C0E9F"/>
    <w:rsid w:val="002C142E"/>
    <w:rsid w:val="002C25A7"/>
    <w:rsid w:val="002C2E0D"/>
    <w:rsid w:val="002C3EC4"/>
    <w:rsid w:val="002C454C"/>
    <w:rsid w:val="002C4BF5"/>
    <w:rsid w:val="002C595B"/>
    <w:rsid w:val="002C5EDD"/>
    <w:rsid w:val="002C6D42"/>
    <w:rsid w:val="002C7E7B"/>
    <w:rsid w:val="002D1BBA"/>
    <w:rsid w:val="002D2B58"/>
    <w:rsid w:val="002D2ECF"/>
    <w:rsid w:val="002D3253"/>
    <w:rsid w:val="002D3E30"/>
    <w:rsid w:val="002D4C82"/>
    <w:rsid w:val="002D7C0F"/>
    <w:rsid w:val="002E0572"/>
    <w:rsid w:val="002E1A4B"/>
    <w:rsid w:val="002E1C26"/>
    <w:rsid w:val="002E2B1D"/>
    <w:rsid w:val="002E2D5E"/>
    <w:rsid w:val="002E31A5"/>
    <w:rsid w:val="002E4B34"/>
    <w:rsid w:val="002E5458"/>
    <w:rsid w:val="002E58E5"/>
    <w:rsid w:val="002E59B0"/>
    <w:rsid w:val="002E615D"/>
    <w:rsid w:val="002F06EC"/>
    <w:rsid w:val="002F202F"/>
    <w:rsid w:val="002F6266"/>
    <w:rsid w:val="002F6561"/>
    <w:rsid w:val="002F6FC1"/>
    <w:rsid w:val="00300FAF"/>
    <w:rsid w:val="00303829"/>
    <w:rsid w:val="00303D96"/>
    <w:rsid w:val="003051F4"/>
    <w:rsid w:val="003101BA"/>
    <w:rsid w:val="00311002"/>
    <w:rsid w:val="00314166"/>
    <w:rsid w:val="003144B2"/>
    <w:rsid w:val="00315454"/>
    <w:rsid w:val="00316F7F"/>
    <w:rsid w:val="00317540"/>
    <w:rsid w:val="003219EF"/>
    <w:rsid w:val="00321BAD"/>
    <w:rsid w:val="00322371"/>
    <w:rsid w:val="00322CA2"/>
    <w:rsid w:val="003231D4"/>
    <w:rsid w:val="00323424"/>
    <w:rsid w:val="00323EA5"/>
    <w:rsid w:val="00325544"/>
    <w:rsid w:val="00325972"/>
    <w:rsid w:val="00326CD5"/>
    <w:rsid w:val="0032732B"/>
    <w:rsid w:val="00333909"/>
    <w:rsid w:val="0033409D"/>
    <w:rsid w:val="0033450C"/>
    <w:rsid w:val="00334BEE"/>
    <w:rsid w:val="00334FA5"/>
    <w:rsid w:val="00336E79"/>
    <w:rsid w:val="003370E7"/>
    <w:rsid w:val="0033728E"/>
    <w:rsid w:val="00337C51"/>
    <w:rsid w:val="00340392"/>
    <w:rsid w:val="0034097A"/>
    <w:rsid w:val="00341A4D"/>
    <w:rsid w:val="00343EF4"/>
    <w:rsid w:val="00344F42"/>
    <w:rsid w:val="003525A9"/>
    <w:rsid w:val="0035279A"/>
    <w:rsid w:val="00353589"/>
    <w:rsid w:val="00354E64"/>
    <w:rsid w:val="0035516B"/>
    <w:rsid w:val="003556F1"/>
    <w:rsid w:val="00355CB3"/>
    <w:rsid w:val="0035682A"/>
    <w:rsid w:val="003568A0"/>
    <w:rsid w:val="0035736F"/>
    <w:rsid w:val="00360678"/>
    <w:rsid w:val="003608E6"/>
    <w:rsid w:val="0036278C"/>
    <w:rsid w:val="00363E3F"/>
    <w:rsid w:val="003653DA"/>
    <w:rsid w:val="00365982"/>
    <w:rsid w:val="00366C2C"/>
    <w:rsid w:val="00366F5D"/>
    <w:rsid w:val="00367021"/>
    <w:rsid w:val="003670FE"/>
    <w:rsid w:val="00367AE1"/>
    <w:rsid w:val="003703E3"/>
    <w:rsid w:val="00370AC8"/>
    <w:rsid w:val="00371111"/>
    <w:rsid w:val="0037204B"/>
    <w:rsid w:val="003726FE"/>
    <w:rsid w:val="00372814"/>
    <w:rsid w:val="003732E2"/>
    <w:rsid w:val="003737C9"/>
    <w:rsid w:val="00374A2A"/>
    <w:rsid w:val="003758FB"/>
    <w:rsid w:val="00375D14"/>
    <w:rsid w:val="0037705A"/>
    <w:rsid w:val="003774D2"/>
    <w:rsid w:val="0037753C"/>
    <w:rsid w:val="00377938"/>
    <w:rsid w:val="00377E12"/>
    <w:rsid w:val="0038233C"/>
    <w:rsid w:val="00382460"/>
    <w:rsid w:val="0038287C"/>
    <w:rsid w:val="00382BFE"/>
    <w:rsid w:val="003833A2"/>
    <w:rsid w:val="00383975"/>
    <w:rsid w:val="00383F00"/>
    <w:rsid w:val="00384012"/>
    <w:rsid w:val="00384D8C"/>
    <w:rsid w:val="0038522C"/>
    <w:rsid w:val="00385E2A"/>
    <w:rsid w:val="003872F2"/>
    <w:rsid w:val="00387BC8"/>
    <w:rsid w:val="00387CB6"/>
    <w:rsid w:val="0039003C"/>
    <w:rsid w:val="00392039"/>
    <w:rsid w:val="00393249"/>
    <w:rsid w:val="0039331A"/>
    <w:rsid w:val="00394156"/>
    <w:rsid w:val="00394FBD"/>
    <w:rsid w:val="00396B44"/>
    <w:rsid w:val="0039753F"/>
    <w:rsid w:val="00397FA1"/>
    <w:rsid w:val="003A0C8C"/>
    <w:rsid w:val="003A1CC0"/>
    <w:rsid w:val="003A368D"/>
    <w:rsid w:val="003A463B"/>
    <w:rsid w:val="003A4FBB"/>
    <w:rsid w:val="003A5D48"/>
    <w:rsid w:val="003A60FB"/>
    <w:rsid w:val="003B03B2"/>
    <w:rsid w:val="003B24CD"/>
    <w:rsid w:val="003B2C2B"/>
    <w:rsid w:val="003B3D54"/>
    <w:rsid w:val="003B61F1"/>
    <w:rsid w:val="003B724E"/>
    <w:rsid w:val="003B7E74"/>
    <w:rsid w:val="003C0DD2"/>
    <w:rsid w:val="003C3538"/>
    <w:rsid w:val="003C6C36"/>
    <w:rsid w:val="003C706A"/>
    <w:rsid w:val="003C75F3"/>
    <w:rsid w:val="003D026C"/>
    <w:rsid w:val="003D0D09"/>
    <w:rsid w:val="003D0F16"/>
    <w:rsid w:val="003D1F2F"/>
    <w:rsid w:val="003D4D04"/>
    <w:rsid w:val="003D4F5F"/>
    <w:rsid w:val="003D6A62"/>
    <w:rsid w:val="003D6CF7"/>
    <w:rsid w:val="003D7243"/>
    <w:rsid w:val="003E286A"/>
    <w:rsid w:val="003E462D"/>
    <w:rsid w:val="003E6E0C"/>
    <w:rsid w:val="003E7176"/>
    <w:rsid w:val="003F00AD"/>
    <w:rsid w:val="003F0151"/>
    <w:rsid w:val="003F0A93"/>
    <w:rsid w:val="003F1127"/>
    <w:rsid w:val="003F2A8F"/>
    <w:rsid w:val="003F3CA5"/>
    <w:rsid w:val="003F458F"/>
    <w:rsid w:val="003F5292"/>
    <w:rsid w:val="003F6046"/>
    <w:rsid w:val="003F667F"/>
    <w:rsid w:val="003F681D"/>
    <w:rsid w:val="00400B0A"/>
    <w:rsid w:val="00400D5B"/>
    <w:rsid w:val="00401A43"/>
    <w:rsid w:val="00403A36"/>
    <w:rsid w:val="0040485E"/>
    <w:rsid w:val="00404951"/>
    <w:rsid w:val="00404A36"/>
    <w:rsid w:val="00404F5B"/>
    <w:rsid w:val="0040624A"/>
    <w:rsid w:val="00406A12"/>
    <w:rsid w:val="00406E2A"/>
    <w:rsid w:val="004142D2"/>
    <w:rsid w:val="0041553F"/>
    <w:rsid w:val="00416055"/>
    <w:rsid w:val="004177B2"/>
    <w:rsid w:val="00421D5E"/>
    <w:rsid w:val="00422890"/>
    <w:rsid w:val="004229B7"/>
    <w:rsid w:val="0042467E"/>
    <w:rsid w:val="004250DF"/>
    <w:rsid w:val="00425F39"/>
    <w:rsid w:val="00426DBF"/>
    <w:rsid w:val="00427A01"/>
    <w:rsid w:val="0043144A"/>
    <w:rsid w:val="00431A4F"/>
    <w:rsid w:val="00433ADA"/>
    <w:rsid w:val="00433DE0"/>
    <w:rsid w:val="00434310"/>
    <w:rsid w:val="004354CB"/>
    <w:rsid w:val="00435D2D"/>
    <w:rsid w:val="0043613A"/>
    <w:rsid w:val="00436975"/>
    <w:rsid w:val="00442059"/>
    <w:rsid w:val="00442DD5"/>
    <w:rsid w:val="00446D10"/>
    <w:rsid w:val="00446EA0"/>
    <w:rsid w:val="00446FA0"/>
    <w:rsid w:val="0044714E"/>
    <w:rsid w:val="0045378C"/>
    <w:rsid w:val="00453B77"/>
    <w:rsid w:val="00454781"/>
    <w:rsid w:val="00454EF5"/>
    <w:rsid w:val="00454F1C"/>
    <w:rsid w:val="00455BAA"/>
    <w:rsid w:val="00457AEF"/>
    <w:rsid w:val="0046088F"/>
    <w:rsid w:val="004610BD"/>
    <w:rsid w:val="00461691"/>
    <w:rsid w:val="004621F7"/>
    <w:rsid w:val="00462E3B"/>
    <w:rsid w:val="00462F17"/>
    <w:rsid w:val="0046345B"/>
    <w:rsid w:val="0046485A"/>
    <w:rsid w:val="00470EBD"/>
    <w:rsid w:val="0047125E"/>
    <w:rsid w:val="00471C90"/>
    <w:rsid w:val="00472776"/>
    <w:rsid w:val="00472D06"/>
    <w:rsid w:val="00473F88"/>
    <w:rsid w:val="004741C7"/>
    <w:rsid w:val="004754FB"/>
    <w:rsid w:val="00476370"/>
    <w:rsid w:val="00480829"/>
    <w:rsid w:val="00482375"/>
    <w:rsid w:val="0048460D"/>
    <w:rsid w:val="00484F5E"/>
    <w:rsid w:val="00485173"/>
    <w:rsid w:val="004858D4"/>
    <w:rsid w:val="00492235"/>
    <w:rsid w:val="0049228F"/>
    <w:rsid w:val="00492E97"/>
    <w:rsid w:val="004932DB"/>
    <w:rsid w:val="00493425"/>
    <w:rsid w:val="004943B6"/>
    <w:rsid w:val="0049445E"/>
    <w:rsid w:val="0049462B"/>
    <w:rsid w:val="00494A2D"/>
    <w:rsid w:val="0049553E"/>
    <w:rsid w:val="00495B8E"/>
    <w:rsid w:val="0049775B"/>
    <w:rsid w:val="004A1CE1"/>
    <w:rsid w:val="004A28E6"/>
    <w:rsid w:val="004A3049"/>
    <w:rsid w:val="004A3C98"/>
    <w:rsid w:val="004A3D9C"/>
    <w:rsid w:val="004A57E6"/>
    <w:rsid w:val="004A698D"/>
    <w:rsid w:val="004A6C0D"/>
    <w:rsid w:val="004B5286"/>
    <w:rsid w:val="004B674A"/>
    <w:rsid w:val="004B7D86"/>
    <w:rsid w:val="004B7F13"/>
    <w:rsid w:val="004C055D"/>
    <w:rsid w:val="004C06F8"/>
    <w:rsid w:val="004C42B5"/>
    <w:rsid w:val="004C4358"/>
    <w:rsid w:val="004C50FF"/>
    <w:rsid w:val="004C51A1"/>
    <w:rsid w:val="004C7725"/>
    <w:rsid w:val="004D0371"/>
    <w:rsid w:val="004D0552"/>
    <w:rsid w:val="004D1B97"/>
    <w:rsid w:val="004D1D76"/>
    <w:rsid w:val="004D2D5F"/>
    <w:rsid w:val="004D39EF"/>
    <w:rsid w:val="004D5830"/>
    <w:rsid w:val="004D59C4"/>
    <w:rsid w:val="004E2058"/>
    <w:rsid w:val="004E40D0"/>
    <w:rsid w:val="004E4723"/>
    <w:rsid w:val="004E6B03"/>
    <w:rsid w:val="004E6C33"/>
    <w:rsid w:val="004F05B1"/>
    <w:rsid w:val="004F10B1"/>
    <w:rsid w:val="004F2138"/>
    <w:rsid w:val="004F43E9"/>
    <w:rsid w:val="004F5E82"/>
    <w:rsid w:val="004F747B"/>
    <w:rsid w:val="004F7CAF"/>
    <w:rsid w:val="005018B6"/>
    <w:rsid w:val="00501EF9"/>
    <w:rsid w:val="005027D3"/>
    <w:rsid w:val="00502B11"/>
    <w:rsid w:val="00506A9C"/>
    <w:rsid w:val="00506CF1"/>
    <w:rsid w:val="0051014D"/>
    <w:rsid w:val="00510D74"/>
    <w:rsid w:val="00511B0B"/>
    <w:rsid w:val="0051402C"/>
    <w:rsid w:val="00515D84"/>
    <w:rsid w:val="00520B2E"/>
    <w:rsid w:val="00520F27"/>
    <w:rsid w:val="00521CE8"/>
    <w:rsid w:val="005225D6"/>
    <w:rsid w:val="00524091"/>
    <w:rsid w:val="0052689C"/>
    <w:rsid w:val="005279D2"/>
    <w:rsid w:val="00527F07"/>
    <w:rsid w:val="00533246"/>
    <w:rsid w:val="00533B3C"/>
    <w:rsid w:val="0053484B"/>
    <w:rsid w:val="0053667F"/>
    <w:rsid w:val="00536D28"/>
    <w:rsid w:val="00537A89"/>
    <w:rsid w:val="00537E2B"/>
    <w:rsid w:val="005413AC"/>
    <w:rsid w:val="00541ECA"/>
    <w:rsid w:val="0054283A"/>
    <w:rsid w:val="00542BF4"/>
    <w:rsid w:val="00542CDF"/>
    <w:rsid w:val="0054331E"/>
    <w:rsid w:val="00543ADC"/>
    <w:rsid w:val="00544467"/>
    <w:rsid w:val="00544F02"/>
    <w:rsid w:val="00545992"/>
    <w:rsid w:val="00546C76"/>
    <w:rsid w:val="00546D0A"/>
    <w:rsid w:val="00546E6F"/>
    <w:rsid w:val="005477B4"/>
    <w:rsid w:val="00547B70"/>
    <w:rsid w:val="00550EA3"/>
    <w:rsid w:val="00552496"/>
    <w:rsid w:val="005533F7"/>
    <w:rsid w:val="00553713"/>
    <w:rsid w:val="00554779"/>
    <w:rsid w:val="0055559B"/>
    <w:rsid w:val="005559FC"/>
    <w:rsid w:val="005564E3"/>
    <w:rsid w:val="00556526"/>
    <w:rsid w:val="00556887"/>
    <w:rsid w:val="005602D3"/>
    <w:rsid w:val="00560499"/>
    <w:rsid w:val="00560FC6"/>
    <w:rsid w:val="00561646"/>
    <w:rsid w:val="005619C9"/>
    <w:rsid w:val="00563CDF"/>
    <w:rsid w:val="00563EBB"/>
    <w:rsid w:val="005650AA"/>
    <w:rsid w:val="00565614"/>
    <w:rsid w:val="00566740"/>
    <w:rsid w:val="00567294"/>
    <w:rsid w:val="00567996"/>
    <w:rsid w:val="005705D7"/>
    <w:rsid w:val="00570759"/>
    <w:rsid w:val="00571478"/>
    <w:rsid w:val="00571AEE"/>
    <w:rsid w:val="00574221"/>
    <w:rsid w:val="0057461E"/>
    <w:rsid w:val="00576408"/>
    <w:rsid w:val="005824C7"/>
    <w:rsid w:val="0058312D"/>
    <w:rsid w:val="005864D0"/>
    <w:rsid w:val="005927E1"/>
    <w:rsid w:val="00592C77"/>
    <w:rsid w:val="00592EC2"/>
    <w:rsid w:val="00596EA1"/>
    <w:rsid w:val="00597EAC"/>
    <w:rsid w:val="00597EDB"/>
    <w:rsid w:val="005A3547"/>
    <w:rsid w:val="005A35CB"/>
    <w:rsid w:val="005A5385"/>
    <w:rsid w:val="005A5A0B"/>
    <w:rsid w:val="005A64FD"/>
    <w:rsid w:val="005B0392"/>
    <w:rsid w:val="005B178F"/>
    <w:rsid w:val="005B380A"/>
    <w:rsid w:val="005B3BBB"/>
    <w:rsid w:val="005B3D64"/>
    <w:rsid w:val="005B4693"/>
    <w:rsid w:val="005B57C6"/>
    <w:rsid w:val="005B5ECA"/>
    <w:rsid w:val="005B789F"/>
    <w:rsid w:val="005C1254"/>
    <w:rsid w:val="005C15D7"/>
    <w:rsid w:val="005C1E4F"/>
    <w:rsid w:val="005C3391"/>
    <w:rsid w:val="005C366D"/>
    <w:rsid w:val="005C3B4E"/>
    <w:rsid w:val="005C4679"/>
    <w:rsid w:val="005C5607"/>
    <w:rsid w:val="005C5954"/>
    <w:rsid w:val="005C5BE5"/>
    <w:rsid w:val="005D0976"/>
    <w:rsid w:val="005D1F45"/>
    <w:rsid w:val="005D4761"/>
    <w:rsid w:val="005D4D3F"/>
    <w:rsid w:val="005D6320"/>
    <w:rsid w:val="005E110D"/>
    <w:rsid w:val="005E1CCB"/>
    <w:rsid w:val="005E3D97"/>
    <w:rsid w:val="005E3F99"/>
    <w:rsid w:val="005E4088"/>
    <w:rsid w:val="005E517C"/>
    <w:rsid w:val="005F1F50"/>
    <w:rsid w:val="005F3618"/>
    <w:rsid w:val="005F3FF5"/>
    <w:rsid w:val="00600FFA"/>
    <w:rsid w:val="00602C4D"/>
    <w:rsid w:val="006034F1"/>
    <w:rsid w:val="00603CD0"/>
    <w:rsid w:val="00603DC4"/>
    <w:rsid w:val="0060637F"/>
    <w:rsid w:val="00606ECB"/>
    <w:rsid w:val="006103F9"/>
    <w:rsid w:val="0061087A"/>
    <w:rsid w:val="00610E7A"/>
    <w:rsid w:val="0061331D"/>
    <w:rsid w:val="00613615"/>
    <w:rsid w:val="006142D0"/>
    <w:rsid w:val="00615C7A"/>
    <w:rsid w:val="006164DF"/>
    <w:rsid w:val="0061704F"/>
    <w:rsid w:val="00617580"/>
    <w:rsid w:val="00617D21"/>
    <w:rsid w:val="00617F09"/>
    <w:rsid w:val="00622C8E"/>
    <w:rsid w:val="00623D64"/>
    <w:rsid w:val="006247FC"/>
    <w:rsid w:val="006262F4"/>
    <w:rsid w:val="00634CFB"/>
    <w:rsid w:val="00636A0C"/>
    <w:rsid w:val="006377DC"/>
    <w:rsid w:val="00637DBB"/>
    <w:rsid w:val="00640540"/>
    <w:rsid w:val="00641A70"/>
    <w:rsid w:val="0064263D"/>
    <w:rsid w:val="00642B77"/>
    <w:rsid w:val="00643C72"/>
    <w:rsid w:val="00646021"/>
    <w:rsid w:val="0064711F"/>
    <w:rsid w:val="006551FC"/>
    <w:rsid w:val="00656090"/>
    <w:rsid w:val="00656A27"/>
    <w:rsid w:val="00656CF6"/>
    <w:rsid w:val="00657B7F"/>
    <w:rsid w:val="00657C2B"/>
    <w:rsid w:val="00662B4A"/>
    <w:rsid w:val="00663893"/>
    <w:rsid w:val="0066415F"/>
    <w:rsid w:val="006651E4"/>
    <w:rsid w:val="006664DF"/>
    <w:rsid w:val="0066740C"/>
    <w:rsid w:val="00670C7A"/>
    <w:rsid w:val="00670D23"/>
    <w:rsid w:val="00673B72"/>
    <w:rsid w:val="00673E1D"/>
    <w:rsid w:val="00680B82"/>
    <w:rsid w:val="00681339"/>
    <w:rsid w:val="00681D47"/>
    <w:rsid w:val="00684B2F"/>
    <w:rsid w:val="006859AB"/>
    <w:rsid w:val="00686223"/>
    <w:rsid w:val="00686392"/>
    <w:rsid w:val="00686C86"/>
    <w:rsid w:val="0069187A"/>
    <w:rsid w:val="00692C54"/>
    <w:rsid w:val="006959C0"/>
    <w:rsid w:val="006A1892"/>
    <w:rsid w:val="006A3CA4"/>
    <w:rsid w:val="006A414B"/>
    <w:rsid w:val="006A53F4"/>
    <w:rsid w:val="006A62D7"/>
    <w:rsid w:val="006A695C"/>
    <w:rsid w:val="006B076B"/>
    <w:rsid w:val="006B1BD3"/>
    <w:rsid w:val="006B568B"/>
    <w:rsid w:val="006B6F99"/>
    <w:rsid w:val="006B74CD"/>
    <w:rsid w:val="006C0050"/>
    <w:rsid w:val="006C0465"/>
    <w:rsid w:val="006C1418"/>
    <w:rsid w:val="006C15C8"/>
    <w:rsid w:val="006C1F82"/>
    <w:rsid w:val="006C397C"/>
    <w:rsid w:val="006C444F"/>
    <w:rsid w:val="006C4F38"/>
    <w:rsid w:val="006C6C33"/>
    <w:rsid w:val="006C74F1"/>
    <w:rsid w:val="006D009A"/>
    <w:rsid w:val="006D0815"/>
    <w:rsid w:val="006D16C6"/>
    <w:rsid w:val="006D262F"/>
    <w:rsid w:val="006D3796"/>
    <w:rsid w:val="006D3CED"/>
    <w:rsid w:val="006D65BD"/>
    <w:rsid w:val="006D6950"/>
    <w:rsid w:val="006E2E9D"/>
    <w:rsid w:val="006E3370"/>
    <w:rsid w:val="006E468A"/>
    <w:rsid w:val="006E46A2"/>
    <w:rsid w:val="006E7B2A"/>
    <w:rsid w:val="006E7D0A"/>
    <w:rsid w:val="006F0D43"/>
    <w:rsid w:val="006F319D"/>
    <w:rsid w:val="006F31ED"/>
    <w:rsid w:val="006F4326"/>
    <w:rsid w:val="006F4D8F"/>
    <w:rsid w:val="006F6EBD"/>
    <w:rsid w:val="006F78AC"/>
    <w:rsid w:val="007007BE"/>
    <w:rsid w:val="00700A93"/>
    <w:rsid w:val="00704B00"/>
    <w:rsid w:val="00705A15"/>
    <w:rsid w:val="007069F2"/>
    <w:rsid w:val="007072CB"/>
    <w:rsid w:val="007073BC"/>
    <w:rsid w:val="00710B57"/>
    <w:rsid w:val="00711A42"/>
    <w:rsid w:val="0071244E"/>
    <w:rsid w:val="00712C57"/>
    <w:rsid w:val="00712F71"/>
    <w:rsid w:val="00713E78"/>
    <w:rsid w:val="00717516"/>
    <w:rsid w:val="007178FF"/>
    <w:rsid w:val="0072005D"/>
    <w:rsid w:val="0072053A"/>
    <w:rsid w:val="00720799"/>
    <w:rsid w:val="00721F9E"/>
    <w:rsid w:val="007246F7"/>
    <w:rsid w:val="007250EC"/>
    <w:rsid w:val="00727651"/>
    <w:rsid w:val="00727BE6"/>
    <w:rsid w:val="0073092E"/>
    <w:rsid w:val="00730DE8"/>
    <w:rsid w:val="007310C0"/>
    <w:rsid w:val="007313B1"/>
    <w:rsid w:val="007326CC"/>
    <w:rsid w:val="00732E27"/>
    <w:rsid w:val="00733150"/>
    <w:rsid w:val="00735301"/>
    <w:rsid w:val="00735A1D"/>
    <w:rsid w:val="007361DC"/>
    <w:rsid w:val="007372F0"/>
    <w:rsid w:val="007404BD"/>
    <w:rsid w:val="00740658"/>
    <w:rsid w:val="007407F8"/>
    <w:rsid w:val="007416DC"/>
    <w:rsid w:val="00741C4E"/>
    <w:rsid w:val="007440AA"/>
    <w:rsid w:val="00745321"/>
    <w:rsid w:val="007456EA"/>
    <w:rsid w:val="00746BC3"/>
    <w:rsid w:val="00747B86"/>
    <w:rsid w:val="00750408"/>
    <w:rsid w:val="007510D3"/>
    <w:rsid w:val="007512E9"/>
    <w:rsid w:val="00751AFD"/>
    <w:rsid w:val="007524C3"/>
    <w:rsid w:val="007528B9"/>
    <w:rsid w:val="0075290B"/>
    <w:rsid w:val="0075324D"/>
    <w:rsid w:val="00753A3C"/>
    <w:rsid w:val="00753E94"/>
    <w:rsid w:val="00756CEF"/>
    <w:rsid w:val="00756D82"/>
    <w:rsid w:val="007577F9"/>
    <w:rsid w:val="00757E66"/>
    <w:rsid w:val="00763D5A"/>
    <w:rsid w:val="007662FD"/>
    <w:rsid w:val="00766C0C"/>
    <w:rsid w:val="00767C79"/>
    <w:rsid w:val="007700C6"/>
    <w:rsid w:val="00770F3B"/>
    <w:rsid w:val="0077118F"/>
    <w:rsid w:val="00774D4E"/>
    <w:rsid w:val="00776886"/>
    <w:rsid w:val="0077698F"/>
    <w:rsid w:val="00776B14"/>
    <w:rsid w:val="00777558"/>
    <w:rsid w:val="007809B6"/>
    <w:rsid w:val="00780F17"/>
    <w:rsid w:val="00781CF9"/>
    <w:rsid w:val="00781D29"/>
    <w:rsid w:val="007832D0"/>
    <w:rsid w:val="00784125"/>
    <w:rsid w:val="00784DED"/>
    <w:rsid w:val="007913FD"/>
    <w:rsid w:val="00794368"/>
    <w:rsid w:val="00794A6B"/>
    <w:rsid w:val="00794F4F"/>
    <w:rsid w:val="00796275"/>
    <w:rsid w:val="00796C9E"/>
    <w:rsid w:val="00797428"/>
    <w:rsid w:val="00797528"/>
    <w:rsid w:val="00797BE7"/>
    <w:rsid w:val="00797E00"/>
    <w:rsid w:val="007A03FD"/>
    <w:rsid w:val="007A0909"/>
    <w:rsid w:val="007A386F"/>
    <w:rsid w:val="007A65EC"/>
    <w:rsid w:val="007A693E"/>
    <w:rsid w:val="007B27C9"/>
    <w:rsid w:val="007B3CFE"/>
    <w:rsid w:val="007B4DFE"/>
    <w:rsid w:val="007B5065"/>
    <w:rsid w:val="007B5EFC"/>
    <w:rsid w:val="007B6C22"/>
    <w:rsid w:val="007C1B90"/>
    <w:rsid w:val="007C1DB4"/>
    <w:rsid w:val="007C33FE"/>
    <w:rsid w:val="007C4A36"/>
    <w:rsid w:val="007C515B"/>
    <w:rsid w:val="007D02DB"/>
    <w:rsid w:val="007D1355"/>
    <w:rsid w:val="007D1C6B"/>
    <w:rsid w:val="007D2216"/>
    <w:rsid w:val="007D2C75"/>
    <w:rsid w:val="007D6764"/>
    <w:rsid w:val="007E043D"/>
    <w:rsid w:val="007E1C7A"/>
    <w:rsid w:val="007E3989"/>
    <w:rsid w:val="007E3DF4"/>
    <w:rsid w:val="007E40C4"/>
    <w:rsid w:val="007E4428"/>
    <w:rsid w:val="007E46FC"/>
    <w:rsid w:val="007E6923"/>
    <w:rsid w:val="007E6EE5"/>
    <w:rsid w:val="007F04B8"/>
    <w:rsid w:val="007F1479"/>
    <w:rsid w:val="007F1869"/>
    <w:rsid w:val="007F1ECC"/>
    <w:rsid w:val="007F20F6"/>
    <w:rsid w:val="007F2468"/>
    <w:rsid w:val="007F2D77"/>
    <w:rsid w:val="007F3884"/>
    <w:rsid w:val="007F5583"/>
    <w:rsid w:val="0080049E"/>
    <w:rsid w:val="00801090"/>
    <w:rsid w:val="00801633"/>
    <w:rsid w:val="00801857"/>
    <w:rsid w:val="00802A93"/>
    <w:rsid w:val="00811F23"/>
    <w:rsid w:val="00812F75"/>
    <w:rsid w:val="00815AA4"/>
    <w:rsid w:val="00816017"/>
    <w:rsid w:val="00817108"/>
    <w:rsid w:val="00822328"/>
    <w:rsid w:val="00823DBE"/>
    <w:rsid w:val="00824809"/>
    <w:rsid w:val="0082503B"/>
    <w:rsid w:val="00825E93"/>
    <w:rsid w:val="0082683E"/>
    <w:rsid w:val="008268CC"/>
    <w:rsid w:val="00827CBA"/>
    <w:rsid w:val="008301FB"/>
    <w:rsid w:val="00831CD7"/>
    <w:rsid w:val="008330A5"/>
    <w:rsid w:val="0083357F"/>
    <w:rsid w:val="008341EB"/>
    <w:rsid w:val="008347C4"/>
    <w:rsid w:val="00837B1E"/>
    <w:rsid w:val="00840C53"/>
    <w:rsid w:val="00840FC9"/>
    <w:rsid w:val="00841E57"/>
    <w:rsid w:val="008422FB"/>
    <w:rsid w:val="008437B5"/>
    <w:rsid w:val="00844F81"/>
    <w:rsid w:val="00845B8A"/>
    <w:rsid w:val="00845D5E"/>
    <w:rsid w:val="00846230"/>
    <w:rsid w:val="00846F6E"/>
    <w:rsid w:val="0085054E"/>
    <w:rsid w:val="00851726"/>
    <w:rsid w:val="008523A2"/>
    <w:rsid w:val="008536D8"/>
    <w:rsid w:val="0085457B"/>
    <w:rsid w:val="00855906"/>
    <w:rsid w:val="00856DD5"/>
    <w:rsid w:val="00857198"/>
    <w:rsid w:val="008572C1"/>
    <w:rsid w:val="00857CA5"/>
    <w:rsid w:val="00860BE2"/>
    <w:rsid w:val="00861A75"/>
    <w:rsid w:val="00863935"/>
    <w:rsid w:val="008660FE"/>
    <w:rsid w:val="008662E5"/>
    <w:rsid w:val="00873968"/>
    <w:rsid w:val="00874EDA"/>
    <w:rsid w:val="00883351"/>
    <w:rsid w:val="00886A31"/>
    <w:rsid w:val="00886ECD"/>
    <w:rsid w:val="008878D6"/>
    <w:rsid w:val="008937CD"/>
    <w:rsid w:val="00893A5B"/>
    <w:rsid w:val="008947B4"/>
    <w:rsid w:val="00894B24"/>
    <w:rsid w:val="00896E61"/>
    <w:rsid w:val="008974D3"/>
    <w:rsid w:val="00897719"/>
    <w:rsid w:val="00897AF7"/>
    <w:rsid w:val="00897CC2"/>
    <w:rsid w:val="008A01CF"/>
    <w:rsid w:val="008A03F5"/>
    <w:rsid w:val="008A143D"/>
    <w:rsid w:val="008A1D71"/>
    <w:rsid w:val="008A28AD"/>
    <w:rsid w:val="008A4C1A"/>
    <w:rsid w:val="008A5469"/>
    <w:rsid w:val="008A6198"/>
    <w:rsid w:val="008A7421"/>
    <w:rsid w:val="008B069F"/>
    <w:rsid w:val="008B1DF6"/>
    <w:rsid w:val="008B2757"/>
    <w:rsid w:val="008B5497"/>
    <w:rsid w:val="008B7E74"/>
    <w:rsid w:val="008C0264"/>
    <w:rsid w:val="008C0ED2"/>
    <w:rsid w:val="008C1CAC"/>
    <w:rsid w:val="008C3A97"/>
    <w:rsid w:val="008C50D2"/>
    <w:rsid w:val="008C65E5"/>
    <w:rsid w:val="008C707B"/>
    <w:rsid w:val="008C74ED"/>
    <w:rsid w:val="008D0525"/>
    <w:rsid w:val="008D322E"/>
    <w:rsid w:val="008D4AA6"/>
    <w:rsid w:val="008D5043"/>
    <w:rsid w:val="008D5132"/>
    <w:rsid w:val="008D5527"/>
    <w:rsid w:val="008D60AC"/>
    <w:rsid w:val="008D66FF"/>
    <w:rsid w:val="008D7A40"/>
    <w:rsid w:val="008E16E7"/>
    <w:rsid w:val="008E1A69"/>
    <w:rsid w:val="008E3437"/>
    <w:rsid w:val="008E4659"/>
    <w:rsid w:val="008E63EF"/>
    <w:rsid w:val="008E6770"/>
    <w:rsid w:val="008F0AA0"/>
    <w:rsid w:val="008F3290"/>
    <w:rsid w:val="008F49EB"/>
    <w:rsid w:val="008F4B59"/>
    <w:rsid w:val="008F4B8E"/>
    <w:rsid w:val="008F7DAD"/>
    <w:rsid w:val="00900E3E"/>
    <w:rsid w:val="00902FD7"/>
    <w:rsid w:val="009051BA"/>
    <w:rsid w:val="009052D2"/>
    <w:rsid w:val="009052F3"/>
    <w:rsid w:val="0091105F"/>
    <w:rsid w:val="00911DA5"/>
    <w:rsid w:val="0091201B"/>
    <w:rsid w:val="00915610"/>
    <w:rsid w:val="00917ED7"/>
    <w:rsid w:val="00921D46"/>
    <w:rsid w:val="009221F3"/>
    <w:rsid w:val="00922B1B"/>
    <w:rsid w:val="00922E05"/>
    <w:rsid w:val="00922EF9"/>
    <w:rsid w:val="00925EFD"/>
    <w:rsid w:val="00926032"/>
    <w:rsid w:val="00926A68"/>
    <w:rsid w:val="0093257B"/>
    <w:rsid w:val="00932BD1"/>
    <w:rsid w:val="00934B94"/>
    <w:rsid w:val="00935218"/>
    <w:rsid w:val="009366F1"/>
    <w:rsid w:val="00936EE3"/>
    <w:rsid w:val="009377FC"/>
    <w:rsid w:val="009414AB"/>
    <w:rsid w:val="009417AA"/>
    <w:rsid w:val="00941FF7"/>
    <w:rsid w:val="009429DC"/>
    <w:rsid w:val="00942CD4"/>
    <w:rsid w:val="009434EA"/>
    <w:rsid w:val="0094426F"/>
    <w:rsid w:val="00945ADF"/>
    <w:rsid w:val="009461BB"/>
    <w:rsid w:val="009478F9"/>
    <w:rsid w:val="00950BCE"/>
    <w:rsid w:val="00951D11"/>
    <w:rsid w:val="00951F84"/>
    <w:rsid w:val="00952041"/>
    <w:rsid w:val="009520EC"/>
    <w:rsid w:val="00952818"/>
    <w:rsid w:val="00952B88"/>
    <w:rsid w:val="00952C4A"/>
    <w:rsid w:val="009535C6"/>
    <w:rsid w:val="0095407C"/>
    <w:rsid w:val="00954163"/>
    <w:rsid w:val="00954719"/>
    <w:rsid w:val="00955173"/>
    <w:rsid w:val="00956906"/>
    <w:rsid w:val="00957038"/>
    <w:rsid w:val="00960218"/>
    <w:rsid w:val="00960E4A"/>
    <w:rsid w:val="00961195"/>
    <w:rsid w:val="00962870"/>
    <w:rsid w:val="00964B3C"/>
    <w:rsid w:val="00966EF2"/>
    <w:rsid w:val="0096732F"/>
    <w:rsid w:val="00967420"/>
    <w:rsid w:val="00973671"/>
    <w:rsid w:val="00974464"/>
    <w:rsid w:val="00974987"/>
    <w:rsid w:val="00975956"/>
    <w:rsid w:val="00975BD4"/>
    <w:rsid w:val="00976815"/>
    <w:rsid w:val="0098055D"/>
    <w:rsid w:val="009837B9"/>
    <w:rsid w:val="009859E7"/>
    <w:rsid w:val="00992B0A"/>
    <w:rsid w:val="00992E7F"/>
    <w:rsid w:val="00995BCE"/>
    <w:rsid w:val="00995C27"/>
    <w:rsid w:val="00995DA8"/>
    <w:rsid w:val="009965F9"/>
    <w:rsid w:val="00997BF3"/>
    <w:rsid w:val="009A164B"/>
    <w:rsid w:val="009A17C8"/>
    <w:rsid w:val="009A1854"/>
    <w:rsid w:val="009A2467"/>
    <w:rsid w:val="009A2614"/>
    <w:rsid w:val="009A2A71"/>
    <w:rsid w:val="009A3D22"/>
    <w:rsid w:val="009A6D15"/>
    <w:rsid w:val="009B0459"/>
    <w:rsid w:val="009B0E25"/>
    <w:rsid w:val="009B0E33"/>
    <w:rsid w:val="009B32B5"/>
    <w:rsid w:val="009B4648"/>
    <w:rsid w:val="009B4B36"/>
    <w:rsid w:val="009B7C96"/>
    <w:rsid w:val="009C1550"/>
    <w:rsid w:val="009C22B0"/>
    <w:rsid w:val="009C3C7F"/>
    <w:rsid w:val="009C454D"/>
    <w:rsid w:val="009C4690"/>
    <w:rsid w:val="009C4AF1"/>
    <w:rsid w:val="009C5D7E"/>
    <w:rsid w:val="009C5EE4"/>
    <w:rsid w:val="009C6F7F"/>
    <w:rsid w:val="009C79A0"/>
    <w:rsid w:val="009D24F6"/>
    <w:rsid w:val="009D548F"/>
    <w:rsid w:val="009D5B19"/>
    <w:rsid w:val="009D603F"/>
    <w:rsid w:val="009D61E0"/>
    <w:rsid w:val="009D6862"/>
    <w:rsid w:val="009E10AE"/>
    <w:rsid w:val="009E3A19"/>
    <w:rsid w:val="009E4557"/>
    <w:rsid w:val="009F0956"/>
    <w:rsid w:val="009F09B9"/>
    <w:rsid w:val="009F131D"/>
    <w:rsid w:val="009F373D"/>
    <w:rsid w:val="009F3764"/>
    <w:rsid w:val="009F4E25"/>
    <w:rsid w:val="009F504B"/>
    <w:rsid w:val="009F557C"/>
    <w:rsid w:val="009F57D6"/>
    <w:rsid w:val="009F63C0"/>
    <w:rsid w:val="00A0091E"/>
    <w:rsid w:val="00A01B60"/>
    <w:rsid w:val="00A02557"/>
    <w:rsid w:val="00A030D2"/>
    <w:rsid w:val="00A0448A"/>
    <w:rsid w:val="00A04A19"/>
    <w:rsid w:val="00A053F8"/>
    <w:rsid w:val="00A06400"/>
    <w:rsid w:val="00A10E36"/>
    <w:rsid w:val="00A115BC"/>
    <w:rsid w:val="00A1210B"/>
    <w:rsid w:val="00A12BC1"/>
    <w:rsid w:val="00A1360B"/>
    <w:rsid w:val="00A145FC"/>
    <w:rsid w:val="00A15BD7"/>
    <w:rsid w:val="00A15F53"/>
    <w:rsid w:val="00A16A7C"/>
    <w:rsid w:val="00A17440"/>
    <w:rsid w:val="00A20DF0"/>
    <w:rsid w:val="00A21F66"/>
    <w:rsid w:val="00A239D5"/>
    <w:rsid w:val="00A24C36"/>
    <w:rsid w:val="00A24D3D"/>
    <w:rsid w:val="00A25D93"/>
    <w:rsid w:val="00A2754E"/>
    <w:rsid w:val="00A27793"/>
    <w:rsid w:val="00A2796E"/>
    <w:rsid w:val="00A27B71"/>
    <w:rsid w:val="00A30E1F"/>
    <w:rsid w:val="00A31880"/>
    <w:rsid w:val="00A40B43"/>
    <w:rsid w:val="00A42141"/>
    <w:rsid w:val="00A42D39"/>
    <w:rsid w:val="00A42F2F"/>
    <w:rsid w:val="00A45185"/>
    <w:rsid w:val="00A468C9"/>
    <w:rsid w:val="00A47307"/>
    <w:rsid w:val="00A47F04"/>
    <w:rsid w:val="00A50A95"/>
    <w:rsid w:val="00A515F8"/>
    <w:rsid w:val="00A524B1"/>
    <w:rsid w:val="00A5276A"/>
    <w:rsid w:val="00A52D97"/>
    <w:rsid w:val="00A537A4"/>
    <w:rsid w:val="00A54CD5"/>
    <w:rsid w:val="00A565CB"/>
    <w:rsid w:val="00A60E0D"/>
    <w:rsid w:val="00A61BAA"/>
    <w:rsid w:val="00A62B85"/>
    <w:rsid w:val="00A62D71"/>
    <w:rsid w:val="00A6433B"/>
    <w:rsid w:val="00A64448"/>
    <w:rsid w:val="00A6554F"/>
    <w:rsid w:val="00A65BEB"/>
    <w:rsid w:val="00A65CCB"/>
    <w:rsid w:val="00A66618"/>
    <w:rsid w:val="00A66F65"/>
    <w:rsid w:val="00A703CD"/>
    <w:rsid w:val="00A70424"/>
    <w:rsid w:val="00A71250"/>
    <w:rsid w:val="00A72215"/>
    <w:rsid w:val="00A73DEE"/>
    <w:rsid w:val="00A73FCB"/>
    <w:rsid w:val="00A74788"/>
    <w:rsid w:val="00A75462"/>
    <w:rsid w:val="00A764C3"/>
    <w:rsid w:val="00A76776"/>
    <w:rsid w:val="00A80F6D"/>
    <w:rsid w:val="00A81ABF"/>
    <w:rsid w:val="00A845FF"/>
    <w:rsid w:val="00A84C97"/>
    <w:rsid w:val="00A84E7F"/>
    <w:rsid w:val="00A852D9"/>
    <w:rsid w:val="00A86CDF"/>
    <w:rsid w:val="00A87F0F"/>
    <w:rsid w:val="00A87FDB"/>
    <w:rsid w:val="00A9414A"/>
    <w:rsid w:val="00A94B30"/>
    <w:rsid w:val="00A958BB"/>
    <w:rsid w:val="00A959B4"/>
    <w:rsid w:val="00A96DC3"/>
    <w:rsid w:val="00A977DE"/>
    <w:rsid w:val="00AA1DF2"/>
    <w:rsid w:val="00AA36EA"/>
    <w:rsid w:val="00AA3B51"/>
    <w:rsid w:val="00AA3BB4"/>
    <w:rsid w:val="00AA493A"/>
    <w:rsid w:val="00AA6ADB"/>
    <w:rsid w:val="00AA7067"/>
    <w:rsid w:val="00AA7717"/>
    <w:rsid w:val="00AA784B"/>
    <w:rsid w:val="00AB0FC4"/>
    <w:rsid w:val="00AB15C6"/>
    <w:rsid w:val="00AB20B3"/>
    <w:rsid w:val="00AB2ED1"/>
    <w:rsid w:val="00AB363D"/>
    <w:rsid w:val="00AB4BA6"/>
    <w:rsid w:val="00AB4FEF"/>
    <w:rsid w:val="00AB7E9D"/>
    <w:rsid w:val="00AB7EFF"/>
    <w:rsid w:val="00AC0F9F"/>
    <w:rsid w:val="00AC268C"/>
    <w:rsid w:val="00AC404D"/>
    <w:rsid w:val="00AC4691"/>
    <w:rsid w:val="00AC55CF"/>
    <w:rsid w:val="00AD0D66"/>
    <w:rsid w:val="00AD0FEB"/>
    <w:rsid w:val="00AD1241"/>
    <w:rsid w:val="00AD1354"/>
    <w:rsid w:val="00AD1B93"/>
    <w:rsid w:val="00AD253B"/>
    <w:rsid w:val="00AD3EE2"/>
    <w:rsid w:val="00AD4D4F"/>
    <w:rsid w:val="00AD6BAF"/>
    <w:rsid w:val="00AE0A04"/>
    <w:rsid w:val="00AE18C4"/>
    <w:rsid w:val="00AE20F1"/>
    <w:rsid w:val="00AE2B01"/>
    <w:rsid w:val="00AE41B3"/>
    <w:rsid w:val="00AE552B"/>
    <w:rsid w:val="00AE5978"/>
    <w:rsid w:val="00AE67EA"/>
    <w:rsid w:val="00AF04EE"/>
    <w:rsid w:val="00AF2431"/>
    <w:rsid w:val="00AF24F1"/>
    <w:rsid w:val="00AF60FC"/>
    <w:rsid w:val="00B008E0"/>
    <w:rsid w:val="00B010D7"/>
    <w:rsid w:val="00B01420"/>
    <w:rsid w:val="00B0256B"/>
    <w:rsid w:val="00B0329A"/>
    <w:rsid w:val="00B05097"/>
    <w:rsid w:val="00B11327"/>
    <w:rsid w:val="00B116A1"/>
    <w:rsid w:val="00B15068"/>
    <w:rsid w:val="00B1725A"/>
    <w:rsid w:val="00B172FB"/>
    <w:rsid w:val="00B174DF"/>
    <w:rsid w:val="00B204F4"/>
    <w:rsid w:val="00B20C2B"/>
    <w:rsid w:val="00B21198"/>
    <w:rsid w:val="00B22681"/>
    <w:rsid w:val="00B233E9"/>
    <w:rsid w:val="00B23E41"/>
    <w:rsid w:val="00B258B0"/>
    <w:rsid w:val="00B26577"/>
    <w:rsid w:val="00B2700C"/>
    <w:rsid w:val="00B301AC"/>
    <w:rsid w:val="00B31DAE"/>
    <w:rsid w:val="00B31E40"/>
    <w:rsid w:val="00B32E4C"/>
    <w:rsid w:val="00B33D03"/>
    <w:rsid w:val="00B347F0"/>
    <w:rsid w:val="00B3522A"/>
    <w:rsid w:val="00B353A3"/>
    <w:rsid w:val="00B353B6"/>
    <w:rsid w:val="00B356DE"/>
    <w:rsid w:val="00B40F3F"/>
    <w:rsid w:val="00B416B5"/>
    <w:rsid w:val="00B4199C"/>
    <w:rsid w:val="00B4363C"/>
    <w:rsid w:val="00B436A2"/>
    <w:rsid w:val="00B43CB7"/>
    <w:rsid w:val="00B456AA"/>
    <w:rsid w:val="00B47EDF"/>
    <w:rsid w:val="00B50EE3"/>
    <w:rsid w:val="00B53021"/>
    <w:rsid w:val="00B55411"/>
    <w:rsid w:val="00B55B0E"/>
    <w:rsid w:val="00B563A5"/>
    <w:rsid w:val="00B578D5"/>
    <w:rsid w:val="00B57D31"/>
    <w:rsid w:val="00B57E35"/>
    <w:rsid w:val="00B6000D"/>
    <w:rsid w:val="00B6139B"/>
    <w:rsid w:val="00B61E2D"/>
    <w:rsid w:val="00B625C8"/>
    <w:rsid w:val="00B63AC1"/>
    <w:rsid w:val="00B6441B"/>
    <w:rsid w:val="00B6544B"/>
    <w:rsid w:val="00B67992"/>
    <w:rsid w:val="00B70D5D"/>
    <w:rsid w:val="00B7192F"/>
    <w:rsid w:val="00B7364D"/>
    <w:rsid w:val="00B74BC5"/>
    <w:rsid w:val="00B765D2"/>
    <w:rsid w:val="00B80011"/>
    <w:rsid w:val="00B80C75"/>
    <w:rsid w:val="00B82334"/>
    <w:rsid w:val="00B82986"/>
    <w:rsid w:val="00B83064"/>
    <w:rsid w:val="00B83733"/>
    <w:rsid w:val="00B84EDA"/>
    <w:rsid w:val="00B86A1E"/>
    <w:rsid w:val="00B86EDD"/>
    <w:rsid w:val="00B8743C"/>
    <w:rsid w:val="00B90620"/>
    <w:rsid w:val="00B90F80"/>
    <w:rsid w:val="00B937AC"/>
    <w:rsid w:val="00B94B7E"/>
    <w:rsid w:val="00B95067"/>
    <w:rsid w:val="00B95149"/>
    <w:rsid w:val="00B96790"/>
    <w:rsid w:val="00B96987"/>
    <w:rsid w:val="00BA2112"/>
    <w:rsid w:val="00BA237B"/>
    <w:rsid w:val="00BA2991"/>
    <w:rsid w:val="00BA307E"/>
    <w:rsid w:val="00BA54EB"/>
    <w:rsid w:val="00BA5680"/>
    <w:rsid w:val="00BA5C2F"/>
    <w:rsid w:val="00BA6243"/>
    <w:rsid w:val="00BA754E"/>
    <w:rsid w:val="00BA7BFB"/>
    <w:rsid w:val="00BB0092"/>
    <w:rsid w:val="00BB03BD"/>
    <w:rsid w:val="00BB0F3C"/>
    <w:rsid w:val="00BB1A9A"/>
    <w:rsid w:val="00BB335B"/>
    <w:rsid w:val="00BB3D50"/>
    <w:rsid w:val="00BB4511"/>
    <w:rsid w:val="00BB4BDB"/>
    <w:rsid w:val="00BC03D3"/>
    <w:rsid w:val="00BC1654"/>
    <w:rsid w:val="00BC260B"/>
    <w:rsid w:val="00BC28CD"/>
    <w:rsid w:val="00BC2D3A"/>
    <w:rsid w:val="00BC3449"/>
    <w:rsid w:val="00BC457C"/>
    <w:rsid w:val="00BC64A4"/>
    <w:rsid w:val="00BC6698"/>
    <w:rsid w:val="00BC742A"/>
    <w:rsid w:val="00BC7A69"/>
    <w:rsid w:val="00BD0082"/>
    <w:rsid w:val="00BD0BCF"/>
    <w:rsid w:val="00BD1E4B"/>
    <w:rsid w:val="00BD4B07"/>
    <w:rsid w:val="00BD5A14"/>
    <w:rsid w:val="00BE0925"/>
    <w:rsid w:val="00BE0AB7"/>
    <w:rsid w:val="00BE0D31"/>
    <w:rsid w:val="00BE1C14"/>
    <w:rsid w:val="00BE5999"/>
    <w:rsid w:val="00BE677F"/>
    <w:rsid w:val="00BE78F1"/>
    <w:rsid w:val="00BF018B"/>
    <w:rsid w:val="00BF026E"/>
    <w:rsid w:val="00BF2081"/>
    <w:rsid w:val="00BF53A3"/>
    <w:rsid w:val="00BF54BC"/>
    <w:rsid w:val="00BF5D18"/>
    <w:rsid w:val="00BF6A39"/>
    <w:rsid w:val="00BF75E4"/>
    <w:rsid w:val="00C00B31"/>
    <w:rsid w:val="00C02020"/>
    <w:rsid w:val="00C04301"/>
    <w:rsid w:val="00C05217"/>
    <w:rsid w:val="00C055AC"/>
    <w:rsid w:val="00C06C5F"/>
    <w:rsid w:val="00C073E2"/>
    <w:rsid w:val="00C07B67"/>
    <w:rsid w:val="00C131D1"/>
    <w:rsid w:val="00C142EE"/>
    <w:rsid w:val="00C158EB"/>
    <w:rsid w:val="00C15C77"/>
    <w:rsid w:val="00C165D9"/>
    <w:rsid w:val="00C1673E"/>
    <w:rsid w:val="00C20DDE"/>
    <w:rsid w:val="00C21472"/>
    <w:rsid w:val="00C2174B"/>
    <w:rsid w:val="00C24923"/>
    <w:rsid w:val="00C31B9B"/>
    <w:rsid w:val="00C3284C"/>
    <w:rsid w:val="00C3671D"/>
    <w:rsid w:val="00C376C2"/>
    <w:rsid w:val="00C4026B"/>
    <w:rsid w:val="00C403C4"/>
    <w:rsid w:val="00C414CD"/>
    <w:rsid w:val="00C43763"/>
    <w:rsid w:val="00C43D8C"/>
    <w:rsid w:val="00C448B7"/>
    <w:rsid w:val="00C4669F"/>
    <w:rsid w:val="00C46E72"/>
    <w:rsid w:val="00C47C29"/>
    <w:rsid w:val="00C503F9"/>
    <w:rsid w:val="00C53094"/>
    <w:rsid w:val="00C54E05"/>
    <w:rsid w:val="00C5541E"/>
    <w:rsid w:val="00C574B6"/>
    <w:rsid w:val="00C576E0"/>
    <w:rsid w:val="00C57E7A"/>
    <w:rsid w:val="00C601E8"/>
    <w:rsid w:val="00C61D05"/>
    <w:rsid w:val="00C63C8C"/>
    <w:rsid w:val="00C64B85"/>
    <w:rsid w:val="00C661E2"/>
    <w:rsid w:val="00C66A1D"/>
    <w:rsid w:val="00C66CAF"/>
    <w:rsid w:val="00C708F9"/>
    <w:rsid w:val="00C7165D"/>
    <w:rsid w:val="00C72915"/>
    <w:rsid w:val="00C72C81"/>
    <w:rsid w:val="00C734C7"/>
    <w:rsid w:val="00C74063"/>
    <w:rsid w:val="00C755BD"/>
    <w:rsid w:val="00C758E2"/>
    <w:rsid w:val="00C76E34"/>
    <w:rsid w:val="00C77113"/>
    <w:rsid w:val="00C771F4"/>
    <w:rsid w:val="00C80444"/>
    <w:rsid w:val="00C81474"/>
    <w:rsid w:val="00C81B1C"/>
    <w:rsid w:val="00C82799"/>
    <w:rsid w:val="00C82847"/>
    <w:rsid w:val="00C82978"/>
    <w:rsid w:val="00C82A70"/>
    <w:rsid w:val="00C84A6E"/>
    <w:rsid w:val="00C84B25"/>
    <w:rsid w:val="00C84D0B"/>
    <w:rsid w:val="00C87759"/>
    <w:rsid w:val="00C90822"/>
    <w:rsid w:val="00C91BFC"/>
    <w:rsid w:val="00C9226F"/>
    <w:rsid w:val="00C9254D"/>
    <w:rsid w:val="00C9386B"/>
    <w:rsid w:val="00C96590"/>
    <w:rsid w:val="00C96D45"/>
    <w:rsid w:val="00CA080C"/>
    <w:rsid w:val="00CA082E"/>
    <w:rsid w:val="00CA1888"/>
    <w:rsid w:val="00CA2C2A"/>
    <w:rsid w:val="00CA2F56"/>
    <w:rsid w:val="00CA39B3"/>
    <w:rsid w:val="00CA3E98"/>
    <w:rsid w:val="00CA59A8"/>
    <w:rsid w:val="00CA5B62"/>
    <w:rsid w:val="00CB0383"/>
    <w:rsid w:val="00CB0C9E"/>
    <w:rsid w:val="00CB1B63"/>
    <w:rsid w:val="00CB1C46"/>
    <w:rsid w:val="00CB2980"/>
    <w:rsid w:val="00CB35AE"/>
    <w:rsid w:val="00CB4EDC"/>
    <w:rsid w:val="00CB502A"/>
    <w:rsid w:val="00CB5473"/>
    <w:rsid w:val="00CB6BAE"/>
    <w:rsid w:val="00CB71FF"/>
    <w:rsid w:val="00CC2044"/>
    <w:rsid w:val="00CC31ED"/>
    <w:rsid w:val="00CC4836"/>
    <w:rsid w:val="00CC58D4"/>
    <w:rsid w:val="00CC5C6B"/>
    <w:rsid w:val="00CC63C8"/>
    <w:rsid w:val="00CC6708"/>
    <w:rsid w:val="00CC7812"/>
    <w:rsid w:val="00CC78BB"/>
    <w:rsid w:val="00CC7D77"/>
    <w:rsid w:val="00CD0AD4"/>
    <w:rsid w:val="00CD1607"/>
    <w:rsid w:val="00CD24A6"/>
    <w:rsid w:val="00CD28A3"/>
    <w:rsid w:val="00CD53B3"/>
    <w:rsid w:val="00CD5A86"/>
    <w:rsid w:val="00CD5DD0"/>
    <w:rsid w:val="00CD62A3"/>
    <w:rsid w:val="00CD65BF"/>
    <w:rsid w:val="00CD6A0A"/>
    <w:rsid w:val="00CD6B24"/>
    <w:rsid w:val="00CD75F1"/>
    <w:rsid w:val="00CD7A83"/>
    <w:rsid w:val="00CE09A0"/>
    <w:rsid w:val="00CE1ECC"/>
    <w:rsid w:val="00CE3D7F"/>
    <w:rsid w:val="00CE6047"/>
    <w:rsid w:val="00CE7D81"/>
    <w:rsid w:val="00CF260D"/>
    <w:rsid w:val="00D00582"/>
    <w:rsid w:val="00D01452"/>
    <w:rsid w:val="00D01F38"/>
    <w:rsid w:val="00D02C04"/>
    <w:rsid w:val="00D0362E"/>
    <w:rsid w:val="00D04988"/>
    <w:rsid w:val="00D05B88"/>
    <w:rsid w:val="00D1065A"/>
    <w:rsid w:val="00D10B35"/>
    <w:rsid w:val="00D120E1"/>
    <w:rsid w:val="00D12688"/>
    <w:rsid w:val="00D140ED"/>
    <w:rsid w:val="00D148AB"/>
    <w:rsid w:val="00D14943"/>
    <w:rsid w:val="00D14972"/>
    <w:rsid w:val="00D14A99"/>
    <w:rsid w:val="00D14BD0"/>
    <w:rsid w:val="00D16A77"/>
    <w:rsid w:val="00D16E7F"/>
    <w:rsid w:val="00D22372"/>
    <w:rsid w:val="00D23E25"/>
    <w:rsid w:val="00D25805"/>
    <w:rsid w:val="00D26C38"/>
    <w:rsid w:val="00D27DE3"/>
    <w:rsid w:val="00D31F43"/>
    <w:rsid w:val="00D32A14"/>
    <w:rsid w:val="00D32DF9"/>
    <w:rsid w:val="00D33C81"/>
    <w:rsid w:val="00D40392"/>
    <w:rsid w:val="00D4165D"/>
    <w:rsid w:val="00D45C24"/>
    <w:rsid w:val="00D47352"/>
    <w:rsid w:val="00D47CF5"/>
    <w:rsid w:val="00D50950"/>
    <w:rsid w:val="00D51A0C"/>
    <w:rsid w:val="00D52B1C"/>
    <w:rsid w:val="00D53789"/>
    <w:rsid w:val="00D537B7"/>
    <w:rsid w:val="00D53E0F"/>
    <w:rsid w:val="00D54A74"/>
    <w:rsid w:val="00D55354"/>
    <w:rsid w:val="00D55434"/>
    <w:rsid w:val="00D5549B"/>
    <w:rsid w:val="00D556DA"/>
    <w:rsid w:val="00D565CD"/>
    <w:rsid w:val="00D577E6"/>
    <w:rsid w:val="00D6018C"/>
    <w:rsid w:val="00D61970"/>
    <w:rsid w:val="00D61C4F"/>
    <w:rsid w:val="00D62821"/>
    <w:rsid w:val="00D62AAF"/>
    <w:rsid w:val="00D62D29"/>
    <w:rsid w:val="00D63070"/>
    <w:rsid w:val="00D64AC8"/>
    <w:rsid w:val="00D65BB7"/>
    <w:rsid w:val="00D66727"/>
    <w:rsid w:val="00D67FF3"/>
    <w:rsid w:val="00D709CE"/>
    <w:rsid w:val="00D74F0F"/>
    <w:rsid w:val="00D754D4"/>
    <w:rsid w:val="00D7560A"/>
    <w:rsid w:val="00D8198E"/>
    <w:rsid w:val="00D81B67"/>
    <w:rsid w:val="00D81C67"/>
    <w:rsid w:val="00D81EE2"/>
    <w:rsid w:val="00D820E8"/>
    <w:rsid w:val="00D825CE"/>
    <w:rsid w:val="00D83018"/>
    <w:rsid w:val="00D8360B"/>
    <w:rsid w:val="00D83C37"/>
    <w:rsid w:val="00D8404C"/>
    <w:rsid w:val="00D852AB"/>
    <w:rsid w:val="00D869C7"/>
    <w:rsid w:val="00D8775C"/>
    <w:rsid w:val="00D90B49"/>
    <w:rsid w:val="00D920AA"/>
    <w:rsid w:val="00D92281"/>
    <w:rsid w:val="00D92458"/>
    <w:rsid w:val="00D92C69"/>
    <w:rsid w:val="00D96CB3"/>
    <w:rsid w:val="00D97D0B"/>
    <w:rsid w:val="00DA07E2"/>
    <w:rsid w:val="00DA1CDE"/>
    <w:rsid w:val="00DA21B5"/>
    <w:rsid w:val="00DA23C2"/>
    <w:rsid w:val="00DA2D1F"/>
    <w:rsid w:val="00DA48B3"/>
    <w:rsid w:val="00DA50BE"/>
    <w:rsid w:val="00DA5375"/>
    <w:rsid w:val="00DA7391"/>
    <w:rsid w:val="00DA76BB"/>
    <w:rsid w:val="00DB3B63"/>
    <w:rsid w:val="00DB3F61"/>
    <w:rsid w:val="00DB4939"/>
    <w:rsid w:val="00DB5224"/>
    <w:rsid w:val="00DC0300"/>
    <w:rsid w:val="00DC0BAF"/>
    <w:rsid w:val="00DC14F5"/>
    <w:rsid w:val="00DC38D7"/>
    <w:rsid w:val="00DC437E"/>
    <w:rsid w:val="00DC5F8F"/>
    <w:rsid w:val="00DC7CB8"/>
    <w:rsid w:val="00DD02F6"/>
    <w:rsid w:val="00DD0454"/>
    <w:rsid w:val="00DD1371"/>
    <w:rsid w:val="00DD1967"/>
    <w:rsid w:val="00DD371D"/>
    <w:rsid w:val="00DD3D68"/>
    <w:rsid w:val="00DD3F5F"/>
    <w:rsid w:val="00DD6138"/>
    <w:rsid w:val="00DD6889"/>
    <w:rsid w:val="00DD6EC1"/>
    <w:rsid w:val="00DD7B64"/>
    <w:rsid w:val="00DD7C22"/>
    <w:rsid w:val="00DE111D"/>
    <w:rsid w:val="00DE2B10"/>
    <w:rsid w:val="00DE437D"/>
    <w:rsid w:val="00DE4C5B"/>
    <w:rsid w:val="00DE59E2"/>
    <w:rsid w:val="00DF0A5B"/>
    <w:rsid w:val="00DF148E"/>
    <w:rsid w:val="00DF291A"/>
    <w:rsid w:val="00DF2FB4"/>
    <w:rsid w:val="00DF3696"/>
    <w:rsid w:val="00DF41D2"/>
    <w:rsid w:val="00DF493D"/>
    <w:rsid w:val="00DF4D56"/>
    <w:rsid w:val="00DF58D7"/>
    <w:rsid w:val="00DF7E00"/>
    <w:rsid w:val="00DF7E80"/>
    <w:rsid w:val="00DF7EA9"/>
    <w:rsid w:val="00DF7EB9"/>
    <w:rsid w:val="00E01D10"/>
    <w:rsid w:val="00E02018"/>
    <w:rsid w:val="00E0201B"/>
    <w:rsid w:val="00E02CFE"/>
    <w:rsid w:val="00E0644E"/>
    <w:rsid w:val="00E0687A"/>
    <w:rsid w:val="00E06988"/>
    <w:rsid w:val="00E07212"/>
    <w:rsid w:val="00E07682"/>
    <w:rsid w:val="00E10664"/>
    <w:rsid w:val="00E11FAF"/>
    <w:rsid w:val="00E12FF3"/>
    <w:rsid w:val="00E14446"/>
    <w:rsid w:val="00E14565"/>
    <w:rsid w:val="00E14865"/>
    <w:rsid w:val="00E14AC8"/>
    <w:rsid w:val="00E150E9"/>
    <w:rsid w:val="00E16700"/>
    <w:rsid w:val="00E20108"/>
    <w:rsid w:val="00E22D14"/>
    <w:rsid w:val="00E23426"/>
    <w:rsid w:val="00E248BA"/>
    <w:rsid w:val="00E25339"/>
    <w:rsid w:val="00E2547D"/>
    <w:rsid w:val="00E26664"/>
    <w:rsid w:val="00E2674A"/>
    <w:rsid w:val="00E302F8"/>
    <w:rsid w:val="00E30303"/>
    <w:rsid w:val="00E30F8F"/>
    <w:rsid w:val="00E30FBF"/>
    <w:rsid w:val="00E317AB"/>
    <w:rsid w:val="00E31BCF"/>
    <w:rsid w:val="00E32235"/>
    <w:rsid w:val="00E33463"/>
    <w:rsid w:val="00E33C8B"/>
    <w:rsid w:val="00E34F0D"/>
    <w:rsid w:val="00E35E65"/>
    <w:rsid w:val="00E377AF"/>
    <w:rsid w:val="00E4036A"/>
    <w:rsid w:val="00E40A56"/>
    <w:rsid w:val="00E4125D"/>
    <w:rsid w:val="00E41CC7"/>
    <w:rsid w:val="00E42EE4"/>
    <w:rsid w:val="00E43A5C"/>
    <w:rsid w:val="00E43CC8"/>
    <w:rsid w:val="00E4458E"/>
    <w:rsid w:val="00E445C9"/>
    <w:rsid w:val="00E459D6"/>
    <w:rsid w:val="00E46867"/>
    <w:rsid w:val="00E509EA"/>
    <w:rsid w:val="00E510FE"/>
    <w:rsid w:val="00E5467A"/>
    <w:rsid w:val="00E5663C"/>
    <w:rsid w:val="00E5672D"/>
    <w:rsid w:val="00E56AC4"/>
    <w:rsid w:val="00E5711A"/>
    <w:rsid w:val="00E60398"/>
    <w:rsid w:val="00E6041A"/>
    <w:rsid w:val="00E60609"/>
    <w:rsid w:val="00E61510"/>
    <w:rsid w:val="00E61FFD"/>
    <w:rsid w:val="00E62BF5"/>
    <w:rsid w:val="00E640ED"/>
    <w:rsid w:val="00E65A3D"/>
    <w:rsid w:val="00E66E9D"/>
    <w:rsid w:val="00E7011E"/>
    <w:rsid w:val="00E749CD"/>
    <w:rsid w:val="00E753B1"/>
    <w:rsid w:val="00E760EE"/>
    <w:rsid w:val="00E76A2E"/>
    <w:rsid w:val="00E76A8D"/>
    <w:rsid w:val="00E7762D"/>
    <w:rsid w:val="00E77AE6"/>
    <w:rsid w:val="00E80BC3"/>
    <w:rsid w:val="00E80BE1"/>
    <w:rsid w:val="00E81EB7"/>
    <w:rsid w:val="00E82763"/>
    <w:rsid w:val="00E8458D"/>
    <w:rsid w:val="00E86FBD"/>
    <w:rsid w:val="00E90121"/>
    <w:rsid w:val="00E91AF6"/>
    <w:rsid w:val="00E92170"/>
    <w:rsid w:val="00E94B83"/>
    <w:rsid w:val="00EA04EE"/>
    <w:rsid w:val="00EA100B"/>
    <w:rsid w:val="00EA197F"/>
    <w:rsid w:val="00EA2612"/>
    <w:rsid w:val="00EA341F"/>
    <w:rsid w:val="00EA487F"/>
    <w:rsid w:val="00EA5B53"/>
    <w:rsid w:val="00EA6C71"/>
    <w:rsid w:val="00EA71C3"/>
    <w:rsid w:val="00EA7639"/>
    <w:rsid w:val="00EB4221"/>
    <w:rsid w:val="00EB6894"/>
    <w:rsid w:val="00EB7D04"/>
    <w:rsid w:val="00EC1895"/>
    <w:rsid w:val="00EC35F1"/>
    <w:rsid w:val="00EC6431"/>
    <w:rsid w:val="00EC6BDB"/>
    <w:rsid w:val="00EC6F62"/>
    <w:rsid w:val="00EC783A"/>
    <w:rsid w:val="00EC7D90"/>
    <w:rsid w:val="00ED2CC1"/>
    <w:rsid w:val="00ED3079"/>
    <w:rsid w:val="00ED43F6"/>
    <w:rsid w:val="00ED7299"/>
    <w:rsid w:val="00ED74CF"/>
    <w:rsid w:val="00ED7D39"/>
    <w:rsid w:val="00EE16F8"/>
    <w:rsid w:val="00EE1C8A"/>
    <w:rsid w:val="00EE61AE"/>
    <w:rsid w:val="00EE716B"/>
    <w:rsid w:val="00EF0AB4"/>
    <w:rsid w:val="00EF0E19"/>
    <w:rsid w:val="00EF108A"/>
    <w:rsid w:val="00EF3063"/>
    <w:rsid w:val="00EF45DA"/>
    <w:rsid w:val="00EF5D53"/>
    <w:rsid w:val="00EF5D78"/>
    <w:rsid w:val="00EF6B81"/>
    <w:rsid w:val="00EF6F1C"/>
    <w:rsid w:val="00EF7B44"/>
    <w:rsid w:val="00F00C2D"/>
    <w:rsid w:val="00F00E0E"/>
    <w:rsid w:val="00F00FBB"/>
    <w:rsid w:val="00F02B34"/>
    <w:rsid w:val="00F02E71"/>
    <w:rsid w:val="00F0375A"/>
    <w:rsid w:val="00F03A1E"/>
    <w:rsid w:val="00F03CF1"/>
    <w:rsid w:val="00F03EA4"/>
    <w:rsid w:val="00F03EE5"/>
    <w:rsid w:val="00F07BB2"/>
    <w:rsid w:val="00F07BB8"/>
    <w:rsid w:val="00F10924"/>
    <w:rsid w:val="00F10FA4"/>
    <w:rsid w:val="00F13E61"/>
    <w:rsid w:val="00F15D6A"/>
    <w:rsid w:val="00F16477"/>
    <w:rsid w:val="00F16870"/>
    <w:rsid w:val="00F16AB6"/>
    <w:rsid w:val="00F16C0A"/>
    <w:rsid w:val="00F17362"/>
    <w:rsid w:val="00F17966"/>
    <w:rsid w:val="00F17C0A"/>
    <w:rsid w:val="00F20974"/>
    <w:rsid w:val="00F21256"/>
    <w:rsid w:val="00F21832"/>
    <w:rsid w:val="00F21FED"/>
    <w:rsid w:val="00F24844"/>
    <w:rsid w:val="00F24B83"/>
    <w:rsid w:val="00F26031"/>
    <w:rsid w:val="00F26881"/>
    <w:rsid w:val="00F309D4"/>
    <w:rsid w:val="00F322C5"/>
    <w:rsid w:val="00F325F0"/>
    <w:rsid w:val="00F34A65"/>
    <w:rsid w:val="00F34A6F"/>
    <w:rsid w:val="00F35BB7"/>
    <w:rsid w:val="00F35BC6"/>
    <w:rsid w:val="00F36552"/>
    <w:rsid w:val="00F369AD"/>
    <w:rsid w:val="00F40AD4"/>
    <w:rsid w:val="00F40FC8"/>
    <w:rsid w:val="00F42B90"/>
    <w:rsid w:val="00F43069"/>
    <w:rsid w:val="00F43E36"/>
    <w:rsid w:val="00F442E3"/>
    <w:rsid w:val="00F44BED"/>
    <w:rsid w:val="00F45291"/>
    <w:rsid w:val="00F4598D"/>
    <w:rsid w:val="00F45A5F"/>
    <w:rsid w:val="00F45D19"/>
    <w:rsid w:val="00F45F77"/>
    <w:rsid w:val="00F46599"/>
    <w:rsid w:val="00F475C4"/>
    <w:rsid w:val="00F47969"/>
    <w:rsid w:val="00F479CF"/>
    <w:rsid w:val="00F50C3B"/>
    <w:rsid w:val="00F50EBE"/>
    <w:rsid w:val="00F511FF"/>
    <w:rsid w:val="00F531E1"/>
    <w:rsid w:val="00F53A50"/>
    <w:rsid w:val="00F55BE4"/>
    <w:rsid w:val="00F578A2"/>
    <w:rsid w:val="00F61441"/>
    <w:rsid w:val="00F61DE7"/>
    <w:rsid w:val="00F631B3"/>
    <w:rsid w:val="00F63562"/>
    <w:rsid w:val="00F65143"/>
    <w:rsid w:val="00F65A6A"/>
    <w:rsid w:val="00F66598"/>
    <w:rsid w:val="00F66DA0"/>
    <w:rsid w:val="00F72F8D"/>
    <w:rsid w:val="00F73CBA"/>
    <w:rsid w:val="00F742C9"/>
    <w:rsid w:val="00F74EBA"/>
    <w:rsid w:val="00F75B45"/>
    <w:rsid w:val="00F76C18"/>
    <w:rsid w:val="00F8031E"/>
    <w:rsid w:val="00F80A0A"/>
    <w:rsid w:val="00F81AC4"/>
    <w:rsid w:val="00F8383B"/>
    <w:rsid w:val="00F85DEF"/>
    <w:rsid w:val="00F8616F"/>
    <w:rsid w:val="00F87DCB"/>
    <w:rsid w:val="00F87F62"/>
    <w:rsid w:val="00F87FC8"/>
    <w:rsid w:val="00F9014B"/>
    <w:rsid w:val="00F90411"/>
    <w:rsid w:val="00F90C0F"/>
    <w:rsid w:val="00F90D48"/>
    <w:rsid w:val="00F9170A"/>
    <w:rsid w:val="00F933F8"/>
    <w:rsid w:val="00F93C97"/>
    <w:rsid w:val="00F94E64"/>
    <w:rsid w:val="00F952B3"/>
    <w:rsid w:val="00FA07C2"/>
    <w:rsid w:val="00FA0C85"/>
    <w:rsid w:val="00FA301D"/>
    <w:rsid w:val="00FA478D"/>
    <w:rsid w:val="00FA5326"/>
    <w:rsid w:val="00FA5E8A"/>
    <w:rsid w:val="00FA617F"/>
    <w:rsid w:val="00FA6F21"/>
    <w:rsid w:val="00FB177F"/>
    <w:rsid w:val="00FB241E"/>
    <w:rsid w:val="00FB334B"/>
    <w:rsid w:val="00FB5730"/>
    <w:rsid w:val="00FB6DA9"/>
    <w:rsid w:val="00FC0DE0"/>
    <w:rsid w:val="00FC0DE2"/>
    <w:rsid w:val="00FC2375"/>
    <w:rsid w:val="00FC386B"/>
    <w:rsid w:val="00FC3C4F"/>
    <w:rsid w:val="00FC665D"/>
    <w:rsid w:val="00FD0950"/>
    <w:rsid w:val="00FD12C9"/>
    <w:rsid w:val="00FD1510"/>
    <w:rsid w:val="00FD3BC8"/>
    <w:rsid w:val="00FD4D26"/>
    <w:rsid w:val="00FD6713"/>
    <w:rsid w:val="00FD7AC7"/>
    <w:rsid w:val="00FE06F9"/>
    <w:rsid w:val="00FE1986"/>
    <w:rsid w:val="00FE2DDC"/>
    <w:rsid w:val="00FE4046"/>
    <w:rsid w:val="00FE4BF4"/>
    <w:rsid w:val="00FE5380"/>
    <w:rsid w:val="00FE53E4"/>
    <w:rsid w:val="00FE5467"/>
    <w:rsid w:val="00FE6513"/>
    <w:rsid w:val="00FE765F"/>
    <w:rsid w:val="00FE7954"/>
    <w:rsid w:val="00FE7B8B"/>
    <w:rsid w:val="00FE7C51"/>
    <w:rsid w:val="00FF17F4"/>
    <w:rsid w:val="00FF1B6E"/>
    <w:rsid w:val="00FF2047"/>
    <w:rsid w:val="0A9E7CF1"/>
    <w:rsid w:val="0B7E024F"/>
    <w:rsid w:val="0CFE49C2"/>
    <w:rsid w:val="17E3F6B1"/>
    <w:rsid w:val="1E854FF8"/>
    <w:rsid w:val="1EFD11A0"/>
    <w:rsid w:val="275862DF"/>
    <w:rsid w:val="2FE6584F"/>
    <w:rsid w:val="3813418C"/>
    <w:rsid w:val="3C9538CE"/>
    <w:rsid w:val="3EEFC768"/>
    <w:rsid w:val="45EE3704"/>
    <w:rsid w:val="48276E26"/>
    <w:rsid w:val="4FDFF490"/>
    <w:rsid w:val="50D55E88"/>
    <w:rsid w:val="52FC5699"/>
    <w:rsid w:val="53226CDE"/>
    <w:rsid w:val="59742FF6"/>
    <w:rsid w:val="5F070C59"/>
    <w:rsid w:val="60CF0904"/>
    <w:rsid w:val="67060155"/>
    <w:rsid w:val="6D0F2713"/>
    <w:rsid w:val="70215305"/>
    <w:rsid w:val="72BA1B28"/>
    <w:rsid w:val="753C4979"/>
    <w:rsid w:val="76462AC0"/>
    <w:rsid w:val="765406AD"/>
    <w:rsid w:val="773CDE28"/>
    <w:rsid w:val="78C733B9"/>
    <w:rsid w:val="7A6A45CA"/>
    <w:rsid w:val="7B6B0D29"/>
    <w:rsid w:val="7BFE74EA"/>
    <w:rsid w:val="7C771AB5"/>
    <w:rsid w:val="7F25D4AF"/>
    <w:rsid w:val="BAAF7465"/>
    <w:rsid w:val="EDE3B547"/>
    <w:rsid w:val="EF4F597B"/>
    <w:rsid w:val="F975E2D0"/>
    <w:rsid w:val="FFBD2C76"/>
    <w:rsid w:val="FFFF76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spacing w:line="240" w:lineRule="auto"/>
      <w:ind w:firstLine="420" w:firstLineChars="200"/>
    </w:pPr>
    <w:rPr>
      <w:rFonts w:ascii="Times New Roman" w:hAnsi="Times New Roman" w:eastAsia="宋体" w:cs="Times New Roman"/>
    </w:rPr>
  </w:style>
  <w:style w:type="paragraph" w:styleId="3">
    <w:name w:val="Body Text Indent"/>
    <w:basedOn w:val="1"/>
    <w:next w:val="4"/>
    <w:autoRedefine/>
    <w:qFormat/>
    <w:uiPriority w:val="0"/>
    <w:pPr>
      <w:adjustRightInd w:val="0"/>
      <w:snapToGrid w:val="0"/>
      <w:spacing w:line="300" w:lineRule="auto"/>
      <w:ind w:firstLine="640" w:firstLineChars="200"/>
    </w:pPr>
    <w:rPr>
      <w:rFonts w:ascii="仿宋_GB2312" w:eastAsia="仿宋_GB2312"/>
      <w:sz w:val="32"/>
    </w:rPr>
  </w:style>
  <w:style w:type="paragraph" w:styleId="4">
    <w:name w:val="Body Text Indent 3"/>
    <w:basedOn w:val="1"/>
    <w:next w:val="5"/>
    <w:autoRedefine/>
    <w:qFormat/>
    <w:uiPriority w:val="0"/>
    <w:pPr>
      <w:spacing w:line="360" w:lineRule="auto"/>
      <w:ind w:firstLine="480" w:firstLineChars="200"/>
    </w:pPr>
    <w:rPr>
      <w:rFonts w:ascii="宋体" w:hAnsi="宋体"/>
      <w:color w:val="FF0000"/>
      <w:sz w:val="24"/>
    </w:rPr>
  </w:style>
  <w:style w:type="paragraph" w:customStyle="1" w:styleId="5">
    <w:name w:val="Style23"/>
    <w:basedOn w:val="1"/>
    <w:next w:val="1"/>
    <w:autoRedefine/>
    <w:qFormat/>
    <w:uiPriority w:val="99"/>
    <w:rPr>
      <w:rFonts w:ascii="Calibri" w:hAnsi="宋体" w:cs="宋体"/>
      <w:kern w:val="0"/>
      <w:szCs w:val="20"/>
    </w:rPr>
  </w:style>
  <w:style w:type="paragraph" w:styleId="6">
    <w:name w:val="Date"/>
    <w:basedOn w:val="1"/>
    <w:next w:val="1"/>
    <w:autoRedefine/>
    <w:qFormat/>
    <w:uiPriority w:val="0"/>
    <w:pPr>
      <w:ind w:left="100" w:leftChars="2500"/>
    </w:pPr>
  </w:style>
  <w:style w:type="paragraph" w:styleId="7">
    <w:name w:val="Body Text Indent 2"/>
    <w:basedOn w:val="1"/>
    <w:autoRedefine/>
    <w:qFormat/>
    <w:uiPriority w:val="0"/>
    <w:pPr>
      <w:spacing w:after="120" w:line="480" w:lineRule="auto"/>
      <w:ind w:left="420" w:leftChars="200"/>
    </w:pPr>
  </w:style>
  <w:style w:type="paragraph" w:styleId="8">
    <w:name w:val="Balloon Text"/>
    <w:basedOn w:val="1"/>
    <w:autoRedefine/>
    <w:semiHidden/>
    <w:qFormat/>
    <w:uiPriority w:val="0"/>
    <w:rPr>
      <w:sz w:val="18"/>
      <w:szCs w:val="18"/>
    </w:rPr>
  </w:style>
  <w:style w:type="paragraph" w:styleId="9">
    <w:name w:val="footer"/>
    <w:basedOn w:val="1"/>
    <w:link w:val="21"/>
    <w:autoRedefine/>
    <w:qFormat/>
    <w:uiPriority w:val="99"/>
    <w:pPr>
      <w:tabs>
        <w:tab w:val="center" w:pos="4153"/>
        <w:tab w:val="right" w:pos="8306"/>
      </w:tabs>
      <w:snapToGrid w:val="0"/>
      <w:jc w:val="left"/>
    </w:pPr>
    <w:rPr>
      <w:sz w:val="28"/>
      <w:szCs w:val="18"/>
    </w:rPr>
  </w:style>
  <w:style w:type="paragraph" w:styleId="10">
    <w:name w:val="header"/>
    <w:basedOn w:val="1"/>
    <w:link w:val="23"/>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rPr>
      <w:sz w:val="24"/>
    </w:rPr>
  </w:style>
  <w:style w:type="paragraph" w:styleId="12">
    <w:name w:val="Body Text First Indent 2"/>
    <w:basedOn w:val="3"/>
    <w:next w:val="1"/>
    <w:autoRedefine/>
    <w:unhideWhenUsed/>
    <w:qFormat/>
    <w:uiPriority w:val="99"/>
    <w:pPr>
      <w:ind w:firstLine="420"/>
    </w:pPr>
  </w:style>
  <w:style w:type="table" w:styleId="14">
    <w:name w:val="Table Grid"/>
    <w:basedOn w:val="13"/>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autoRedefine/>
    <w:qFormat/>
    <w:uiPriority w:val="0"/>
  </w:style>
  <w:style w:type="character" w:styleId="17">
    <w:name w:val="Hyperlink"/>
    <w:basedOn w:val="15"/>
    <w:autoRedefine/>
    <w:qFormat/>
    <w:uiPriority w:val="0"/>
    <w:rPr>
      <w:color w:val="0000FF"/>
      <w:u w:val="single"/>
    </w:rPr>
  </w:style>
  <w:style w:type="character" w:customStyle="1" w:styleId="18">
    <w:name w:val="表字体 Char Char"/>
    <w:link w:val="19"/>
    <w:autoRedefine/>
    <w:qFormat/>
    <w:uiPriority w:val="0"/>
    <w:rPr>
      <w:rFonts w:ascii="宋体" w:hAnsi="宋体" w:eastAsia="宋体"/>
      <w:lang w:bidi="ar-SA"/>
    </w:rPr>
  </w:style>
  <w:style w:type="paragraph" w:customStyle="1" w:styleId="19">
    <w:name w:val="表字体"/>
    <w:basedOn w:val="1"/>
    <w:link w:val="18"/>
    <w:autoRedefine/>
    <w:qFormat/>
    <w:uiPriority w:val="0"/>
    <w:pPr>
      <w:spacing w:line="180" w:lineRule="atLeast"/>
      <w:jc w:val="center"/>
    </w:pPr>
    <w:rPr>
      <w:rFonts w:ascii="宋体" w:hAnsi="宋体"/>
      <w:kern w:val="0"/>
      <w:sz w:val="20"/>
      <w:szCs w:val="20"/>
    </w:rPr>
  </w:style>
  <w:style w:type="character" w:customStyle="1" w:styleId="20">
    <w:name w:val="页脚 字符"/>
    <w:link w:val="9"/>
    <w:autoRedefine/>
    <w:qFormat/>
    <w:uiPriority w:val="99"/>
    <w:rPr>
      <w:kern w:val="2"/>
      <w:sz w:val="28"/>
      <w:szCs w:val="18"/>
    </w:rPr>
  </w:style>
  <w:style w:type="character" w:customStyle="1" w:styleId="21">
    <w:name w:val="页脚 Char"/>
    <w:basedOn w:val="15"/>
    <w:link w:val="9"/>
    <w:autoRedefine/>
    <w:qFormat/>
    <w:uiPriority w:val="99"/>
    <w:rPr>
      <w:rFonts w:hint="default" w:ascii="Times New Roman" w:hAnsi="Times New Roman" w:eastAsia="宋体" w:cs="Times New Roman"/>
      <w:kern w:val="2"/>
      <w:sz w:val="18"/>
      <w:szCs w:val="18"/>
    </w:rPr>
  </w:style>
  <w:style w:type="paragraph" w:customStyle="1" w:styleId="22">
    <w:name w:val="意见正文"/>
    <w:basedOn w:val="1"/>
    <w:autoRedefine/>
    <w:qFormat/>
    <w:uiPriority w:val="0"/>
    <w:pPr>
      <w:snapToGrid w:val="0"/>
      <w:spacing w:line="440" w:lineRule="exact"/>
      <w:ind w:firstLine="600" w:firstLineChars="200"/>
    </w:pPr>
    <w:rPr>
      <w:rFonts w:ascii="仿宋_GB2312" w:eastAsia="仿宋_GB2312" w:cs="宋体"/>
      <w:kern w:val="0"/>
      <w:sz w:val="30"/>
      <w:szCs w:val="20"/>
    </w:rPr>
  </w:style>
  <w:style w:type="character" w:customStyle="1" w:styleId="23">
    <w:name w:val="页眉 Char"/>
    <w:link w:val="10"/>
    <w:autoRedefine/>
    <w:qFormat/>
    <w:uiPriority w:val="99"/>
    <w:rPr>
      <w:rFonts w:ascii="Times New Roman" w:hAnsi="Times New Roman" w:eastAsia="宋体"/>
      <w:kern w:val="2"/>
      <w:sz w:val="18"/>
      <w:szCs w:val="18"/>
    </w:rPr>
  </w:style>
  <w:style w:type="paragraph" w:customStyle="1" w:styleId="24">
    <w:name w:val="表格"/>
    <w:basedOn w:val="1"/>
    <w:autoRedefine/>
    <w:qFormat/>
    <w:uiPriority w:val="0"/>
    <w:pPr>
      <w:adjustRightInd w:val="0"/>
      <w:snapToGrid w:val="0"/>
      <w:spacing w:line="240" w:lineRule="atLeast"/>
      <w:jc w:val="center"/>
    </w:pPr>
    <w:rPr>
      <w:rFonts w:ascii="宋体" w:hAnsi="Calibri"/>
      <w:kern w:val="24"/>
      <w:sz w:val="24"/>
    </w:rPr>
  </w:style>
  <w:style w:type="paragraph" w:customStyle="1" w:styleId="25">
    <w:name w:val="Table Text"/>
    <w:basedOn w:val="1"/>
    <w:autoRedefine/>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4</Pages>
  <Words>270</Words>
  <Characters>1541</Characters>
  <Lines>12</Lines>
  <Paragraphs>3</Paragraphs>
  <TotalTime>15</TotalTime>
  <ScaleCrop>false</ScaleCrop>
  <LinksUpToDate>false</LinksUpToDate>
  <CharactersWithSpaces>1808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2024-03-19T08:06:00Z</dcterms:created>
  <dc:creator>user</dc:creator>
  <cp:lastModifiedBy>王军</cp:lastModifiedBy>
  <cp:lastPrinted>2024-04-18T08:29:52Z</cp:lastPrinted>
  <dcterms:modified xsi:type="dcterms:W3CDTF">2024-04-18T08:29:55Z</dcterms:modified>
  <dc:title>关于成立交通杯劳动竞赛活动领导小组的通  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98194A4C323D44ED9E4434663CFD269C</vt:lpwstr>
  </property>
</Properties>
</file>