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Times New Roman" w:eastAsia="黑体" w:cs="Times New Roman"/>
          <w:b/>
          <w:color w:val="auto"/>
          <w:sz w:val="32"/>
          <w:szCs w:val="32"/>
          <w:highlight w:val="none"/>
        </w:rPr>
      </w:pPr>
      <w:r>
        <w:rPr>
          <w:rFonts w:hint="eastAsia" w:ascii="宋体" w:hAnsi="宋体" w:eastAsia="宋体" w:cs="宋体"/>
          <w:b/>
          <w:color w:val="auto"/>
          <w:sz w:val="32"/>
          <w:szCs w:val="32"/>
          <w:highlight w:val="none"/>
        </w:rPr>
        <w:t>采购需求</w:t>
      </w:r>
      <w:bookmarkStart w:id="4" w:name="_GoBack"/>
      <w:bookmarkEnd w:id="4"/>
    </w:p>
    <w:p>
      <w:pPr>
        <w:numPr>
          <w:ilvl w:val="0"/>
          <w:numId w:val="0"/>
        </w:numPr>
        <w:snapToGrid/>
        <w:spacing w:before="0" w:beforeAutospacing="0" w:after="0" w:afterAutospacing="0" w:line="360" w:lineRule="auto"/>
        <w:jc w:val="both"/>
        <w:textAlignment w:val="baseline"/>
        <w:rPr>
          <w:rStyle w:val="6"/>
          <w:rFonts w:hint="eastAsia" w:ascii="宋体" w:hAnsi="宋体" w:eastAsia="宋体" w:cs="宋体"/>
          <w:b/>
          <w:bCs/>
          <w:i w:val="0"/>
          <w:caps w:val="0"/>
          <w:color w:val="auto"/>
          <w:spacing w:val="0"/>
          <w:w w:val="100"/>
          <w:kern w:val="2"/>
          <w:sz w:val="21"/>
          <w:szCs w:val="24"/>
          <w:highlight w:val="none"/>
          <w:lang w:val="en-US" w:eastAsia="zh-CN" w:bidi="ar-SA"/>
        </w:rPr>
      </w:pPr>
      <w:r>
        <w:rPr>
          <w:rStyle w:val="6"/>
          <w:rFonts w:hint="eastAsia" w:ascii="宋体" w:hAnsi="宋体" w:eastAsia="宋体" w:cs="宋体"/>
          <w:b/>
          <w:bCs/>
          <w:i w:val="0"/>
          <w:caps w:val="0"/>
          <w:color w:val="auto"/>
          <w:spacing w:val="0"/>
          <w:w w:val="100"/>
          <w:kern w:val="2"/>
          <w:sz w:val="21"/>
          <w:szCs w:val="24"/>
          <w:highlight w:val="none"/>
          <w:lang w:val="en-US" w:eastAsia="zh-CN" w:bidi="ar-SA"/>
        </w:rPr>
        <w:t>一、项目名称：2024年高速公路机电交工核验技术服务</w:t>
      </w:r>
    </w:p>
    <w:p>
      <w:pPr>
        <w:snapToGrid/>
        <w:spacing w:before="0" w:beforeAutospacing="0" w:after="0" w:afterAutospacing="0" w:line="360" w:lineRule="auto"/>
        <w:jc w:val="both"/>
        <w:textAlignment w:val="baseline"/>
        <w:rPr>
          <w:rStyle w:val="6"/>
          <w:rFonts w:hint="eastAsia" w:ascii="宋体" w:hAnsi="宋体" w:eastAsia="宋体" w:cs="宋体"/>
          <w:b w:val="0"/>
          <w:i w:val="0"/>
          <w:caps w:val="0"/>
          <w:color w:val="auto"/>
          <w:spacing w:val="0"/>
          <w:w w:val="100"/>
          <w:kern w:val="2"/>
          <w:sz w:val="21"/>
          <w:szCs w:val="24"/>
          <w:highlight w:val="none"/>
          <w:lang w:val="en-US" w:eastAsia="zh-CN" w:bidi="ar-SA"/>
        </w:rPr>
      </w:pPr>
      <w:r>
        <w:rPr>
          <w:rStyle w:val="6"/>
          <w:rFonts w:hint="eastAsia" w:ascii="宋体" w:hAnsi="宋体" w:eastAsia="宋体" w:cs="宋体"/>
          <w:b w:val="0"/>
          <w:i w:val="0"/>
          <w:caps w:val="0"/>
          <w:color w:val="auto"/>
          <w:spacing w:val="0"/>
          <w:w w:val="100"/>
          <w:kern w:val="2"/>
          <w:sz w:val="21"/>
          <w:szCs w:val="24"/>
          <w:highlight w:val="none"/>
          <w:lang w:val="en-US" w:eastAsia="zh-CN" w:bidi="ar-SA"/>
        </w:rPr>
        <w:t xml:space="preserve">    </w:t>
      </w:r>
      <w:r>
        <w:rPr>
          <w:rStyle w:val="6"/>
          <w:rFonts w:hint="eastAsia" w:ascii="宋体" w:hAnsi="宋体" w:eastAsia="宋体" w:cs="宋体"/>
          <w:b/>
          <w:bCs/>
          <w:i w:val="0"/>
          <w:caps w:val="0"/>
          <w:color w:val="auto"/>
          <w:spacing w:val="0"/>
          <w:w w:val="100"/>
          <w:kern w:val="2"/>
          <w:sz w:val="21"/>
          <w:szCs w:val="24"/>
          <w:highlight w:val="none"/>
          <w:lang w:val="en-US" w:eastAsia="zh-CN" w:bidi="ar-SA"/>
        </w:rPr>
        <w:t>预算：407000.00元</w:t>
      </w:r>
    </w:p>
    <w:p>
      <w:pPr>
        <w:widowControl/>
        <w:tabs>
          <w:tab w:val="left" w:pos="220"/>
        </w:tabs>
        <w:snapToGrid w:val="0"/>
        <w:spacing w:line="460" w:lineRule="exact"/>
        <w:rPr>
          <w:rFonts w:ascii="宋体" w:hAnsi="宋体" w:eastAsia="宋体" w:cs="宋体"/>
          <w:b/>
          <w:kern w:val="0"/>
          <w:szCs w:val="21"/>
          <w:highlight w:val="none"/>
        </w:rPr>
      </w:pPr>
      <w:r>
        <w:rPr>
          <w:rStyle w:val="6"/>
          <w:rFonts w:hint="eastAsia" w:ascii="宋体" w:hAnsi="宋体" w:eastAsia="宋体" w:cs="宋体"/>
          <w:b/>
          <w:bCs/>
          <w:i w:val="0"/>
          <w:caps w:val="0"/>
          <w:color w:val="auto"/>
          <w:spacing w:val="0"/>
          <w:w w:val="100"/>
          <w:kern w:val="2"/>
          <w:sz w:val="21"/>
          <w:szCs w:val="21"/>
          <w:highlight w:val="none"/>
          <w:lang w:val="en-US" w:eastAsia="zh-CN" w:bidi="ar-SA"/>
        </w:rPr>
        <w:t>二、</w:t>
      </w:r>
      <w:bookmarkStart w:id="0" w:name="_Toc65683285"/>
      <w:r>
        <w:rPr>
          <w:rFonts w:hint="eastAsia" w:ascii="宋体" w:hAnsi="宋体" w:eastAsia="宋体" w:cs="宋体"/>
          <w:b/>
          <w:kern w:val="0"/>
          <w:szCs w:val="21"/>
          <w:highlight w:val="none"/>
        </w:rPr>
        <w:t>采购清单一览表（控制单价）</w:t>
      </w:r>
      <w:bookmarkEnd w:id="0"/>
    </w:p>
    <w:p>
      <w:pPr>
        <w:widowControl/>
        <w:tabs>
          <w:tab w:val="left" w:pos="220"/>
        </w:tabs>
        <w:snapToGrid w:val="0"/>
        <w:spacing w:line="460" w:lineRule="exact"/>
        <w:jc w:val="center"/>
        <w:rPr>
          <w:rFonts w:ascii="宋体" w:hAnsi="宋体" w:eastAsia="宋体" w:cs="宋体"/>
          <w:b/>
          <w:kern w:val="0"/>
          <w:szCs w:val="21"/>
          <w:highlight w:val="none"/>
        </w:rPr>
      </w:pPr>
      <w:r>
        <w:rPr>
          <w:rFonts w:ascii="宋体" w:hAnsi="宋体" w:eastAsia="宋体" w:cs="宋体"/>
          <w:b/>
          <w:kern w:val="0"/>
          <w:szCs w:val="21"/>
          <w:highlight w:val="none"/>
        </w:rPr>
        <w:t>机电工程（控制单价）</w:t>
      </w:r>
    </w:p>
    <w:tbl>
      <w:tblPr>
        <w:tblStyle w:val="4"/>
        <w:tblW w:w="0" w:type="auto"/>
        <w:jc w:val="center"/>
        <w:tblLayout w:type="fixed"/>
        <w:tblCellMar>
          <w:top w:w="0" w:type="dxa"/>
          <w:left w:w="108" w:type="dxa"/>
          <w:bottom w:w="0" w:type="dxa"/>
          <w:right w:w="108" w:type="dxa"/>
        </w:tblCellMar>
      </w:tblPr>
      <w:tblGrid>
        <w:gridCol w:w="769"/>
        <w:gridCol w:w="2787"/>
        <w:gridCol w:w="2600"/>
        <w:gridCol w:w="1080"/>
        <w:gridCol w:w="1692"/>
      </w:tblGrid>
      <w:tr>
        <w:tblPrEx>
          <w:tblCellMar>
            <w:top w:w="0" w:type="dxa"/>
            <w:left w:w="108" w:type="dxa"/>
            <w:bottom w:w="0" w:type="dxa"/>
            <w:right w:w="108" w:type="dxa"/>
          </w:tblCellMar>
        </w:tblPrEx>
        <w:trPr>
          <w:trHeight w:val="380" w:hRule="atLeast"/>
          <w:tblHeader/>
          <w:jc w:val="center"/>
        </w:trPr>
        <w:tc>
          <w:tcPr>
            <w:tcW w:w="769"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widowControl/>
              <w:jc w:val="center"/>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序号</w:t>
            </w:r>
          </w:p>
        </w:tc>
        <w:tc>
          <w:tcPr>
            <w:tcW w:w="2787" w:type="dxa"/>
            <w:tcBorders>
              <w:top w:val="single" w:color="auto" w:sz="4" w:space="0"/>
              <w:left w:val="nil"/>
              <w:bottom w:val="single" w:color="auto" w:sz="4" w:space="0"/>
              <w:right w:val="single" w:color="auto" w:sz="4" w:space="0"/>
            </w:tcBorders>
            <w:shd w:val="clear" w:color="auto" w:fill="EEECE1"/>
            <w:noWrap w:val="0"/>
            <w:vAlign w:val="center"/>
          </w:tcPr>
          <w:p>
            <w:pPr>
              <w:widowControl/>
              <w:jc w:val="center"/>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试验内容及参数</w:t>
            </w:r>
          </w:p>
        </w:tc>
        <w:tc>
          <w:tcPr>
            <w:tcW w:w="2600" w:type="dxa"/>
            <w:tcBorders>
              <w:top w:val="single" w:color="auto" w:sz="4" w:space="0"/>
              <w:left w:val="nil"/>
              <w:bottom w:val="single" w:color="auto" w:sz="4" w:space="0"/>
              <w:right w:val="single" w:color="auto" w:sz="4" w:space="0"/>
            </w:tcBorders>
            <w:shd w:val="clear" w:color="auto" w:fill="EEECE1"/>
            <w:noWrap w:val="0"/>
            <w:vAlign w:val="center"/>
          </w:tcPr>
          <w:p>
            <w:pPr>
              <w:widowControl/>
              <w:jc w:val="center"/>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检测方法</w:t>
            </w:r>
          </w:p>
        </w:tc>
        <w:tc>
          <w:tcPr>
            <w:tcW w:w="1080" w:type="dxa"/>
            <w:tcBorders>
              <w:top w:val="single" w:color="auto" w:sz="4" w:space="0"/>
              <w:left w:val="nil"/>
              <w:bottom w:val="single" w:color="auto" w:sz="4" w:space="0"/>
              <w:right w:val="single" w:color="auto" w:sz="4" w:space="0"/>
            </w:tcBorders>
            <w:shd w:val="clear" w:color="auto" w:fill="EEECE1"/>
            <w:noWrap w:val="0"/>
            <w:vAlign w:val="center"/>
          </w:tcPr>
          <w:p>
            <w:pPr>
              <w:widowControl/>
              <w:jc w:val="center"/>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计费单位</w:t>
            </w:r>
          </w:p>
        </w:tc>
        <w:tc>
          <w:tcPr>
            <w:tcW w:w="1692" w:type="dxa"/>
            <w:tcBorders>
              <w:top w:val="single" w:color="auto" w:sz="4" w:space="0"/>
              <w:left w:val="nil"/>
              <w:bottom w:val="single" w:color="auto" w:sz="4" w:space="0"/>
              <w:right w:val="single" w:color="auto" w:sz="4" w:space="0"/>
            </w:tcBorders>
            <w:shd w:val="clear" w:color="auto" w:fill="EEECE1"/>
            <w:noWrap w:val="0"/>
            <w:vAlign w:val="center"/>
          </w:tcPr>
          <w:p>
            <w:pPr>
              <w:widowControl/>
              <w:jc w:val="center"/>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控制单价（元）</w:t>
            </w:r>
          </w:p>
        </w:tc>
      </w:tr>
      <w:tr>
        <w:tblPrEx>
          <w:tblCellMar>
            <w:top w:w="0" w:type="dxa"/>
            <w:left w:w="108" w:type="dxa"/>
            <w:bottom w:w="0" w:type="dxa"/>
            <w:right w:w="108" w:type="dxa"/>
          </w:tblCellMar>
        </w:tblPrEx>
        <w:trPr>
          <w:trHeight w:val="301"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szCs w:val="21"/>
                <w:highlight w:val="none"/>
              </w:rPr>
            </w:pPr>
            <w:r>
              <w:rPr>
                <w:rFonts w:ascii="Times New Roman" w:hAnsi="Times New Roman" w:eastAsia="宋体" w:cs="Times New Roman"/>
                <w:szCs w:val="21"/>
                <w:highlight w:val="none"/>
              </w:rPr>
              <w:t>一、车辆检测器</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交通量计数精度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600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平均车速精度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雷达测速仪器</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传输性能</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数据传输测试仪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300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安全接地电阻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自检功能</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模拟故障状态实测</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逻辑识别线路功能</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模拟状态实测</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8</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复原功能</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9</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本地操作与维护功能</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10</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控制功能</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基础尺寸</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钢卷尺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机箱和地脚防腐涂层质量</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电子涂层测厚仪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szCs w:val="21"/>
                <w:highlight w:val="none"/>
              </w:rPr>
              <w:t>二、气象检测器</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立柱竖直度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铅锤、直尺、全站仪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立柱、法兰和地脚几何尺寸</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钢卷尺、超声波测厚仪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基础尺寸</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钢卷尺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机箱、立柱、法兰和地脚的防腐涂层厚度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电子涂层测厚仪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安全接地电阻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防雷接地电阻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8</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温度误差</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电子温度计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9</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湿度误差</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电子温度计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10</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能见度误差</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能见度测试仪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风速误差</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风向风速计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数据传输性能</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数据传输测试仪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300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功能验证</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模拟降雨实测</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250</w:t>
            </w:r>
          </w:p>
        </w:tc>
      </w:tr>
      <w:tr>
        <w:tblPrEx>
          <w:tblCellMar>
            <w:top w:w="0" w:type="dxa"/>
            <w:left w:w="108" w:type="dxa"/>
            <w:bottom w:w="0" w:type="dxa"/>
            <w:right w:w="108" w:type="dxa"/>
          </w:tblCellMar>
        </w:tblPrEx>
        <w:trPr>
          <w:trHeight w:val="439"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szCs w:val="21"/>
                <w:highlight w:val="none"/>
              </w:rPr>
              <w:t>三、监控系统CCTV闭路电视监视系统</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立柱竖直度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铅锤、直尺、全站仪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439"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立柱、避雷针（接闪器）、法兰和地脚几何尺寸</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超声波测厚仪、全站仪、钢卷尺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基础尺寸</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钢卷尺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机箱、立柱、法兰和地脚的防腐涂层厚度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电子涂层测厚仪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强电端子对机壳绝缘电阻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安全接地电阻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防雷接地电阻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8</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视频通道指标测量</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视频测试仪、视频信号发生器</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1800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9</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随机信噪比（雪花干扰）</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视频测试仪、视频信号发生器</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10</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单屏干扰（网纹）</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视频测试仪、视频信号发生器</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电源干扰（黑白滚道）</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视频测试仪、视频信号发生器</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脉冲干扰（跳动）</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视频测试仪、视频信号发生器</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监视范围</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外场摄像机安装稳定性</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切换功能</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报警功能</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模拟</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szCs w:val="21"/>
                <w:highlight w:val="none"/>
              </w:rPr>
              <w:t>四、可变标志（限速标志）</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立柱竖直度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铅锤、直尺、全站仪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立柱、避雷针（接闪器）、法兰和地脚几何尺寸</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超声波测厚仪、全站仪、钢卷尺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基础尺寸</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钢卷尺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涂层厚度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电子涂层测厚仪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视认距离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目测</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8</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发光像素损坏率</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实测</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9</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发光单元色度坐标（x，y）</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光谱光度计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10</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显示屏平均亮度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亮度计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600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数据传输性能</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数据传输测试仪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技术状况检查</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szCs w:val="21"/>
                <w:highlight w:val="none"/>
              </w:rPr>
              <w:t>五、光、电缆线路</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光纤保护层绝缘电阻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单模光纤接头损耗平均值</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光万用表或光时域反射计在中继段两端测量</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多模光纤接头损耗平均值</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光万用表或光时域反射计在中继段两端测量</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低速误码率</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数据传输测试仪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同轴电缆衰耗</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衰耗测试仪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同轴电缆内外导体绝缘电阻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电力电缆绝缘电阻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8</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光电缆埋深</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实际操作、钢卷尺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六、监控中心设备安装及系统调测</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温度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电子温度计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湿度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电子温度计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新风系统功能</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噪声</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声级计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40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照度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照度计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8</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低速误码测试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9</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设备技术状况检查</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中心</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10</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功能测试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七、大屏幕投影系统</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拼接缝</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卡尺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亮度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亮度计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亮度不均匀度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亮度计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设备功能测试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八、地图板</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整板尺寸</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钢卷尺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垂直度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铅锤、直尺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平整度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卡尺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设备技术状况检查</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目测</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200</w:t>
            </w:r>
          </w:p>
        </w:tc>
      </w:tr>
      <w:tr>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九、监控系统计算机网络</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双绞线传输性能</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线缆认证分析仪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同轴电缆特性阻抗</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线缆认证分析仪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光纤传输损耗</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光时域反射计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芯</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网络维护性测试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网络性能分析仪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网络健康测试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网络性能分析仪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1500</w:t>
            </w:r>
          </w:p>
        </w:tc>
      </w:tr>
      <w:tr>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十、通信管道与光、电缆线路实测</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管道施工质量检查</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人手孔施工质量检查</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主管道管孔试通试验</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实测</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硅芯塑料管孔试通试验</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气吹发实测</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人手孔接地电阻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光纤护层绝缘电阻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51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单模光纤接头损耗平均值</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光万用表或光时域反射计在中继段两端测量</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800</w:t>
            </w:r>
          </w:p>
        </w:tc>
      </w:tr>
      <w:tr>
        <w:tblPrEx>
          <w:tblCellMar>
            <w:top w:w="0" w:type="dxa"/>
            <w:left w:w="108" w:type="dxa"/>
            <w:bottom w:w="0" w:type="dxa"/>
            <w:right w:w="108" w:type="dxa"/>
          </w:tblCellMar>
        </w:tblPrEx>
        <w:trPr>
          <w:trHeight w:val="51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8</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多模光纤接头损耗平均值</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光万用表或光时域反射计在中继段两端测量</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800</w:t>
            </w:r>
          </w:p>
        </w:tc>
      </w:tr>
      <w:tr>
        <w:tblPrEx>
          <w:tblCellMar>
            <w:top w:w="0" w:type="dxa"/>
            <w:left w:w="108" w:type="dxa"/>
            <w:bottom w:w="0" w:type="dxa"/>
            <w:right w:w="108" w:type="dxa"/>
          </w:tblCellMar>
        </w:tblPrEx>
        <w:trPr>
          <w:trHeight w:val="51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9</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中继段单模光纤总衰耗</w:t>
            </w:r>
          </w:p>
        </w:tc>
        <w:tc>
          <w:tcPr>
            <w:tcW w:w="2600" w:type="dxa"/>
            <w:tcBorders>
              <w:top w:val="nil"/>
              <w:left w:val="nil"/>
              <w:bottom w:val="single" w:color="auto" w:sz="4" w:space="0"/>
              <w:right w:val="single" w:color="auto" w:sz="4" w:space="0"/>
            </w:tcBorders>
            <w:noWrap w:val="0"/>
            <w:vAlign w:val="top"/>
          </w:tcPr>
          <w:p>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光万用表或光时域反射计在中继段两端测量</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10</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中继段多模光纤总衰耗</w:t>
            </w:r>
          </w:p>
        </w:tc>
        <w:tc>
          <w:tcPr>
            <w:tcW w:w="2600" w:type="dxa"/>
            <w:tcBorders>
              <w:top w:val="nil"/>
              <w:left w:val="nil"/>
              <w:bottom w:val="single" w:color="auto" w:sz="4" w:space="0"/>
              <w:right w:val="single" w:color="auto" w:sz="4" w:space="0"/>
            </w:tcBorders>
            <w:noWrap w:val="0"/>
            <w:vAlign w:val="top"/>
          </w:tcPr>
          <w:p>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光万用表或光时域反射计在中继段两端测量</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同轴电缆衰耗</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衰耗测试仪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同轴电缆内外导体绝缘电阻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音频电缆绝缘电阻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音频电缆直流环阻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电缆分析仪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音频电缆串音衰减</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电缆分析仪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信号电缆绝缘电阻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信号电缆直流电阻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电缆分析仪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18</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音频电缆传输误码率</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数据传输测试仪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250</w:t>
            </w:r>
          </w:p>
        </w:tc>
      </w:tr>
      <w:tr>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十一、光纤数字传输系统</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系统设备安装联接的可靠性</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用橡皮锤轻敲设备背板</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接地连接的可靠性</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万用表</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系统接收光功率</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光功率计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光口</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600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平均发送光功率</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光功率计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光口</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600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光接收灵敏度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光功率计与误码仪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光口</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600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误码指标</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误码仪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2200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电接口允许比特容差</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通信性能分析仪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8</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抖动指标</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通信性能分析仪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9</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漂移指标</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通信性能分析仪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2200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10</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音频电路和低速数据电路测试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PCM话路特性分析仪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网管及技术状况检查</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十二、数字程控交换系统</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工作电压</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万用表</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系统功能测试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模拟测试</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设备技术状况检查</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传输性能检测</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模拟呼叫器</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十三、紧急电话系统</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施工质量检测及主观评价</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卷尺及主观评价</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音量检测</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声级计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竖直度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铅锤、直尺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30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MIC安装尺寸</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话音传输衰耗</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话音传输分析仪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控制台功能检测</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600</w:t>
            </w:r>
          </w:p>
        </w:tc>
      </w:tr>
      <w:tr>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十四、通信电源</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主输出电压</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万用表</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开关电源输出杂音</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杂音计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电池组供电特性</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电池性能测试仪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系统功能测试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模拟测试</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设备安装的水平度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水准仪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8</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设备安装的垂直度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铅锤、直尺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20</w:t>
            </w:r>
          </w:p>
        </w:tc>
      </w:tr>
      <w:tr>
        <w:tblPrEx>
          <w:tblCellMar>
            <w:top w:w="0" w:type="dxa"/>
            <w:left w:w="108" w:type="dxa"/>
            <w:bottom w:w="0" w:type="dxa"/>
            <w:right w:w="108" w:type="dxa"/>
          </w:tblCellMar>
        </w:tblPrEx>
        <w:trPr>
          <w:trHeight w:val="340"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十五、车道设备</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车道收费系统功能检查</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车道</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2000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设备机壳防腐涂层及厚度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电子涂层测厚仪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spacing w:val="4"/>
                <w:kern w:val="0"/>
                <w:szCs w:val="21"/>
                <w:highlight w:val="none"/>
              </w:rPr>
              <w:t>设备强电端子对机壳绝缘电阻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车道控制器安全接地电阻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个</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电动栏杆机安全接地电阻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个</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收费亭防雷接地电阻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个</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收费天棚信号灯色度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色度计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225</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8</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收费天棚信号灯亮度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亮度计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225</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9</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收费车道内通行信号灯色度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色度计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225</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10</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收费车道内通行信号灯亮度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亮度计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225</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车道信号灯动作</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40"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电动栏杆起落总时间</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秒表</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spacing w:val="4"/>
                <w:kern w:val="0"/>
                <w:szCs w:val="21"/>
                <w:highlight w:val="none"/>
              </w:rPr>
            </w:pPr>
            <w:r>
              <w:rPr>
                <w:rFonts w:ascii="Times New Roman" w:hAnsi="Times New Roman" w:eastAsia="宋体" w:cs="Times New Roman"/>
                <w:spacing w:val="4"/>
                <w:kern w:val="0"/>
                <w:szCs w:val="21"/>
                <w:highlight w:val="none"/>
              </w:rPr>
              <w:t>车道车辆检测器计数精度偏差</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250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环形线圈电感量</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电感电容表</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摄像机清晰度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视频测试仪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读写卡设备响应时间及对异常卡的处理</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实测40次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费额显示器</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实际操作+目测</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18</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闪光报警器</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19</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手动栏杆与天棚信号灯的互锁功能</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20</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车道打开状态</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车道控制设备状态监测</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断电数据完整性测试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断网测试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图像抓拍</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每辆小客车平均处理时间</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秒表</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十六、收费站设备及软件</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强电端子对机壳绝缘电阻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收费站联合接地电阻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收费站收费系统功能检测</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站</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收费站联网收费功能检测</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站</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联网收费设备技术状况</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站</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收费站设备技术状况</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站</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200</w:t>
            </w:r>
          </w:p>
        </w:tc>
      </w:tr>
      <w:tr>
        <w:tblPrEx>
          <w:tblCellMar>
            <w:top w:w="0" w:type="dxa"/>
            <w:left w:w="108" w:type="dxa"/>
            <w:bottom w:w="0" w:type="dxa"/>
            <w:right w:w="108" w:type="dxa"/>
          </w:tblCellMar>
        </w:tblPrEx>
        <w:trPr>
          <w:trHeight w:val="397"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十七、收费（分）中心设备及软件</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强电端子对机壳绝缘电阻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收费中心联合接地电阻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spacing w:val="8"/>
                <w:kern w:val="0"/>
                <w:szCs w:val="21"/>
                <w:highlight w:val="none"/>
              </w:rPr>
            </w:pPr>
            <w:r>
              <w:rPr>
                <w:rFonts w:ascii="Times New Roman" w:hAnsi="Times New Roman" w:eastAsia="宋体" w:cs="Times New Roman"/>
                <w:spacing w:val="8"/>
                <w:kern w:val="0"/>
                <w:szCs w:val="21"/>
                <w:highlight w:val="none"/>
              </w:rPr>
              <w:t>收费（分）中心设备技术状况</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站</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收费（分）中心收费系统功能检测</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站</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800</w:t>
            </w:r>
          </w:p>
        </w:tc>
      </w:tr>
      <w:tr>
        <w:tblPrEx>
          <w:tblCellMar>
            <w:top w:w="0" w:type="dxa"/>
            <w:left w:w="108" w:type="dxa"/>
            <w:bottom w:w="0" w:type="dxa"/>
            <w:right w:w="108" w:type="dxa"/>
          </w:tblCellMar>
        </w:tblPrEx>
        <w:trPr>
          <w:trHeight w:val="397"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十八、IC卡发卡编码系统</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发卡设备可靠性测试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耐电压测试议</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系统功能测试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97"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十九、内部有线对讲及紧急报警系统</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系统功能测试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设备技术状况检查</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目测</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300</w:t>
            </w:r>
          </w:p>
        </w:tc>
      </w:tr>
      <w:tr>
        <w:tblPrEx>
          <w:tblCellMar>
            <w:top w:w="0" w:type="dxa"/>
            <w:left w:w="108" w:type="dxa"/>
            <w:bottom w:w="0" w:type="dxa"/>
            <w:right w:w="108" w:type="dxa"/>
          </w:tblCellMar>
        </w:tblPrEx>
        <w:trPr>
          <w:trHeight w:val="397" w:hRule="atLeast"/>
          <w:jc w:val="center"/>
        </w:trPr>
        <w:tc>
          <w:tcPr>
            <w:tcW w:w="3556"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bCs/>
                <w:spacing w:val="-12"/>
                <w:kern w:val="0"/>
                <w:szCs w:val="21"/>
                <w:highlight w:val="none"/>
              </w:rPr>
            </w:pPr>
            <w:r>
              <w:rPr>
                <w:rFonts w:ascii="Times New Roman" w:hAnsi="Times New Roman" w:eastAsia="宋体" w:cs="Times New Roman"/>
                <w:bCs/>
                <w:spacing w:val="-12"/>
                <w:kern w:val="0"/>
                <w:szCs w:val="21"/>
                <w:highlight w:val="none"/>
              </w:rPr>
              <w:t>二十、收费系统CCTV闭路电视监视系统</w:t>
            </w:r>
          </w:p>
        </w:tc>
        <w:tc>
          <w:tcPr>
            <w:tcW w:w="5372"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参见“三、监控系统CCTV闭路电视监视系统”</w:t>
            </w:r>
          </w:p>
        </w:tc>
      </w:tr>
      <w:tr>
        <w:tblPrEx>
          <w:tblCellMar>
            <w:top w:w="0" w:type="dxa"/>
            <w:left w:w="108" w:type="dxa"/>
            <w:bottom w:w="0" w:type="dxa"/>
            <w:right w:w="108" w:type="dxa"/>
          </w:tblCellMar>
        </w:tblPrEx>
        <w:trPr>
          <w:trHeight w:val="397"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二十一、收费站内光、电缆及塑料管道</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光纤护层绝缘电阻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439"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单模光纤接头损耗</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光万用表或光时域反射计在中继段两端测量</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800</w:t>
            </w:r>
          </w:p>
        </w:tc>
      </w:tr>
      <w:tr>
        <w:tblPrEx>
          <w:tblCellMar>
            <w:top w:w="0" w:type="dxa"/>
            <w:left w:w="108" w:type="dxa"/>
            <w:bottom w:w="0" w:type="dxa"/>
            <w:right w:w="108" w:type="dxa"/>
          </w:tblCellMar>
        </w:tblPrEx>
        <w:trPr>
          <w:trHeight w:val="439"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多模光纤接头损耗</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光万用表或光时域反射计在中继段两端测量</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低速误码率</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数据传输测试仪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250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同轴电缆衰耗</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衰耗测试仪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同轴电缆内外导体绝缘电阻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电力电缆绝缘电阻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8</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光电缆埋深</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实际操作、钢卷尺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二十二、收费系统计算机网</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双绞线传输性能</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线缆认证分析仪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同轴电缆特性阻抗</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线缆认证分析仪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439"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中继段单模光纤总衰耗</w:t>
            </w:r>
          </w:p>
        </w:tc>
        <w:tc>
          <w:tcPr>
            <w:tcW w:w="2600" w:type="dxa"/>
            <w:tcBorders>
              <w:top w:val="nil"/>
              <w:left w:val="nil"/>
              <w:bottom w:val="single" w:color="auto" w:sz="4" w:space="0"/>
              <w:right w:val="single" w:color="auto" w:sz="4" w:space="0"/>
            </w:tcBorders>
            <w:noWrap w:val="0"/>
            <w:vAlign w:val="top"/>
          </w:tcPr>
          <w:p>
            <w:pPr>
              <w:widowControl/>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光万用表或光时域反射计在中继段两端测量</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网络维护性测试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网络性能分析仪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网络健康测试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网络性能分析仪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1500</w:t>
            </w:r>
          </w:p>
        </w:tc>
      </w:tr>
      <w:tr>
        <w:tblPrEx>
          <w:tblCellMar>
            <w:top w:w="0" w:type="dxa"/>
            <w:left w:w="108" w:type="dxa"/>
            <w:bottom w:w="0" w:type="dxa"/>
            <w:right w:w="108" w:type="dxa"/>
          </w:tblCellMar>
        </w:tblPrEx>
        <w:trPr>
          <w:trHeight w:val="397"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二十三、中心（站）内低压配电设备</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室内设备、列架的绝缘电阻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安全接地电阻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联合接地电阻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设备安装的水平度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水准仪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30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设备安装的垂直度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铅锤、直尺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30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发电机组控制柜接地电阻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发电机组控制柜绝缘电阻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8</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发电机组启动及启动时间</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9</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发电机组容量测试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10</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发电机组相序</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相位表</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发电机组输出电压稳定性</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实际测量</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设备技术状况检查</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施工质量检查</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二十四、外场设备电力电缆线路</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配电箱基础尺寸及高程</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钢卷尺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30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配电箱涂层厚度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电子涂层测厚仪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电缆埋深</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实测</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60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配线架对配电箱绝缘电阻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相线对绝缘护套的绝缘电阻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二十五、照明设施</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灯杆基础尺寸</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钢卷尺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30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灯杆壁厚</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超声波测厚仪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灯杆、避雷针（接闪器）高度、法兰和地脚几何尺寸</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钢卷尺、全站仪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225</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金属灯杆防腐涂层壁厚</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电子涂层测厚仪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灯杆垂直度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铅锤、直尺、全站仪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439"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灯杆横纵向偏差</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铅锤、直尺、全站仪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439"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照明设备控制装置的接地电阻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8</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灯杆接地电阻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9</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高杆灯灯盘升降功能测试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10</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路段直线段照度及均匀度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照度计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路段弯道段照度及均匀度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照度计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大桥桥粱段照度及均匀度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照度计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立交桥面段照度及均匀度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照度计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1500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收费广场照度及均匀度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照度计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收费天棚照度及均匀度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照度计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350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设备功能测试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模拟测试</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3556" w:type="dxa"/>
            <w:gridSpan w:val="2"/>
            <w:tcBorders>
              <w:top w:val="nil"/>
              <w:left w:val="single" w:color="auto" w:sz="4" w:space="0"/>
              <w:bottom w:val="single" w:color="auto" w:sz="4" w:space="0"/>
              <w:right w:val="single" w:color="auto"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二十六、隧道车辆检测器</w:t>
            </w:r>
          </w:p>
        </w:tc>
        <w:tc>
          <w:tcPr>
            <w:tcW w:w="5372"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参见“一、车辆检测器”</w:t>
            </w:r>
          </w:p>
        </w:tc>
      </w:tr>
      <w:tr>
        <w:tblPrEx>
          <w:tblCellMar>
            <w:top w:w="0" w:type="dxa"/>
            <w:left w:w="108" w:type="dxa"/>
            <w:bottom w:w="0" w:type="dxa"/>
            <w:right w:w="108" w:type="dxa"/>
          </w:tblCellMar>
        </w:tblPrEx>
        <w:trPr>
          <w:trHeight w:val="397" w:hRule="atLeast"/>
          <w:jc w:val="center"/>
        </w:trPr>
        <w:tc>
          <w:tcPr>
            <w:tcW w:w="3556" w:type="dxa"/>
            <w:gridSpan w:val="2"/>
            <w:tcBorders>
              <w:top w:val="nil"/>
              <w:left w:val="single" w:color="auto" w:sz="4" w:space="0"/>
              <w:bottom w:val="single" w:color="auto" w:sz="4" w:space="0"/>
              <w:right w:val="single" w:color="auto"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二十七、隧道气象检测器</w:t>
            </w:r>
          </w:p>
        </w:tc>
        <w:tc>
          <w:tcPr>
            <w:tcW w:w="5372"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参见“二、气象检测器”</w:t>
            </w:r>
          </w:p>
        </w:tc>
      </w:tr>
      <w:tr>
        <w:tblPrEx>
          <w:tblCellMar>
            <w:top w:w="0" w:type="dxa"/>
            <w:left w:w="108" w:type="dxa"/>
            <w:bottom w:w="0" w:type="dxa"/>
            <w:right w:w="108" w:type="dxa"/>
          </w:tblCellMar>
        </w:tblPrEx>
        <w:trPr>
          <w:trHeight w:val="397" w:hRule="atLeast"/>
          <w:jc w:val="center"/>
        </w:trPr>
        <w:tc>
          <w:tcPr>
            <w:tcW w:w="3556" w:type="dxa"/>
            <w:gridSpan w:val="2"/>
            <w:tcBorders>
              <w:top w:val="nil"/>
              <w:left w:val="single" w:color="auto" w:sz="4" w:space="0"/>
              <w:bottom w:val="single" w:color="auto" w:sz="4" w:space="0"/>
              <w:right w:val="single" w:color="auto"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二十八、隧道闭路电视监视系统</w:t>
            </w:r>
          </w:p>
        </w:tc>
        <w:tc>
          <w:tcPr>
            <w:tcW w:w="5372"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参见“三、监控系统CCTV闭路电视监视系统”</w:t>
            </w:r>
          </w:p>
        </w:tc>
      </w:tr>
      <w:tr>
        <w:tblPrEx>
          <w:tblCellMar>
            <w:top w:w="0" w:type="dxa"/>
            <w:left w:w="108" w:type="dxa"/>
            <w:bottom w:w="0" w:type="dxa"/>
            <w:right w:w="108" w:type="dxa"/>
          </w:tblCellMar>
        </w:tblPrEx>
        <w:trPr>
          <w:trHeight w:val="397" w:hRule="atLeast"/>
          <w:jc w:val="center"/>
        </w:trPr>
        <w:tc>
          <w:tcPr>
            <w:tcW w:w="3556" w:type="dxa"/>
            <w:gridSpan w:val="2"/>
            <w:tcBorders>
              <w:top w:val="nil"/>
              <w:left w:val="single" w:color="auto" w:sz="4" w:space="0"/>
              <w:bottom w:val="single" w:color="auto" w:sz="4" w:space="0"/>
              <w:right w:val="single" w:color="auto"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二十九、隧道紧急电话系统</w:t>
            </w:r>
          </w:p>
        </w:tc>
        <w:tc>
          <w:tcPr>
            <w:tcW w:w="5372"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参见“ 十三、紧急电话系统”</w:t>
            </w:r>
          </w:p>
        </w:tc>
      </w:tr>
      <w:tr>
        <w:tblPrEx>
          <w:tblCellMar>
            <w:top w:w="0" w:type="dxa"/>
            <w:left w:w="108" w:type="dxa"/>
            <w:bottom w:w="0" w:type="dxa"/>
            <w:right w:w="108" w:type="dxa"/>
          </w:tblCellMar>
        </w:tblPrEx>
        <w:trPr>
          <w:trHeight w:val="397"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三十、隧道环境检测设备</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传感器安装位置偏差</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钢卷尺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数据传输性能</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数据传输测试仪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传感器灵敏度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相应仪器比对</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传感器精度偏差</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相应仪器比对</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数据采样周期</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8</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信号输出方式</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数据传输分析仪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9</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联动功能测试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97"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三十一、隧道报警与诱导设施</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位置和高度偏差</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钢卷尺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数据传输性能</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数据传输测试仪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警报器音量</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声级计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色度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光谱光度计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亮度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亮度计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8</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报警信号输出</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9</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联动功能测试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97" w:hRule="atLeast"/>
          <w:jc w:val="center"/>
        </w:trPr>
        <w:tc>
          <w:tcPr>
            <w:tcW w:w="3556" w:type="dxa"/>
            <w:gridSpan w:val="2"/>
            <w:tcBorders>
              <w:top w:val="nil"/>
              <w:left w:val="single" w:color="auto" w:sz="4" w:space="0"/>
              <w:bottom w:val="single" w:color="auto" w:sz="4" w:space="0"/>
              <w:right w:val="single" w:color="auto"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三十二、隧道可变标志</w:t>
            </w:r>
          </w:p>
        </w:tc>
        <w:tc>
          <w:tcPr>
            <w:tcW w:w="5372"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参见“四、可变标志”</w:t>
            </w:r>
          </w:p>
        </w:tc>
      </w:tr>
      <w:tr>
        <w:tblPrEx>
          <w:tblCellMar>
            <w:top w:w="0" w:type="dxa"/>
            <w:left w:w="108" w:type="dxa"/>
            <w:bottom w:w="0" w:type="dxa"/>
            <w:right w:w="108" w:type="dxa"/>
          </w:tblCellMar>
        </w:tblPrEx>
        <w:trPr>
          <w:trHeight w:val="397"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三十三、隧道通风设施</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安装误差</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全站仪、钢卷尺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净空高度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全站仪、钢卷尺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平均风速</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风向风速计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噪声</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声级计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设备功能测试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97"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三十四、隧道照明设施</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安装偏差</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全站仪、钢卷尺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照度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照度计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照度均匀度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照度计</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设备功能测试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模拟操作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97"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三十五、隧道消防设施</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安装位置</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全站仪、钢卷尺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加压设施气压</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供水设施水压</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火灾探测器灵敏度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模拟测试</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火灾报警器灵敏度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模拟测试</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8</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消防器材功能测试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模拟测试</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500</w:t>
            </w:r>
          </w:p>
        </w:tc>
      </w:tr>
      <w:tr>
        <w:tblPrEx>
          <w:tblCellMar>
            <w:top w:w="0" w:type="dxa"/>
            <w:left w:w="108" w:type="dxa"/>
            <w:bottom w:w="0" w:type="dxa"/>
            <w:right w:w="108" w:type="dxa"/>
          </w:tblCellMar>
        </w:tblPrEx>
        <w:trPr>
          <w:trHeight w:val="439"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9</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火灾探测器与自动灭火设施的联合测试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模拟测试</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97"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三十六、隧道本地控制器</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基础尺寸</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钢卷尺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50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安装水平度、竖直度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铅锤、直尺</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防腐涂层厚度</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电子涂层测厚仪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数据传输性能</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数据传输测试仪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7</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系统功能测试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1000</w:t>
            </w:r>
          </w:p>
        </w:tc>
      </w:tr>
      <w:tr>
        <w:tblPrEx>
          <w:tblCellMar>
            <w:top w:w="0" w:type="dxa"/>
            <w:left w:w="108" w:type="dxa"/>
            <w:bottom w:w="0" w:type="dxa"/>
            <w:right w:w="108" w:type="dxa"/>
          </w:tblCellMar>
        </w:tblPrEx>
        <w:trPr>
          <w:trHeight w:val="397" w:hRule="atLeast"/>
          <w:jc w:val="center"/>
        </w:trPr>
        <w:tc>
          <w:tcPr>
            <w:tcW w:w="8928" w:type="dxa"/>
            <w:gridSpan w:val="5"/>
            <w:tcBorders>
              <w:top w:val="nil"/>
              <w:left w:val="single" w:color="auto" w:sz="4" w:space="0"/>
              <w:bottom w:val="single" w:color="auto" w:sz="4" w:space="0"/>
              <w:right w:val="single" w:color="000000" w:sz="4" w:space="0"/>
            </w:tcBorders>
            <w:noWrap w:val="0"/>
            <w:vAlign w:val="center"/>
          </w:tcPr>
          <w:p>
            <w:pPr>
              <w:widowControl/>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三十七、隧道监控中心设备及软件</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系统设备安装联接的可靠性</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80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接地连接的可靠性</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万用表</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60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接地电阻测试仪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120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绝缘电阻</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绝缘测试仪</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100</w:t>
            </w:r>
          </w:p>
        </w:tc>
      </w:tr>
      <w:tr>
        <w:tblPrEx>
          <w:tblCellMar>
            <w:top w:w="0" w:type="dxa"/>
            <w:left w:w="108" w:type="dxa"/>
            <w:bottom w:w="0" w:type="dxa"/>
            <w:right w:w="108" w:type="dxa"/>
          </w:tblCellMar>
        </w:tblPrEx>
        <w:trPr>
          <w:trHeight w:val="397" w:hRule="atLeast"/>
          <w:jc w:val="center"/>
        </w:trPr>
        <w:tc>
          <w:tcPr>
            <w:tcW w:w="769"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5</w:t>
            </w:r>
          </w:p>
        </w:tc>
        <w:tc>
          <w:tcPr>
            <w:tcW w:w="278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系统功能测试</w:t>
            </w:r>
          </w:p>
        </w:tc>
        <w:tc>
          <w:tcPr>
            <w:tcW w:w="2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实际操作</w:t>
            </w: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w:t>
            </w:r>
          </w:p>
        </w:tc>
        <w:tc>
          <w:tcPr>
            <w:tcW w:w="169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200</w:t>
            </w:r>
          </w:p>
        </w:tc>
      </w:tr>
      <w:tr>
        <w:tblPrEx>
          <w:tblCellMar>
            <w:top w:w="0" w:type="dxa"/>
            <w:left w:w="108" w:type="dxa"/>
            <w:bottom w:w="0" w:type="dxa"/>
            <w:right w:w="108" w:type="dxa"/>
          </w:tblCellMar>
        </w:tblPrEx>
        <w:trPr>
          <w:trHeight w:val="397" w:hRule="atLeast"/>
          <w:jc w:val="center"/>
        </w:trPr>
        <w:tc>
          <w:tcPr>
            <w:tcW w:w="3556"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三十八、隧道监控中心计算机网络</w:t>
            </w:r>
          </w:p>
        </w:tc>
        <w:tc>
          <w:tcPr>
            <w:tcW w:w="5372"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参见 “九、监控系统计算机网络”</w:t>
            </w:r>
          </w:p>
        </w:tc>
      </w:tr>
      <w:tr>
        <w:tblPrEx>
          <w:tblCellMar>
            <w:top w:w="0" w:type="dxa"/>
            <w:left w:w="108" w:type="dxa"/>
            <w:bottom w:w="0" w:type="dxa"/>
            <w:right w:w="108" w:type="dxa"/>
          </w:tblCellMar>
        </w:tblPrEx>
        <w:trPr>
          <w:trHeight w:val="397" w:hRule="atLeast"/>
          <w:jc w:val="center"/>
        </w:trPr>
        <w:tc>
          <w:tcPr>
            <w:tcW w:w="3556"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bCs/>
                <w:spacing w:val="-16"/>
                <w:kern w:val="0"/>
                <w:szCs w:val="21"/>
                <w:highlight w:val="none"/>
              </w:rPr>
            </w:pPr>
            <w:r>
              <w:rPr>
                <w:rFonts w:ascii="Times New Roman" w:hAnsi="Times New Roman" w:eastAsia="宋体" w:cs="Times New Roman"/>
                <w:bCs/>
                <w:spacing w:val="-16"/>
                <w:kern w:val="0"/>
                <w:szCs w:val="21"/>
                <w:highlight w:val="none"/>
              </w:rPr>
              <w:t>三十九、隧道中心（站）内低压配电设备</w:t>
            </w:r>
          </w:p>
        </w:tc>
        <w:tc>
          <w:tcPr>
            <w:tcW w:w="5372"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参见“二十三、中心（站）内低压配电设备”</w:t>
            </w:r>
          </w:p>
        </w:tc>
      </w:tr>
    </w:tbl>
    <w:p>
      <w:pPr>
        <w:adjustRightInd w:val="0"/>
        <w:snapToGrid w:val="0"/>
        <w:spacing w:before="156" w:beforeLines="50" w:line="360" w:lineRule="auto"/>
        <w:rPr>
          <w:rFonts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注：1</w:t>
      </w:r>
      <w:r>
        <w:rPr>
          <w:rFonts w:ascii="Times New Roman" w:hAnsi="Times New Roman" w:eastAsia="宋体" w:cs="Times New Roman"/>
          <w:b/>
          <w:bCs/>
          <w:szCs w:val="21"/>
          <w:highlight w:val="none"/>
        </w:rPr>
        <w:t>、</w:t>
      </w:r>
      <w:r>
        <w:rPr>
          <w:rFonts w:hint="eastAsia" w:ascii="宋体" w:hAnsi="宋体" w:eastAsia="宋体" w:cs="宋体"/>
          <w:b/>
          <w:bCs/>
          <w:szCs w:val="21"/>
          <w:highlight w:val="none"/>
        </w:rPr>
        <w:t>各投标单位根据第三章采购需求中的控制单价，按照同一折扣率报价，实行总价控制。</w:t>
      </w:r>
    </w:p>
    <w:p>
      <w:pPr>
        <w:widowControl/>
        <w:tabs>
          <w:tab w:val="left" w:pos="220"/>
        </w:tabs>
        <w:snapToGrid w:val="0"/>
        <w:spacing w:line="460" w:lineRule="exact"/>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rPr>
        <w:t>2、</w:t>
      </w:r>
      <w:r>
        <w:rPr>
          <w:rFonts w:ascii="宋体" w:hAnsi="宋体" w:eastAsia="宋体" w:cs="Times New Roman"/>
          <w:b/>
          <w:bCs/>
          <w:kern w:val="0"/>
          <w:szCs w:val="21"/>
          <w:highlight w:val="none"/>
        </w:rPr>
        <w:t>投标报价包括投标人为完成全部服务工作内容所发生的一切费用，包括试验检测、现场巡查、驻现场人员及设备费用及相关工作所需的费用、管理费、出版费、资料费、食宿费、通讯费、保险、利润、杂费、税费及其它可能发生的费用，以及服务项目的规模、性质、服务期间的市场风险和国家政策性调整风险费用等。</w:t>
      </w:r>
    </w:p>
    <w:p>
      <w:pPr>
        <w:spacing w:line="360" w:lineRule="auto"/>
        <w:rPr>
          <w:rFonts w:ascii="Times New Roman" w:hAnsi="Times New Roman" w:eastAsia="宋体" w:cs="Times New Roman"/>
          <w:b/>
          <w:bCs/>
          <w:highlight w:val="none"/>
        </w:rPr>
      </w:pPr>
      <w:r>
        <w:rPr>
          <w:rFonts w:hint="eastAsia" w:ascii="Times New Roman" w:hAnsi="Times New Roman" w:eastAsia="宋体" w:cs="Times New Roman"/>
          <w:b/>
          <w:bCs/>
          <w:highlight w:val="none"/>
          <w:lang w:eastAsia="zh-CN"/>
        </w:rPr>
        <w:t>三</w:t>
      </w:r>
      <w:r>
        <w:rPr>
          <w:rFonts w:hint="eastAsia" w:ascii="Times New Roman" w:hAnsi="Times New Roman" w:eastAsia="宋体" w:cs="Times New Roman"/>
          <w:b/>
          <w:bCs/>
          <w:highlight w:val="none"/>
        </w:rPr>
        <w:t>、服务内容</w:t>
      </w:r>
    </w:p>
    <w:p>
      <w:pPr>
        <w:ind w:firstLine="420" w:firstLineChars="200"/>
        <w:rPr>
          <w:rFonts w:ascii="Calibri" w:hAnsi="Calibri" w:eastAsia="宋体" w:cs="Times New Roman"/>
          <w:bCs/>
          <w:color w:val="000000"/>
          <w:szCs w:val="22"/>
          <w:highlight w:val="none"/>
        </w:rPr>
      </w:pPr>
      <w:r>
        <w:rPr>
          <w:rFonts w:hint="eastAsia" w:ascii="宋体" w:hAnsi="宋体" w:eastAsia="宋体" w:cs="宋体"/>
          <w:bCs/>
          <w:color w:val="000000"/>
          <w:szCs w:val="22"/>
          <w:highlight w:val="none"/>
        </w:rPr>
        <w:t>靖黎、白新、芷铜、官新、衡永</w:t>
      </w:r>
      <w:r>
        <w:rPr>
          <w:rFonts w:hint="eastAsia" w:ascii="宋体" w:hAnsi="宋体" w:eastAsia="宋体" w:cs="宋体"/>
          <w:bCs/>
          <w:color w:val="000000"/>
          <w:szCs w:val="22"/>
          <w:highlight w:val="none"/>
          <w:lang w:eastAsia="zh-CN"/>
        </w:rPr>
        <w:t>五个地区的</w:t>
      </w:r>
      <w:r>
        <w:rPr>
          <w:rFonts w:hint="eastAsia" w:ascii="宋体" w:hAnsi="宋体" w:eastAsia="宋体" w:cs="宋体"/>
          <w:bCs/>
          <w:color w:val="000000"/>
          <w:szCs w:val="22"/>
          <w:highlight w:val="none"/>
        </w:rPr>
        <w:t>的交工核验检测的项目；</w:t>
      </w:r>
    </w:p>
    <w:p>
      <w:pPr>
        <w:spacing w:line="360" w:lineRule="auto"/>
        <w:ind w:firstLine="420" w:firstLineChars="200"/>
        <w:rPr>
          <w:rFonts w:ascii="Calibri" w:hAnsi="Calibri" w:eastAsia="宋体" w:cs="Times New Roman"/>
          <w:b/>
          <w:bCs/>
          <w:szCs w:val="22"/>
          <w:highlight w:val="none"/>
        </w:rPr>
      </w:pPr>
      <w:r>
        <w:rPr>
          <w:rFonts w:hint="eastAsia" w:ascii="Times New Roman" w:hAnsi="Times New Roman" w:eastAsia="宋体" w:cs="Times New Roman"/>
          <w:szCs w:val="21"/>
          <w:highlight w:val="none"/>
        </w:rPr>
        <w:t>具体主要检测指标见采购清单一览表。</w:t>
      </w:r>
    </w:p>
    <w:p>
      <w:pPr>
        <w:rPr>
          <w:rFonts w:ascii="Times New Roman" w:hAnsi="Times New Roman" w:eastAsia="宋体" w:cs="Times New Roman"/>
          <w:b/>
          <w:bCs/>
          <w:highlight w:val="none"/>
        </w:rPr>
      </w:pPr>
      <w:bookmarkStart w:id="1" w:name="_Toc497897960"/>
      <w:r>
        <w:rPr>
          <w:rFonts w:hint="eastAsia" w:ascii="Times New Roman" w:hAnsi="Times New Roman" w:eastAsia="宋体" w:cs="Times New Roman"/>
          <w:b/>
          <w:bCs/>
          <w:highlight w:val="none"/>
          <w:lang w:eastAsia="zh-CN"/>
        </w:rPr>
        <w:t>四</w:t>
      </w:r>
      <w:r>
        <w:rPr>
          <w:rFonts w:hint="eastAsia" w:ascii="Times New Roman" w:hAnsi="Times New Roman" w:eastAsia="宋体" w:cs="Times New Roman"/>
          <w:b/>
          <w:bCs/>
          <w:highlight w:val="none"/>
        </w:rPr>
        <w:t>、人员配置基本要求</w:t>
      </w:r>
      <w:bookmarkEnd w:id="1"/>
    </w:p>
    <w:p>
      <w:pPr>
        <w:spacing w:line="360" w:lineRule="auto"/>
        <w:ind w:firstLine="422" w:firstLineChars="200"/>
        <w:rPr>
          <w:rFonts w:ascii="宋体" w:hAnsi="宋体" w:eastAsia="宋体" w:cs="宋体"/>
          <w:b/>
          <w:bCs/>
          <w:color w:val="000000"/>
          <w:highlight w:val="none"/>
        </w:rPr>
      </w:pPr>
      <w:r>
        <w:rPr>
          <w:rFonts w:hint="eastAsia" w:ascii="宋体" w:hAnsi="宋体" w:eastAsia="宋体" w:cs="宋体"/>
          <w:b/>
          <w:bCs/>
          <w:color w:val="000000"/>
          <w:highlight w:val="none"/>
        </w:rPr>
        <w:t>投标人员与实际到场人员一致，原则上不得变更，直至履约完成，对资质挂靠、人员挂证等扰乱市场的违规行为，一经查实按照检测信用评价办法纳入“黑名单”（信用为D）处理。如有特殊情况，须经采购人同意，不得降低人员资格。</w:t>
      </w:r>
    </w:p>
    <w:p>
      <w:pPr>
        <w:adjustRightInd w:val="0"/>
        <w:snapToGrid w:val="0"/>
        <w:spacing w:line="276" w:lineRule="auto"/>
        <w:jc w:val="center"/>
        <w:rPr>
          <w:rFonts w:ascii="宋体" w:hAnsi="宋体" w:eastAsia="宋体" w:cs="宋体"/>
          <w:szCs w:val="21"/>
          <w:highlight w:val="none"/>
        </w:rPr>
      </w:pPr>
      <w:r>
        <w:rPr>
          <w:rFonts w:hint="eastAsia" w:ascii="宋体" w:hAnsi="宋体" w:eastAsia="宋体" w:cs="宋体"/>
          <w:szCs w:val="21"/>
          <w:highlight w:val="none"/>
        </w:rPr>
        <w:t>拟投入项目人员基本要求</w:t>
      </w:r>
    </w:p>
    <w:tbl>
      <w:tblPr>
        <w:tblStyle w:val="4"/>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2550"/>
        <w:gridCol w:w="5032"/>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blHeader/>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宋体"/>
                <w:spacing w:val="28"/>
                <w:szCs w:val="21"/>
                <w:highlight w:val="none"/>
              </w:rPr>
            </w:pPr>
            <w:r>
              <w:rPr>
                <w:rFonts w:hint="eastAsia" w:ascii="宋体" w:hAnsi="宋体" w:eastAsia="宋体" w:cs="宋体"/>
                <w:spacing w:val="28"/>
                <w:szCs w:val="21"/>
                <w:highlight w:val="none"/>
              </w:rPr>
              <w:t>职 位</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宋体"/>
                <w:spacing w:val="28"/>
                <w:szCs w:val="21"/>
                <w:highlight w:val="none"/>
              </w:rPr>
            </w:pPr>
            <w:r>
              <w:rPr>
                <w:rFonts w:hint="eastAsia" w:ascii="宋体" w:hAnsi="宋体" w:eastAsia="宋体" w:cs="宋体"/>
                <w:spacing w:val="28"/>
                <w:szCs w:val="21"/>
                <w:highlight w:val="none"/>
              </w:rPr>
              <w:t>职 称</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宋体"/>
                <w:spacing w:val="28"/>
                <w:szCs w:val="21"/>
                <w:highlight w:val="none"/>
              </w:rPr>
            </w:pPr>
            <w:r>
              <w:rPr>
                <w:rFonts w:hint="eastAsia" w:ascii="宋体" w:hAnsi="宋体" w:eastAsia="宋体" w:cs="宋体"/>
                <w:spacing w:val="28"/>
                <w:szCs w:val="21"/>
                <w:highlight w:val="none"/>
              </w:rPr>
              <w:t>资格要求</w:t>
            </w:r>
          </w:p>
        </w:tc>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宋体"/>
                <w:spacing w:val="28"/>
                <w:szCs w:val="21"/>
                <w:highlight w:val="none"/>
              </w:rPr>
            </w:pPr>
            <w:r>
              <w:rPr>
                <w:rFonts w:hint="eastAsia" w:ascii="宋体" w:hAnsi="宋体" w:eastAsia="宋体" w:cs="宋体"/>
                <w:spacing w:val="28"/>
                <w:kern w:val="0"/>
                <w:szCs w:val="21"/>
                <w:highlight w:val="none"/>
              </w:rPr>
              <w:t>人员数量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项目负责人</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公路工程相关专业中级及以上职称</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eastAsia="宋体" w:cs="宋体"/>
                <w:szCs w:val="21"/>
                <w:highlight w:val="none"/>
              </w:rPr>
            </w:pPr>
            <w:r>
              <w:rPr>
                <w:rFonts w:hint="eastAsia" w:ascii="宋体" w:hAnsi="宋体" w:eastAsia="宋体" w:cs="宋体"/>
                <w:szCs w:val="21"/>
                <w:highlight w:val="none"/>
              </w:rPr>
              <w:t>持有交通运输部颁发的试验检测师资格证书，具有5年及以上检测工作经验</w:t>
            </w: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技术负责人</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公路工程相关专业高级职称</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eastAsia="宋体" w:cs="宋体"/>
                <w:szCs w:val="21"/>
                <w:highlight w:val="none"/>
              </w:rPr>
            </w:pPr>
            <w:r>
              <w:rPr>
                <w:rFonts w:hint="eastAsia" w:ascii="宋体" w:hAnsi="宋体" w:eastAsia="宋体" w:cs="宋体"/>
                <w:szCs w:val="21"/>
                <w:highlight w:val="none"/>
              </w:rPr>
              <w:t>持有交通运输部颁发的试验检测师资格证书，具有6年及以上检测工作经验</w:t>
            </w: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试验检测师</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公路工程相关专业中级及以上职称</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eastAsia="宋体" w:cs="宋体"/>
                <w:szCs w:val="21"/>
                <w:highlight w:val="none"/>
              </w:rPr>
            </w:pPr>
            <w:r>
              <w:rPr>
                <w:rFonts w:hint="eastAsia" w:ascii="宋体" w:hAnsi="宋体" w:eastAsia="宋体" w:cs="宋体"/>
                <w:szCs w:val="21"/>
                <w:highlight w:val="none"/>
              </w:rPr>
              <w:t>持有交通运输部颁发的试验检测师资格证书，具有3年及以上检测工作经验</w:t>
            </w: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1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试验检测员</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eastAsia="宋体" w:cs="宋体"/>
                <w:szCs w:val="21"/>
                <w:highlight w:val="none"/>
              </w:rPr>
            </w:pPr>
            <w:r>
              <w:rPr>
                <w:rFonts w:hint="eastAsia" w:ascii="宋体" w:hAnsi="宋体" w:eastAsia="宋体" w:cs="宋体"/>
                <w:szCs w:val="21"/>
                <w:highlight w:val="none"/>
              </w:rPr>
              <w:t>初级及以上职称</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rPr>
                <w:rFonts w:ascii="宋体" w:hAnsi="宋体" w:eastAsia="宋体" w:cs="宋体"/>
                <w:szCs w:val="21"/>
                <w:highlight w:val="none"/>
              </w:rPr>
            </w:pPr>
            <w:r>
              <w:rPr>
                <w:rFonts w:hint="eastAsia" w:ascii="宋体" w:hAnsi="宋体" w:eastAsia="宋体" w:cs="宋体"/>
                <w:szCs w:val="21"/>
                <w:highlight w:val="none"/>
              </w:rPr>
              <w:t>持有交通主管部门颁发的试验检测员/助理试验检测师资格证书</w:t>
            </w: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997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宋体"/>
                <w:szCs w:val="21"/>
                <w:highlight w:val="none"/>
              </w:rPr>
            </w:pPr>
            <w:r>
              <w:rPr>
                <w:rFonts w:hint="eastAsia" w:ascii="宋体" w:hAnsi="宋体" w:eastAsia="宋体" w:cs="宋体"/>
                <w:szCs w:val="21"/>
                <w:highlight w:val="none"/>
              </w:rPr>
              <w:t>备注：1、公路工程相关专业职称包括公路工程、桥梁工程、建设工程、隧道（地下结构）工程、交通工程等。</w:t>
            </w:r>
          </w:p>
          <w:p>
            <w:pPr>
              <w:rPr>
                <w:rFonts w:ascii="宋体" w:hAnsi="宋体" w:eastAsia="宋体" w:cs="宋体"/>
                <w:szCs w:val="21"/>
                <w:highlight w:val="none"/>
              </w:rPr>
            </w:pPr>
            <w:r>
              <w:rPr>
                <w:rFonts w:hint="eastAsia" w:ascii="宋体" w:hAnsi="宋体" w:eastAsia="宋体" w:cs="宋体"/>
                <w:szCs w:val="21"/>
                <w:highlight w:val="none"/>
              </w:rPr>
              <w:t>2、拟投入的上述项目人员所持检测资格证书的专业应为交通工程专业。</w:t>
            </w:r>
          </w:p>
          <w:p>
            <w:pPr>
              <w:jc w:val="left"/>
              <w:rPr>
                <w:rFonts w:ascii="宋体" w:hAnsi="宋体" w:eastAsia="宋体" w:cs="Times New Roman"/>
                <w:szCs w:val="22"/>
                <w:highlight w:val="none"/>
              </w:rPr>
            </w:pPr>
            <w:r>
              <w:rPr>
                <w:rFonts w:hint="eastAsia" w:ascii="宋体" w:hAnsi="宋体" w:eastAsia="宋体" w:cs="Times New Roman"/>
                <w:szCs w:val="22"/>
                <w:highlight w:val="none"/>
              </w:rPr>
              <w:t>3、</w:t>
            </w:r>
            <w:r>
              <w:rPr>
                <w:rFonts w:ascii="宋体" w:hAnsi="宋体" w:eastAsia="宋体" w:cs="宋体"/>
                <w:highlight w:val="none"/>
              </w:rPr>
              <w:t>拟投入人员应登记在本单位，</w:t>
            </w:r>
            <w:r>
              <w:rPr>
                <w:rFonts w:hint="eastAsia" w:ascii="宋体" w:hAnsi="宋体" w:eastAsia="宋体" w:cs="宋体"/>
                <w:highlight w:val="none"/>
              </w:rPr>
              <w:t>投标文件中须</w:t>
            </w:r>
            <w:r>
              <w:rPr>
                <w:rFonts w:ascii="宋体" w:hAnsi="宋体" w:eastAsia="宋体" w:cs="宋体"/>
                <w:highlight w:val="none"/>
              </w:rPr>
              <w:t>提供公路水运工程试验检测管理信息系统查询网页截图、职称证书</w:t>
            </w:r>
            <w:r>
              <w:rPr>
                <w:rFonts w:hint="eastAsia" w:ascii="宋体" w:hAnsi="宋体" w:eastAsia="宋体" w:cs="宋体"/>
                <w:highlight w:val="none"/>
              </w:rPr>
              <w:t>复印</w:t>
            </w:r>
            <w:r>
              <w:rPr>
                <w:rFonts w:ascii="宋体" w:hAnsi="宋体" w:eastAsia="宋体" w:cs="宋体"/>
                <w:highlight w:val="none"/>
              </w:rPr>
              <w:t>件和在投标单位近三个月（特指</w:t>
            </w:r>
            <w:r>
              <w:rPr>
                <w:rFonts w:hint="eastAsia" w:ascii="宋体" w:hAnsi="宋体" w:eastAsia="宋体" w:cs="宋体"/>
                <w:highlight w:val="none"/>
                <w:lang w:eastAsia="zh-CN"/>
              </w:rPr>
              <w:t>2023年9月-2023年2月</w:t>
            </w:r>
            <w:r>
              <w:rPr>
                <w:rFonts w:ascii="宋体" w:hAnsi="宋体" w:eastAsia="宋体" w:cs="宋体"/>
                <w:highlight w:val="none"/>
              </w:rPr>
              <w:t>中任意连续三个月）社保单位盖章的社保缴纳证明</w:t>
            </w:r>
            <w:r>
              <w:rPr>
                <w:rFonts w:hint="eastAsia" w:ascii="宋体" w:hAnsi="宋体" w:eastAsia="宋体" w:cs="宋体"/>
                <w:highlight w:val="none"/>
              </w:rPr>
              <w:t>复印</w:t>
            </w:r>
            <w:r>
              <w:rPr>
                <w:rFonts w:ascii="宋体" w:hAnsi="宋体" w:eastAsia="宋体" w:cs="宋体"/>
                <w:highlight w:val="none"/>
              </w:rPr>
              <w:t>件，并加盖投标人公章。</w:t>
            </w:r>
          </w:p>
        </w:tc>
      </w:tr>
    </w:tbl>
    <w:p>
      <w:pPr>
        <w:spacing w:line="360" w:lineRule="auto"/>
        <w:rPr>
          <w:rFonts w:ascii="Times New Roman" w:hAnsi="Times New Roman" w:eastAsia="宋体" w:cs="Times New Roman"/>
          <w:szCs w:val="21"/>
          <w:highlight w:val="none"/>
        </w:rPr>
      </w:pPr>
      <w:bookmarkStart w:id="2" w:name="_Toc488346006"/>
      <w:bookmarkStart w:id="3" w:name="_Toc488743951"/>
      <w:r>
        <w:rPr>
          <w:rFonts w:hint="eastAsia" w:ascii="Times New Roman" w:hAnsi="Times New Roman" w:eastAsia="宋体" w:cs="Times New Roman"/>
          <w:b/>
          <w:bCs/>
          <w:szCs w:val="21"/>
          <w:highlight w:val="none"/>
        </w:rPr>
        <w:t>注意：人员造假的一律按无效投标处理，报相关行政主管部门按有关规定处理。</w:t>
      </w:r>
      <w:bookmarkEnd w:id="2"/>
      <w:bookmarkEnd w:id="3"/>
    </w:p>
    <w:p>
      <w:pPr>
        <w:spacing w:line="360" w:lineRule="auto"/>
        <w:rPr>
          <w:rFonts w:ascii="Times New Roman" w:hAnsi="Times New Roman" w:eastAsia="宋体" w:cs="Times New Roman"/>
          <w:b/>
          <w:bCs/>
          <w:highlight w:val="none"/>
        </w:rPr>
      </w:pPr>
      <w:r>
        <w:rPr>
          <w:rFonts w:hint="eastAsia" w:ascii="Times New Roman" w:hAnsi="Times New Roman" w:eastAsia="宋体" w:cs="Times New Roman"/>
          <w:b/>
          <w:bCs/>
          <w:highlight w:val="none"/>
          <w:lang w:eastAsia="zh-CN"/>
        </w:rPr>
        <w:t>五</w:t>
      </w:r>
      <w:r>
        <w:rPr>
          <w:rFonts w:hint="eastAsia" w:ascii="Times New Roman" w:hAnsi="Times New Roman" w:eastAsia="宋体" w:cs="Times New Roman"/>
          <w:b/>
          <w:bCs/>
          <w:highlight w:val="none"/>
        </w:rPr>
        <w:t>、</w:t>
      </w:r>
      <w:r>
        <w:rPr>
          <w:rFonts w:ascii="Times New Roman" w:hAnsi="Times New Roman" w:eastAsia="宋体" w:cs="Times New Roman"/>
          <w:b/>
          <w:bCs/>
          <w:highlight w:val="none"/>
        </w:rPr>
        <w:t>有关技术要求：</w:t>
      </w:r>
    </w:p>
    <w:p>
      <w:pPr>
        <w:spacing w:line="360" w:lineRule="auto"/>
        <w:rPr>
          <w:rFonts w:ascii="宋体" w:hAnsi="宋体" w:eastAsia="宋体" w:cs="宋体"/>
          <w:color w:val="000000"/>
          <w:highlight w:val="none"/>
        </w:rPr>
      </w:pPr>
      <w:r>
        <w:rPr>
          <w:rFonts w:hint="eastAsia" w:ascii="宋体" w:hAnsi="宋体" w:eastAsia="宋体" w:cs="宋体"/>
          <w:color w:val="000000"/>
          <w:highlight w:val="none"/>
        </w:rPr>
        <w:t>1、按照工作需要，</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必须接受招标人的任务安排和分配。如有</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等级证书中没有参数的情形，经业主批准可以委托给具有相应试验检测资质的单位；</w:t>
      </w:r>
    </w:p>
    <w:p>
      <w:pPr>
        <w:spacing w:line="360" w:lineRule="auto"/>
        <w:rPr>
          <w:rFonts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bCs/>
          <w:szCs w:val="21"/>
          <w:highlight w:val="none"/>
        </w:rPr>
        <w:t>检测人员、车辆及设备工具的管理及安全由</w:t>
      </w:r>
      <w:r>
        <w:rPr>
          <w:rFonts w:hint="eastAsia" w:ascii="宋体" w:hAnsi="宋体" w:eastAsia="宋体" w:cs="宋体"/>
          <w:bCs/>
          <w:szCs w:val="21"/>
          <w:highlight w:val="none"/>
          <w:lang w:eastAsia="zh-CN"/>
        </w:rPr>
        <w:t>成交供应商</w:t>
      </w:r>
      <w:r>
        <w:rPr>
          <w:rFonts w:hint="eastAsia" w:ascii="宋体" w:hAnsi="宋体" w:eastAsia="宋体" w:cs="宋体"/>
          <w:bCs/>
          <w:szCs w:val="21"/>
          <w:highlight w:val="none"/>
        </w:rPr>
        <w:t>负责。检测人员的生活、办公、通讯以及各项保险等由</w:t>
      </w:r>
      <w:r>
        <w:rPr>
          <w:rFonts w:hint="eastAsia" w:ascii="宋体" w:hAnsi="宋体" w:eastAsia="宋体" w:cs="宋体"/>
          <w:bCs/>
          <w:szCs w:val="21"/>
          <w:highlight w:val="none"/>
          <w:lang w:eastAsia="zh-CN"/>
        </w:rPr>
        <w:t>成交供应商</w:t>
      </w:r>
      <w:r>
        <w:rPr>
          <w:rFonts w:hint="eastAsia" w:ascii="宋体" w:hAnsi="宋体" w:eastAsia="宋体" w:cs="宋体"/>
          <w:bCs/>
          <w:szCs w:val="21"/>
          <w:highlight w:val="none"/>
        </w:rPr>
        <w:t>承担。</w:t>
      </w:r>
      <w:r>
        <w:rPr>
          <w:rFonts w:hint="eastAsia" w:ascii="宋体" w:hAnsi="宋体" w:eastAsia="宋体" w:cs="宋体"/>
          <w:bCs/>
          <w:szCs w:val="21"/>
          <w:highlight w:val="none"/>
          <w:lang w:eastAsia="zh-CN"/>
        </w:rPr>
        <w:t>成交供应商</w:t>
      </w:r>
      <w:r>
        <w:rPr>
          <w:rFonts w:hint="eastAsia" w:ascii="宋体" w:hAnsi="宋体" w:eastAsia="宋体" w:cs="宋体"/>
          <w:bCs/>
          <w:szCs w:val="21"/>
          <w:highlight w:val="none"/>
        </w:rPr>
        <w:t>人员在履行本合同义务过程中发生的人身财产损害或他人人身财产损害责任均由</w:t>
      </w:r>
      <w:r>
        <w:rPr>
          <w:rFonts w:hint="eastAsia" w:ascii="宋体" w:hAnsi="宋体" w:eastAsia="宋体" w:cs="宋体"/>
          <w:bCs/>
          <w:szCs w:val="21"/>
          <w:highlight w:val="none"/>
          <w:lang w:eastAsia="zh-CN"/>
        </w:rPr>
        <w:t>成交供应商</w:t>
      </w:r>
      <w:r>
        <w:rPr>
          <w:rFonts w:hint="eastAsia" w:ascii="宋体" w:hAnsi="宋体" w:eastAsia="宋体" w:cs="宋体"/>
          <w:bCs/>
          <w:szCs w:val="21"/>
          <w:highlight w:val="none"/>
        </w:rPr>
        <w:t>自行承担。招标人与</w:t>
      </w:r>
      <w:r>
        <w:rPr>
          <w:rFonts w:hint="eastAsia" w:ascii="宋体" w:hAnsi="宋体" w:eastAsia="宋体" w:cs="宋体"/>
          <w:bCs/>
          <w:szCs w:val="21"/>
          <w:highlight w:val="none"/>
          <w:lang w:eastAsia="zh-CN"/>
        </w:rPr>
        <w:t>成交供应商</w:t>
      </w:r>
      <w:r>
        <w:rPr>
          <w:rFonts w:hint="eastAsia" w:ascii="宋体" w:hAnsi="宋体" w:eastAsia="宋体" w:cs="宋体"/>
          <w:bCs/>
          <w:szCs w:val="21"/>
          <w:highlight w:val="none"/>
        </w:rPr>
        <w:t>人员不构成劳动关系或劳务关系等任何用工关系；</w:t>
      </w:r>
    </w:p>
    <w:p>
      <w:pPr>
        <w:spacing w:line="360" w:lineRule="auto"/>
        <w:rPr>
          <w:rFonts w:ascii="宋体" w:hAnsi="宋体" w:eastAsia="宋体" w:cs="宋体"/>
          <w:color w:val="000000"/>
          <w:highlight w:val="none"/>
        </w:rPr>
      </w:pPr>
      <w:r>
        <w:rPr>
          <w:rFonts w:hint="eastAsia" w:ascii="宋体" w:hAnsi="宋体" w:eastAsia="宋体" w:cs="宋体"/>
          <w:color w:val="000000"/>
          <w:highlight w:val="none"/>
        </w:rPr>
        <w:t>3、招标人因工作需要增加的未含在附表中的参数和项目，经双方协商再计费；</w:t>
      </w:r>
    </w:p>
    <w:p>
      <w:pPr>
        <w:spacing w:line="360" w:lineRule="auto"/>
        <w:rPr>
          <w:rFonts w:ascii="宋体" w:hAnsi="宋体" w:eastAsia="宋体" w:cs="宋体"/>
          <w:color w:val="000000"/>
          <w:highlight w:val="none"/>
        </w:rPr>
      </w:pPr>
      <w:r>
        <w:rPr>
          <w:rFonts w:hint="eastAsia" w:ascii="宋体" w:hAnsi="宋体" w:eastAsia="宋体" w:cs="宋体"/>
          <w:color w:val="000000"/>
          <w:highlight w:val="none"/>
        </w:rPr>
        <w:t>4、</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须严格按照工作方案规定的检测内容及工期要求进行检测，达到合同条款中约定的检查项目及频率要求，并为招标人对上述材料、设备和质量检查提供必要的试验资料和原始记录，确保数据真实、可靠、完整；</w:t>
      </w:r>
    </w:p>
    <w:p>
      <w:pPr>
        <w:spacing w:line="360" w:lineRule="auto"/>
        <w:rPr>
          <w:rFonts w:ascii="宋体" w:hAnsi="宋体" w:eastAsia="宋体" w:cs="宋体"/>
          <w:color w:val="000000"/>
          <w:highlight w:val="none"/>
        </w:rPr>
      </w:pPr>
      <w:r>
        <w:rPr>
          <w:rFonts w:hint="eastAsia" w:ascii="宋体" w:hAnsi="宋体" w:eastAsia="宋体" w:cs="宋体"/>
          <w:color w:val="000000"/>
          <w:highlight w:val="none"/>
        </w:rPr>
        <w:t>5、</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在检测过程中发现检测数据异常或存在可能影响正常使用的质量或安全问题时，应及时报告委托方；</w:t>
      </w:r>
    </w:p>
    <w:p>
      <w:pPr>
        <w:spacing w:line="360" w:lineRule="auto"/>
        <w:rPr>
          <w:rFonts w:ascii="宋体" w:hAnsi="宋体" w:eastAsia="宋体" w:cs="宋体"/>
          <w:bCs/>
          <w:color w:val="000000"/>
          <w:highlight w:val="none"/>
        </w:rPr>
      </w:pPr>
      <w:r>
        <w:rPr>
          <w:rFonts w:hint="eastAsia" w:ascii="宋体" w:hAnsi="宋体" w:eastAsia="宋体" w:cs="宋体"/>
          <w:bCs/>
          <w:color w:val="000000"/>
          <w:highlight w:val="none"/>
        </w:rPr>
        <w:t>6、</w:t>
      </w:r>
      <w:r>
        <w:rPr>
          <w:rFonts w:hint="eastAsia" w:ascii="宋体" w:hAnsi="宋体" w:eastAsia="宋体" w:cs="宋体"/>
          <w:bCs/>
          <w:color w:val="000000"/>
          <w:highlight w:val="none"/>
          <w:lang w:eastAsia="zh-CN"/>
        </w:rPr>
        <w:t>成交供应商</w:t>
      </w:r>
      <w:r>
        <w:rPr>
          <w:rFonts w:hint="eastAsia" w:ascii="宋体" w:hAnsi="宋体" w:eastAsia="宋体" w:cs="宋体"/>
          <w:szCs w:val="21"/>
          <w:highlight w:val="none"/>
        </w:rPr>
        <w:t>进场人员应与投标人员一致，原则上不得变更。如有特殊情况，须经</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同意，不得降低人员资格。投标及进场人员必须为本单位在职人员（注册在本单位）。人员进场开展检测时要求参与人员和设备</w:t>
      </w:r>
      <w:r>
        <w:rPr>
          <w:rFonts w:hint="eastAsia" w:ascii="宋体" w:hAnsi="宋体" w:eastAsia="宋体" w:cs="宋体"/>
          <w:bCs/>
          <w:color w:val="000000"/>
          <w:kern w:val="0"/>
          <w:szCs w:val="21"/>
          <w:highlight w:val="none"/>
        </w:rPr>
        <w:t>在检测现场上传履约设备信息</w:t>
      </w:r>
      <w:r>
        <w:rPr>
          <w:rFonts w:hint="eastAsia" w:ascii="宋体" w:hAnsi="宋体" w:eastAsia="宋体" w:cs="宋体"/>
          <w:szCs w:val="21"/>
          <w:highlight w:val="none"/>
        </w:rPr>
        <w:t>，单次检测第一天和最后一天履约考勤，单次时长超过4天的每3天履约考勤1次），允许有30%同等资格资历人员替换</w:t>
      </w:r>
      <w:r>
        <w:rPr>
          <w:rFonts w:hint="eastAsia" w:ascii="宋体" w:hAnsi="宋体" w:eastAsia="宋体" w:cs="宋体"/>
          <w:szCs w:val="21"/>
          <w:highlight w:val="none"/>
          <w:lang w:val="en"/>
        </w:rPr>
        <w:t>，人员因特殊情况需请假的参考《湖南省交通建设项目从业人员履约监督管理办法》相关规定办理</w:t>
      </w:r>
      <w:r>
        <w:rPr>
          <w:rFonts w:hint="eastAsia" w:ascii="宋体" w:hAnsi="宋体" w:eastAsia="宋体" w:cs="宋体"/>
          <w:szCs w:val="21"/>
          <w:highlight w:val="none"/>
        </w:rPr>
        <w:t>。</w:t>
      </w:r>
    </w:p>
    <w:p>
      <w:pPr>
        <w:spacing w:line="360" w:lineRule="auto"/>
        <w:rPr>
          <w:rFonts w:ascii="宋体" w:hAnsi="宋体" w:eastAsia="宋体" w:cs="宋体"/>
          <w:bCs/>
          <w:color w:val="000000"/>
          <w:highlight w:val="none"/>
        </w:rPr>
      </w:pPr>
      <w:r>
        <w:rPr>
          <w:rFonts w:hint="eastAsia" w:ascii="宋体" w:hAnsi="宋体" w:eastAsia="宋体" w:cs="宋体"/>
          <w:bCs/>
          <w:color w:val="000000"/>
          <w:highlight w:val="none"/>
        </w:rPr>
        <w:t>7、未按投标文件履约考勤到位的，按3000元/人次、1000元/台设备在计量款中扣除；发现进场的检测人员和设备不属于</w:t>
      </w:r>
      <w:r>
        <w:rPr>
          <w:rFonts w:hint="eastAsia" w:ascii="宋体" w:hAnsi="宋体" w:eastAsia="宋体" w:cs="宋体"/>
          <w:bCs/>
          <w:color w:val="000000"/>
          <w:highlight w:val="none"/>
          <w:lang w:eastAsia="zh-CN"/>
        </w:rPr>
        <w:t>成交供应商</w:t>
      </w:r>
      <w:r>
        <w:rPr>
          <w:rFonts w:hint="eastAsia" w:ascii="宋体" w:hAnsi="宋体" w:eastAsia="宋体" w:cs="宋体"/>
          <w:bCs/>
          <w:color w:val="000000"/>
          <w:highlight w:val="none"/>
        </w:rPr>
        <w:t>单位时，将对检测机构按照检测信用评价“JJC201001租借试验检测等级证书承揽试验检测业务”的情形进行信用惩戒，对检测人员按照“JJC203004同时受聘于两个或两个以上试验检测机构”的情形进行信用惩戒；每次检测过程中人员设备、履约考勤分别有3人次、3台以上不到位的，按“JJC202007未按规定或合同配备相应条件的试验检测人员或擅自变更试验检测人员”和“JJC202008未按规定或合同配备满足要求的仪器设备、设备未按规定检定校准的”的情形进行信用惩戒（不再</w:t>
      </w:r>
      <w:r>
        <w:rPr>
          <w:rFonts w:hint="eastAsia" w:ascii="宋体" w:hAnsi="宋体" w:eastAsia="宋体" w:cs="宋体"/>
          <w:bCs/>
          <w:color w:val="000000"/>
          <w:highlight w:val="none"/>
          <w:lang w:eastAsia="zh-CN"/>
        </w:rPr>
        <w:t>计量扣款</w:t>
      </w:r>
      <w:r>
        <w:rPr>
          <w:rFonts w:hint="eastAsia" w:ascii="宋体" w:hAnsi="宋体" w:eastAsia="宋体" w:cs="宋体"/>
          <w:bCs/>
          <w:color w:val="000000"/>
          <w:highlight w:val="none"/>
        </w:rPr>
        <w:t>）。</w:t>
      </w:r>
    </w:p>
    <w:p>
      <w:pPr>
        <w:spacing w:line="360" w:lineRule="auto"/>
        <w:rPr>
          <w:rFonts w:ascii="宋体" w:hAnsi="宋体" w:eastAsia="宋体" w:cs="宋体"/>
          <w:bCs/>
          <w:color w:val="000000"/>
          <w:highlight w:val="none"/>
        </w:rPr>
      </w:pPr>
      <w:r>
        <w:rPr>
          <w:rFonts w:hint="eastAsia" w:ascii="宋体" w:hAnsi="宋体" w:eastAsia="宋体" w:cs="宋体"/>
          <w:bCs/>
          <w:color w:val="000000"/>
          <w:highlight w:val="none"/>
        </w:rPr>
        <w:t>8、</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须制定机电交工核验检测计划和方案（包括检测指标、频率、费用），报监督组审核后实施。须将每天检测的原始数据上传，超24小时未上传的按100元/份记录在计量款中扣除，超过50份记录的每次按照检测信用评价失信条款JJC202011的情形进行信用惩戒（不再</w:t>
      </w:r>
      <w:r>
        <w:rPr>
          <w:rFonts w:hint="eastAsia" w:ascii="宋体" w:hAnsi="宋体" w:eastAsia="宋体" w:cs="宋体"/>
          <w:szCs w:val="21"/>
          <w:highlight w:val="none"/>
          <w:lang w:eastAsia="zh-CN"/>
        </w:rPr>
        <w:t>计量扣款</w:t>
      </w:r>
      <w:r>
        <w:rPr>
          <w:rFonts w:hint="eastAsia" w:ascii="宋体" w:hAnsi="宋体" w:eastAsia="宋体" w:cs="宋体"/>
          <w:szCs w:val="21"/>
          <w:highlight w:val="none"/>
        </w:rPr>
        <w:t>）；</w:t>
      </w:r>
    </w:p>
    <w:p>
      <w:pPr>
        <w:spacing w:line="360" w:lineRule="auto"/>
        <w:rPr>
          <w:rFonts w:ascii="宋体" w:hAnsi="宋体" w:eastAsia="宋体" w:cs="宋体"/>
          <w:bCs/>
          <w:color w:val="000000"/>
          <w:highlight w:val="none"/>
        </w:rPr>
      </w:pPr>
      <w:r>
        <w:rPr>
          <w:rFonts w:hint="eastAsia" w:ascii="宋体" w:hAnsi="宋体" w:eastAsia="宋体" w:cs="宋体"/>
          <w:bCs/>
          <w:color w:val="000000"/>
          <w:highlight w:val="none"/>
        </w:rPr>
        <w:t>9、</w:t>
      </w:r>
      <w:r>
        <w:rPr>
          <w:rFonts w:hint="eastAsia" w:ascii="宋体" w:hAnsi="宋体" w:eastAsia="宋体" w:cs="宋体"/>
          <w:bCs/>
          <w:color w:val="000000"/>
          <w:highlight w:val="none"/>
          <w:lang w:eastAsia="zh-CN"/>
        </w:rPr>
        <w:t>成交供应商</w:t>
      </w:r>
      <w:r>
        <w:rPr>
          <w:rFonts w:hint="eastAsia" w:ascii="宋体" w:hAnsi="宋体" w:eastAsia="宋体" w:cs="宋体"/>
          <w:bCs/>
          <w:color w:val="000000"/>
          <w:highlight w:val="none"/>
        </w:rPr>
        <w:t>检测过程中人员、设备履约、内业检查情况、现场比对检测情况、检测原始记录、检测报告上报可通过信息系统或微信等形式。</w:t>
      </w:r>
    </w:p>
    <w:p>
      <w:pPr>
        <w:spacing w:line="360" w:lineRule="auto"/>
        <w:rPr>
          <w:rFonts w:ascii="宋体" w:hAnsi="宋体" w:eastAsia="宋体" w:cs="宋体"/>
          <w:color w:val="000000"/>
          <w:highlight w:val="none"/>
        </w:rPr>
      </w:pPr>
      <w:r>
        <w:rPr>
          <w:rFonts w:hint="eastAsia" w:ascii="宋体" w:hAnsi="宋体" w:eastAsia="宋体" w:cs="宋体"/>
          <w:color w:val="000000"/>
          <w:highlight w:val="none"/>
        </w:rPr>
        <w:t>10、</w:t>
      </w:r>
      <w:r>
        <w:rPr>
          <w:rFonts w:hint="eastAsia" w:ascii="宋体" w:hAnsi="宋体" w:eastAsia="宋体" w:cs="宋体"/>
          <w:bCs/>
          <w:szCs w:val="21"/>
          <w:highlight w:val="none"/>
        </w:rPr>
        <w:t>招标人若发现</w:t>
      </w:r>
      <w:r>
        <w:rPr>
          <w:rFonts w:hint="eastAsia" w:ascii="宋体" w:hAnsi="宋体" w:eastAsia="宋体" w:cs="宋体"/>
          <w:bCs/>
          <w:szCs w:val="21"/>
          <w:highlight w:val="none"/>
          <w:lang w:eastAsia="zh-CN"/>
        </w:rPr>
        <w:t>成交供应商</w:t>
      </w:r>
      <w:r>
        <w:rPr>
          <w:rFonts w:hint="eastAsia" w:ascii="宋体" w:hAnsi="宋体" w:eastAsia="宋体" w:cs="宋体"/>
          <w:bCs/>
          <w:szCs w:val="21"/>
          <w:highlight w:val="none"/>
        </w:rPr>
        <w:t>存在篡改数据、数据或报告虚假、严重违反试验检测技术规程操作、未按规定上报发现的试验检测不合格事项或不合格报告、违反廉洁纪律的，将全省通报批评并按信用评价相关条款进行扣分,并视造成后果情况要求</w:t>
      </w:r>
      <w:r>
        <w:rPr>
          <w:rFonts w:hint="eastAsia" w:ascii="宋体" w:hAnsi="宋体" w:eastAsia="宋体" w:cs="宋体"/>
          <w:bCs/>
          <w:szCs w:val="21"/>
          <w:highlight w:val="none"/>
          <w:lang w:eastAsia="zh-CN"/>
        </w:rPr>
        <w:t>成交供应商</w:t>
      </w:r>
      <w:r>
        <w:rPr>
          <w:rFonts w:hint="eastAsia" w:ascii="宋体" w:hAnsi="宋体" w:eastAsia="宋体" w:cs="宋体"/>
          <w:bCs/>
          <w:szCs w:val="21"/>
          <w:highlight w:val="none"/>
        </w:rPr>
        <w:t>进行赔偿；</w:t>
      </w:r>
    </w:p>
    <w:p>
      <w:pPr>
        <w:spacing w:line="360" w:lineRule="auto"/>
        <w:rPr>
          <w:rFonts w:hint="eastAsia" w:ascii="宋体" w:hAnsi="宋体" w:eastAsia="宋体" w:cs="宋体"/>
          <w:bCs/>
          <w:color w:val="000000"/>
          <w:highlight w:val="none"/>
        </w:rPr>
      </w:pPr>
      <w:r>
        <w:rPr>
          <w:rFonts w:hint="eastAsia" w:ascii="宋体" w:hAnsi="宋体" w:eastAsia="宋体" w:cs="宋体"/>
          <w:bCs/>
          <w:color w:val="000000"/>
          <w:highlight w:val="none"/>
        </w:rPr>
        <w:t>11、</w:t>
      </w:r>
      <w:r>
        <w:rPr>
          <w:rFonts w:hint="eastAsia" w:ascii="宋体" w:hAnsi="宋体" w:eastAsia="宋体" w:cs="宋体"/>
          <w:bCs/>
          <w:color w:val="000000"/>
          <w:highlight w:val="none"/>
          <w:lang w:eastAsia="zh-CN"/>
        </w:rPr>
        <w:t>成交供应商</w:t>
      </w:r>
      <w:r>
        <w:rPr>
          <w:rFonts w:hint="eastAsia" w:ascii="宋体" w:hAnsi="宋体" w:eastAsia="宋体" w:cs="宋体"/>
          <w:bCs/>
          <w:color w:val="000000"/>
          <w:highlight w:val="none"/>
        </w:rPr>
        <w:t>应按批准的交工核验工作计划及时提交交工验证性检测报告，</w:t>
      </w:r>
      <w:r>
        <w:rPr>
          <w:rFonts w:hint="eastAsia" w:ascii="宋体" w:hAnsi="宋体" w:eastAsia="宋体" w:cs="宋体"/>
          <w:szCs w:val="21"/>
          <w:highlight w:val="none"/>
        </w:rPr>
        <w:t>检测报告要求在规定的时间内提交，每延迟一天按500元/天在计量款中扣除，超过10个工作日的每次按照检测信用评价失信条款JJC202011的情形进行信用惩戒（不再</w:t>
      </w:r>
      <w:r>
        <w:rPr>
          <w:rFonts w:hint="eastAsia" w:ascii="宋体" w:hAnsi="宋体" w:eastAsia="宋体" w:cs="宋体"/>
          <w:szCs w:val="21"/>
          <w:highlight w:val="none"/>
          <w:lang w:eastAsia="zh-CN"/>
        </w:rPr>
        <w:t>计量扣款</w:t>
      </w:r>
      <w:r>
        <w:rPr>
          <w:rFonts w:hint="eastAsia" w:ascii="宋体" w:hAnsi="宋体" w:eastAsia="宋体" w:cs="宋体"/>
          <w:szCs w:val="21"/>
          <w:highlight w:val="none"/>
        </w:rPr>
        <w:t>）</w:t>
      </w:r>
      <w:r>
        <w:rPr>
          <w:rFonts w:hint="eastAsia" w:ascii="宋体" w:hAnsi="宋体" w:eastAsia="宋体" w:cs="宋体"/>
          <w:bCs/>
          <w:color w:val="000000"/>
          <w:highlight w:val="none"/>
        </w:rPr>
        <w:t>。</w:t>
      </w:r>
    </w:p>
    <w:p>
      <w:pPr>
        <w:widowControl w:val="0"/>
        <w:snapToGrid w:val="0"/>
        <w:spacing w:line="360" w:lineRule="auto"/>
        <w:ind w:firstLine="0" w:firstLineChars="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六、验收要求</w:t>
      </w:r>
    </w:p>
    <w:p>
      <w:pPr>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1、本项目按程序进行验收，服务过程须满足招标文件和相关法规政策，否则不予以验收。</w:t>
      </w:r>
    </w:p>
    <w:p>
      <w:pPr>
        <w:pStyle w:val="7"/>
        <w:keepLines/>
        <w:widowControl/>
        <w:tabs>
          <w:tab w:val="left" w:pos="1380"/>
        </w:tabs>
        <w:snapToGrid/>
        <w:spacing w:before="0" w:beforeAutospacing="0" w:after="0" w:afterAutospacing="0" w:line="360" w:lineRule="auto"/>
        <w:jc w:val="both"/>
        <w:textAlignment w:val="baseline"/>
        <w:rPr>
          <w:rStyle w:val="6"/>
          <w:rFonts w:hint="eastAsia" w:ascii="宋体" w:hAnsi="宋体" w:eastAsia="宋体" w:cs="宋体"/>
          <w:b/>
          <w:bCs/>
          <w:i w:val="0"/>
          <w:caps w:val="0"/>
          <w:color w:val="auto"/>
          <w:spacing w:val="0"/>
          <w:w w:val="100"/>
          <w:kern w:val="32"/>
          <w:sz w:val="21"/>
          <w:szCs w:val="21"/>
          <w:highlight w:val="none"/>
          <w:lang w:val="en-US" w:eastAsia="zh-CN" w:bidi="ar-SA"/>
        </w:rPr>
      </w:pPr>
      <w:r>
        <w:rPr>
          <w:rStyle w:val="6"/>
          <w:rFonts w:hint="eastAsia" w:ascii="宋体" w:hAnsi="宋体" w:cs="宋体"/>
          <w:b/>
          <w:bCs/>
          <w:i w:val="0"/>
          <w:caps w:val="0"/>
          <w:color w:val="auto"/>
          <w:spacing w:val="0"/>
          <w:w w:val="100"/>
          <w:kern w:val="2"/>
          <w:sz w:val="21"/>
          <w:szCs w:val="21"/>
          <w:highlight w:val="none"/>
          <w:lang w:val="en-US" w:eastAsia="zh-CN" w:bidi="ar-SA"/>
        </w:rPr>
        <w:t>七</w:t>
      </w:r>
      <w:r>
        <w:rPr>
          <w:rStyle w:val="6"/>
          <w:rFonts w:hint="eastAsia" w:ascii="宋体" w:hAnsi="宋体" w:eastAsia="宋体" w:cs="宋体"/>
          <w:b/>
          <w:bCs/>
          <w:i w:val="0"/>
          <w:caps w:val="0"/>
          <w:color w:val="auto"/>
          <w:spacing w:val="0"/>
          <w:w w:val="100"/>
          <w:kern w:val="2"/>
          <w:sz w:val="21"/>
          <w:szCs w:val="21"/>
          <w:highlight w:val="none"/>
          <w:lang w:val="en-US" w:eastAsia="zh-CN" w:bidi="ar-SA"/>
        </w:rPr>
        <w:t>、</w:t>
      </w:r>
      <w:r>
        <w:rPr>
          <w:rStyle w:val="6"/>
          <w:rFonts w:hint="eastAsia" w:ascii="宋体" w:hAnsi="宋体" w:eastAsia="宋体" w:cs="宋体"/>
          <w:b/>
          <w:bCs/>
          <w:i w:val="0"/>
          <w:caps w:val="0"/>
          <w:color w:val="auto"/>
          <w:spacing w:val="0"/>
          <w:w w:val="100"/>
          <w:kern w:val="32"/>
          <w:sz w:val="21"/>
          <w:szCs w:val="21"/>
          <w:highlight w:val="none"/>
          <w:lang w:val="en-US" w:eastAsia="zh-CN" w:bidi="ar-SA"/>
        </w:rPr>
        <w:t>其他要求及说明</w:t>
      </w:r>
    </w:p>
    <w:p>
      <w:pPr>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1、服务期限及地点</w:t>
      </w:r>
    </w:p>
    <w:p>
      <w:pPr>
        <w:snapToGrid/>
        <w:spacing w:before="0" w:beforeAutospacing="0" w:after="0" w:afterAutospacing="0" w:line="360" w:lineRule="auto"/>
        <w:ind w:firstLine="422" w:firstLineChars="200"/>
        <w:jc w:val="both"/>
        <w:textAlignment w:val="baseline"/>
        <w:rPr>
          <w:rStyle w:val="6"/>
          <w:rFonts w:hint="eastAsia" w:ascii="宋体" w:hAnsi="宋体" w:eastAsia="宋体" w:cs="宋体"/>
          <w:b/>
          <w:i w:val="0"/>
          <w:caps w:val="0"/>
          <w:color w:val="auto"/>
          <w:spacing w:val="0"/>
          <w:w w:val="100"/>
          <w:kern w:val="2"/>
          <w:sz w:val="21"/>
          <w:szCs w:val="21"/>
          <w:highlight w:val="none"/>
          <w:lang w:val="en-US" w:eastAsia="zh-CN" w:bidi="ar-SA"/>
        </w:rPr>
      </w:pPr>
      <w:r>
        <w:rPr>
          <w:rStyle w:val="6"/>
          <w:rFonts w:hint="eastAsia" w:ascii="宋体" w:hAnsi="宋体" w:eastAsia="宋体" w:cs="宋体"/>
          <w:b/>
          <w:i w:val="0"/>
          <w:caps w:val="0"/>
          <w:color w:val="auto"/>
          <w:spacing w:val="0"/>
          <w:w w:val="100"/>
          <w:kern w:val="2"/>
          <w:sz w:val="21"/>
          <w:szCs w:val="21"/>
          <w:highlight w:val="none"/>
          <w:lang w:val="en-US" w:eastAsia="zh-CN" w:bidi="ar-SA"/>
        </w:rPr>
        <w:t>1.1服务时间：自合同签订之日起至</w:t>
      </w:r>
      <w:r>
        <w:rPr>
          <w:rStyle w:val="6"/>
          <w:rFonts w:hint="eastAsia" w:ascii="宋体" w:hAnsi="宋体" w:eastAsia="宋体" w:cs="宋体"/>
          <w:b/>
          <w:i w:val="0"/>
          <w:caps w:val="0"/>
          <w:color w:val="auto"/>
          <w:spacing w:val="0"/>
          <w:w w:val="100"/>
          <w:kern w:val="2"/>
          <w:sz w:val="21"/>
          <w:szCs w:val="21"/>
          <w:highlight w:val="none"/>
          <w:lang w:val="en-US" w:eastAsia="zh-CN" w:bidi="ar-SA"/>
        </w:rPr>
        <w:t>2024年12月31日止</w:t>
      </w:r>
      <w:r>
        <w:rPr>
          <w:rStyle w:val="6"/>
          <w:rFonts w:hint="eastAsia" w:ascii="宋体" w:hAnsi="宋体" w:eastAsia="宋体" w:cs="宋体"/>
          <w:b/>
          <w:i w:val="0"/>
          <w:caps w:val="0"/>
          <w:color w:val="auto"/>
          <w:spacing w:val="0"/>
          <w:w w:val="100"/>
          <w:kern w:val="2"/>
          <w:sz w:val="21"/>
          <w:szCs w:val="21"/>
          <w:highlight w:val="none"/>
          <w:lang w:val="en-US" w:eastAsia="zh-CN" w:bidi="ar-SA"/>
        </w:rPr>
        <w:t>。</w:t>
      </w:r>
    </w:p>
    <w:p>
      <w:pPr>
        <w:snapToGrid/>
        <w:spacing w:before="0" w:beforeAutospacing="0" w:after="0" w:afterAutospacing="0" w:line="360" w:lineRule="auto"/>
        <w:ind w:firstLine="422" w:firstLineChars="200"/>
        <w:jc w:val="both"/>
        <w:textAlignment w:val="baseline"/>
        <w:rPr>
          <w:rStyle w:val="6"/>
          <w:rFonts w:hint="eastAsia" w:ascii="宋体" w:hAnsi="宋体" w:eastAsia="宋体" w:cs="宋体"/>
          <w:b/>
          <w:i w:val="0"/>
          <w:caps w:val="0"/>
          <w:color w:val="auto"/>
          <w:spacing w:val="0"/>
          <w:w w:val="100"/>
          <w:kern w:val="2"/>
          <w:sz w:val="21"/>
          <w:szCs w:val="21"/>
          <w:highlight w:val="none"/>
          <w:lang w:val="en-US" w:eastAsia="zh-CN" w:bidi="ar-SA"/>
        </w:rPr>
      </w:pPr>
      <w:r>
        <w:rPr>
          <w:rStyle w:val="6"/>
          <w:rFonts w:hint="eastAsia" w:ascii="宋体" w:hAnsi="宋体" w:eastAsia="宋体" w:cs="宋体"/>
          <w:b/>
          <w:i w:val="0"/>
          <w:caps w:val="0"/>
          <w:color w:val="auto"/>
          <w:spacing w:val="0"/>
          <w:w w:val="100"/>
          <w:kern w:val="2"/>
          <w:sz w:val="21"/>
          <w:szCs w:val="21"/>
          <w:highlight w:val="none"/>
          <w:lang w:val="en-US" w:eastAsia="zh-CN" w:bidi="ar-SA"/>
        </w:rPr>
        <w:t>1.2服务地点：采购人指定地点。</w:t>
      </w:r>
    </w:p>
    <w:p>
      <w:pPr>
        <w:snapToGrid/>
        <w:spacing w:before="0" w:beforeAutospacing="0" w:after="0" w:afterAutospacing="0" w:line="360" w:lineRule="auto"/>
        <w:ind w:firstLine="422" w:firstLineChars="200"/>
        <w:jc w:val="both"/>
        <w:textAlignment w:val="baseline"/>
        <w:rPr>
          <w:rStyle w:val="6"/>
          <w:rFonts w:hint="eastAsia" w:ascii="宋体" w:hAnsi="宋体" w:eastAsia="宋体" w:cs="宋体"/>
          <w:b/>
          <w:i w:val="0"/>
          <w:caps w:val="0"/>
          <w:color w:val="auto"/>
          <w:spacing w:val="0"/>
          <w:w w:val="100"/>
          <w:kern w:val="2"/>
          <w:sz w:val="21"/>
          <w:szCs w:val="21"/>
          <w:highlight w:val="none"/>
          <w:lang w:val="en-US" w:eastAsia="zh-CN" w:bidi="ar-SA"/>
        </w:rPr>
      </w:pPr>
      <w:r>
        <w:rPr>
          <w:rStyle w:val="6"/>
          <w:rFonts w:hint="eastAsia" w:ascii="宋体" w:hAnsi="宋体" w:eastAsia="宋体" w:cs="宋体"/>
          <w:b/>
          <w:i w:val="0"/>
          <w:caps w:val="0"/>
          <w:color w:val="auto"/>
          <w:spacing w:val="0"/>
          <w:w w:val="100"/>
          <w:kern w:val="2"/>
          <w:sz w:val="21"/>
          <w:szCs w:val="21"/>
          <w:highlight w:val="none"/>
          <w:lang w:val="en-US" w:eastAsia="zh-CN" w:bidi="ar-SA"/>
        </w:rPr>
        <w:t>1.3交付结果：专业技术人员现场检测完成后，出具检测报告8份，检测过程中人员、设备履约、内业检查情况、外观检查情况、现场比对检测情况、检测原始记录、检测报告均通过检测监管功能模块上传至智慧质监平台。</w:t>
      </w:r>
    </w:p>
    <w:p>
      <w:pPr>
        <w:snapToGrid/>
        <w:spacing w:before="0" w:beforeAutospacing="0" w:after="0" w:afterAutospacing="0" w:line="360" w:lineRule="auto"/>
        <w:ind w:firstLine="422" w:firstLineChars="200"/>
        <w:jc w:val="both"/>
        <w:textAlignment w:val="baseline"/>
        <w:rPr>
          <w:rStyle w:val="6"/>
          <w:rFonts w:hint="eastAsia" w:ascii="宋体" w:hAnsi="宋体" w:eastAsia="宋体" w:cs="宋体"/>
          <w:b/>
          <w:i w:val="0"/>
          <w:caps w:val="0"/>
          <w:color w:val="auto"/>
          <w:spacing w:val="0"/>
          <w:w w:val="100"/>
          <w:kern w:val="2"/>
          <w:sz w:val="21"/>
          <w:szCs w:val="21"/>
          <w:highlight w:val="none"/>
          <w:lang w:val="en-US" w:eastAsia="zh-CN" w:bidi="ar-SA"/>
        </w:rPr>
      </w:pPr>
      <w:r>
        <w:rPr>
          <w:rStyle w:val="6"/>
          <w:rFonts w:hint="eastAsia" w:ascii="宋体" w:hAnsi="宋体" w:eastAsia="宋体" w:cs="宋体"/>
          <w:b/>
          <w:i w:val="0"/>
          <w:caps w:val="0"/>
          <w:color w:val="auto"/>
          <w:spacing w:val="0"/>
          <w:w w:val="100"/>
          <w:kern w:val="2"/>
          <w:sz w:val="21"/>
          <w:szCs w:val="21"/>
          <w:highlight w:val="none"/>
          <w:lang w:val="en-US" w:eastAsia="zh-CN" w:bidi="ar-SA"/>
        </w:rPr>
        <w:t>2、结算方法</w:t>
      </w:r>
    </w:p>
    <w:p>
      <w:pPr>
        <w:snapToGrid/>
        <w:spacing w:before="0" w:beforeAutospacing="0" w:after="0" w:afterAutospacing="0" w:line="360" w:lineRule="auto"/>
        <w:ind w:left="945" w:leftChars="200" w:hanging="525"/>
        <w:jc w:val="both"/>
        <w:textAlignment w:val="baseline"/>
        <w:rPr>
          <w:rStyle w:val="6"/>
          <w:rFonts w:hint="eastAsia" w:ascii="宋体" w:hAnsi="宋体" w:eastAsia="宋体" w:cs="宋体"/>
          <w:b w:val="0"/>
          <w:i w:val="0"/>
          <w:caps w:val="0"/>
          <w:color w:val="auto"/>
          <w:spacing w:val="0"/>
          <w:w w:val="100"/>
          <w:kern w:val="2"/>
          <w:sz w:val="21"/>
          <w:szCs w:val="21"/>
          <w:highlight w:val="none"/>
          <w:lang w:val="en-US" w:eastAsia="zh-CN" w:bidi="ar-SA"/>
        </w:rPr>
      </w:pPr>
      <w:r>
        <w:rPr>
          <w:rStyle w:val="6"/>
          <w:rFonts w:hint="eastAsia" w:ascii="宋体" w:hAnsi="宋体" w:eastAsia="宋体" w:cs="宋体"/>
          <w:b w:val="0"/>
          <w:i w:val="0"/>
          <w:caps w:val="0"/>
          <w:color w:val="auto"/>
          <w:spacing w:val="0"/>
          <w:w w:val="100"/>
          <w:kern w:val="2"/>
          <w:sz w:val="21"/>
          <w:szCs w:val="21"/>
          <w:highlight w:val="none"/>
          <w:lang w:val="en-US" w:eastAsia="zh-CN" w:bidi="ar-SA"/>
        </w:rPr>
        <w:t>2.1、付款人：湖南省交通建设质量安全监督管理局（国库集中支付）；</w:t>
      </w:r>
    </w:p>
    <w:p>
      <w:pPr>
        <w:snapToGrid/>
        <w:spacing w:before="0" w:beforeAutospacing="0" w:after="0" w:afterAutospacing="0" w:line="360" w:lineRule="auto"/>
        <w:ind w:firstLine="420" w:firstLineChars="200"/>
        <w:jc w:val="both"/>
        <w:textAlignment w:val="baseline"/>
        <w:rPr>
          <w:rStyle w:val="6"/>
          <w:rFonts w:hint="eastAsia" w:ascii="宋体" w:hAnsi="宋体" w:eastAsia="宋体" w:cs="宋体"/>
          <w:b w:val="0"/>
          <w:i w:val="0"/>
          <w:caps w:val="0"/>
          <w:color w:val="auto"/>
          <w:spacing w:val="0"/>
          <w:w w:val="100"/>
          <w:kern w:val="2"/>
          <w:sz w:val="21"/>
          <w:szCs w:val="21"/>
          <w:highlight w:val="none"/>
          <w:lang w:val="en-US" w:eastAsia="zh-CN" w:bidi="ar-SA"/>
        </w:rPr>
      </w:pPr>
      <w:r>
        <w:rPr>
          <w:rStyle w:val="6"/>
          <w:rFonts w:hint="eastAsia" w:ascii="宋体" w:hAnsi="宋体" w:eastAsia="宋体" w:cs="宋体"/>
          <w:b w:val="0"/>
          <w:i w:val="0"/>
          <w:caps w:val="0"/>
          <w:color w:val="auto"/>
          <w:spacing w:val="0"/>
          <w:w w:val="100"/>
          <w:kern w:val="2"/>
          <w:sz w:val="21"/>
          <w:szCs w:val="21"/>
          <w:highlight w:val="none"/>
          <w:lang w:val="en-US" w:eastAsia="zh-CN" w:bidi="ar-SA"/>
        </w:rPr>
        <w:t>2.2、付款方式：分2期付款。合同签订后，成交供应商人员设备进场、相关手续办理完成并经采购人验收合格，采购人自收到成交供应商开具的增值税普通发票之日起15个工作日内支付合同款的80%；内外业检测工作全部完成、提交的检测成果（含问题清单及检测报告）经采购人验收合格并完成工程质量缺陷整改复查，成交供应商无违约且双方无争议后，采购人自收到成交供应商开具的增值税普通发票之日起15个工作日内支付剩余20%的合同款。以上费用均不计息。</w:t>
      </w:r>
    </w:p>
    <w:p>
      <w:pPr>
        <w:snapToGrid/>
        <w:spacing w:before="0" w:beforeAutospacing="0" w:after="0" w:afterAutospacing="0" w:line="360" w:lineRule="auto"/>
        <w:ind w:firstLine="420" w:firstLineChars="200"/>
        <w:jc w:val="both"/>
        <w:textAlignment w:val="baseline"/>
        <w:rPr>
          <w:rStyle w:val="6"/>
          <w:rFonts w:hint="eastAsia" w:ascii="宋体" w:hAnsi="宋体" w:eastAsia="宋体" w:cs="宋体"/>
          <w:b w:val="0"/>
          <w:i w:val="0"/>
          <w:caps w:val="0"/>
          <w:color w:val="auto"/>
          <w:spacing w:val="0"/>
          <w:w w:val="100"/>
          <w:kern w:val="2"/>
          <w:sz w:val="21"/>
          <w:szCs w:val="21"/>
          <w:highlight w:val="none"/>
          <w:lang w:val="en-US" w:eastAsia="zh-CN" w:bidi="ar-SA"/>
        </w:rPr>
      </w:pPr>
      <w:r>
        <w:rPr>
          <w:rStyle w:val="6"/>
          <w:rFonts w:hint="eastAsia" w:ascii="宋体" w:hAnsi="宋体" w:eastAsia="宋体" w:cs="宋体"/>
          <w:b w:val="0"/>
          <w:i w:val="0"/>
          <w:caps w:val="0"/>
          <w:color w:val="auto"/>
          <w:spacing w:val="0"/>
          <w:w w:val="100"/>
          <w:kern w:val="2"/>
          <w:sz w:val="21"/>
          <w:szCs w:val="21"/>
          <w:highlight w:val="none"/>
          <w:lang w:val="en-US" w:eastAsia="zh-CN" w:bidi="ar-SA"/>
        </w:rPr>
        <w:t>成交供应商迟延交付发票或开具发票不符合采购人财务要求的，采购人有权顺延付款，并不视为采购人违约。因成交供应商开具发票不合规给采购人造成损失的，成交供应商需向采购人承担相应赔偿责任，包括但不限于税款、滞纳金、计量扣款及相关损失等。因合同资金为财政拨款，因财政拨款不及时导致的付款延迟，不视为采购人违约，成交供应商不得拒不履行合同义务也不得追究采购人的违约责任。本合同项下成交供应商应支付的违约金、赔偿金，采购人有权从应付合同款项中直接予以扣除。</w:t>
      </w:r>
    </w:p>
    <w:p>
      <w:pPr>
        <w:widowControl/>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、采购人不组织踏勘，供应商在投标前，如需踏勘现场，有关费用自理，踏勘期间发生的意外自负。</w:t>
      </w:r>
    </w:p>
    <w:p>
      <w:pPr>
        <w:spacing w:line="360" w:lineRule="auto"/>
        <w:ind w:firstLine="42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4、供应商应保障服务团队成员的人身财产安全并承担相应责任。</w:t>
      </w:r>
    </w:p>
    <w:p>
      <w:pPr>
        <w:spacing w:line="360" w:lineRule="auto"/>
        <w:ind w:firstLine="420"/>
        <w:rPr>
          <w:rFonts w:hint="eastAsia" w:ascii="宋体" w:hAnsi="宋体" w:eastAsia="宋体" w:cs="宋体"/>
          <w:color w:val="auto"/>
          <w:highlight w:val="none"/>
        </w:rPr>
      </w:pPr>
      <w:r>
        <w:rPr>
          <w:rStyle w:val="6"/>
          <w:rFonts w:hint="eastAsia" w:ascii="宋体" w:hAnsi="宋体" w:eastAsia="宋体" w:cs="宋体"/>
          <w:b/>
          <w:bCs/>
          <w:i w:val="0"/>
          <w:caps w:val="0"/>
          <w:color w:val="auto"/>
          <w:spacing w:val="0"/>
          <w:w w:val="100"/>
          <w:kern w:val="2"/>
          <w:sz w:val="21"/>
          <w:szCs w:val="21"/>
          <w:highlight w:val="none"/>
          <w:lang w:val="en-US" w:eastAsia="zh-CN" w:bidi="ar-SA"/>
        </w:rPr>
        <w:t>八、对于上述项目要求，投标人应在响应文件中逐项进行回应，作出承诺及说明。</w:t>
      </w:r>
    </w:p>
    <w:p>
      <w:pPr>
        <w:rPr>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MjliYTNkMjllMDE4MDI0MWFiMTc2ZGUyMDRmMDUifQ=="/>
  </w:docVars>
  <w:rsids>
    <w:rsidRoot w:val="2FD16E96"/>
    <w:rsid w:val="2FD16E96"/>
    <w:rsid w:val="620B7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next w:val="1"/>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3">
    <w:name w:val="Normal Indent"/>
    <w:basedOn w:val="1"/>
    <w:autoRedefine/>
    <w:uiPriority w:val="0"/>
    <w:pPr>
      <w:ind w:firstLine="420" w:firstLineChars="200"/>
    </w:pPr>
  </w:style>
  <w:style w:type="character" w:customStyle="1" w:styleId="6">
    <w:name w:val="NormalCharacter"/>
    <w:autoRedefine/>
    <w:semiHidden/>
    <w:qFormat/>
    <w:uiPriority w:val="0"/>
    <w:rPr>
      <w:kern w:val="2"/>
      <w:sz w:val="21"/>
      <w:szCs w:val="24"/>
      <w:lang w:val="en-US" w:eastAsia="zh-CN" w:bidi="ar-SA"/>
    </w:rPr>
  </w:style>
  <w:style w:type="paragraph" w:customStyle="1" w:styleId="7">
    <w:name w:val="Heading2"/>
    <w:next w:val="1"/>
    <w:qFormat/>
    <w:uiPriority w:val="0"/>
    <w:pPr>
      <w:keepNext/>
      <w:keepLines/>
      <w:widowControl w:val="0"/>
      <w:spacing w:line="360" w:lineRule="auto"/>
      <w:jc w:val="both"/>
      <w:textAlignment w:val="baseline"/>
    </w:pPr>
    <w:rPr>
      <w:rFonts w:ascii="Arial" w:hAnsi="Arial" w:eastAsia="宋体" w:cs="Times New Roman"/>
      <w:b/>
      <w:bCs/>
      <w:kern w:val="2"/>
      <w:sz w:val="24"/>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2024-03-11T05:16:00Z</dcterms:created>
  <dc:creator>Administrator</dc:creator>
  <cp:lastModifiedBy>Administrator</cp:lastModifiedBy>
  <dcterms:modified xsi:type="dcterms:W3CDTF">2024-03-11T05:17:20Z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193D03FF8B9B4F41A424994BBFC20AA7_11</vt:lpwstr>
  </property>
</Properties>
</file>