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附件2: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2" w:name="_GoBack"/>
      <w:r>
        <w:rPr>
          <w:rFonts w:hint="eastAsia" w:ascii="宋体" w:hAnsi="宋体"/>
          <w:b/>
          <w:bCs/>
          <w:sz w:val="36"/>
          <w:szCs w:val="36"/>
        </w:rPr>
        <w:t>“一会三卡”基础信息及考核指标说明</w:t>
      </w:r>
    </w:p>
    <w:bookmarkEnd w:id="2"/>
    <w:p>
      <w:pPr>
        <w:widowControl/>
        <w:snapToGrid w:val="0"/>
        <w:spacing w:line="300" w:lineRule="auto"/>
        <w:ind w:firstLine="640" w:firstLineChars="200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widowControl/>
        <w:snapToGrid w:val="0"/>
        <w:spacing w:line="288" w:lineRule="auto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一、基础信息</w:t>
      </w:r>
    </w:p>
    <w:p>
      <w:pPr>
        <w:widowControl/>
        <w:snapToGrid w:val="0"/>
        <w:spacing w:line="288" w:lineRule="auto"/>
        <w:ind w:firstLine="643" w:firstLineChars="200"/>
        <w:rPr>
          <w:rFonts w:hint="eastAsia" w:ascii="楷体_GB2312" w:hAnsi="仿宋" w:eastAsia="楷体_GB2312" w:cs="仿宋_GB2312"/>
          <w:b/>
          <w:sz w:val="32"/>
          <w:szCs w:val="32"/>
        </w:rPr>
      </w:pPr>
      <w:bookmarkStart w:id="0" w:name="_Hlk127206075"/>
      <w:r>
        <w:rPr>
          <w:rFonts w:hint="eastAsia" w:ascii="楷体_GB2312" w:hAnsi="仿宋" w:eastAsia="楷体_GB2312" w:cs="仿宋_GB2312"/>
          <w:b/>
          <w:sz w:val="32"/>
          <w:szCs w:val="32"/>
        </w:rPr>
        <w:t>（一）项目基础信息</w:t>
      </w:r>
      <w:bookmarkEnd w:id="0"/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通过采集项目基础信息，省级平台自动统计三卡学习人员总数（包括建设单位人员数、监理单位人员数、施工单位人员数、施工作业人员数）、班前会班组数和班组劳务人员数。</w:t>
      </w:r>
    </w:p>
    <w:p>
      <w:pPr>
        <w:widowControl/>
        <w:snapToGrid w:val="0"/>
        <w:spacing w:line="288" w:lineRule="auto"/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1.项目数据：项目名称、项目简称、项目类型（公路或水运）。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2.单位数据：单位名称、单位简称、单位类型（建设、监理、施工）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3.参建单位人员数据：姓名、性别、身份证号、进场时间、退场时间、所在单位、所在项目。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4.班组数据：班组名称、进场时间、退场时间、所在标段、所在项目。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5.班组劳务人员数据：姓名、性别、身份证号、工种名称、进场时间、退场时间、所在班组、所在标段、所在项目。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6.特殊工种数据：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高速公路17个特殊工种，即电工、电焊工、架子工、起重机械（含架桥机）操作工、起重信号司索工、起重机械安装拆卸工、高处作业吊篮安装拆卸工、 混凝土工(高空)、模板工(高空)、钢筋工(高空)、人工挖孔桩工、隧道开挖工、隧道喷锚工、隧道衬砌工、爆破工、电梯司机、压力容器操作员。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水运工程11个特殊工种，即电工、电焊工、架子工、爆破工、起重机械（含架桥机）操作工、起重信号司索工、起重机械安装拆卸工、混凝土工(高空)、模板工(高空)、钢筋工(高空)、疏浚船舶操作工。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各项目级平台在上传班组劳务人员数据时，对从事特殊工种的班组劳务人员，其工种名称必须与规定的特殊工种名称一致。</w:t>
      </w:r>
    </w:p>
    <w:p>
      <w:pPr>
        <w:widowControl/>
        <w:snapToGrid w:val="0"/>
        <w:spacing w:line="288" w:lineRule="auto"/>
        <w:ind w:firstLine="643" w:firstLineChars="200"/>
        <w:rPr>
          <w:rFonts w:ascii="楷体_GB2312" w:hAnsi="仿宋" w:eastAsia="楷体_GB2312" w:cs="仿宋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/>
          <w:sz w:val="32"/>
          <w:szCs w:val="32"/>
        </w:rPr>
        <w:t>（二）指标基础信息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1.三卡转译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通过采集项目基础信息和以下指标基础信息，省级平台自动统计三卡总数、三卡转译数。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①三卡转译数据：视频名称、对应三卡作业部位、视频时长、视频播放地址，项目名称。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②项目应学三卡数据：总数。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2.三卡学习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通过采集项目基础信息和以下指标基础信息，省级平台自动统计学习总次数，实际参与人数，应参与人数。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三卡学习数据：学习人员id（由省级一会三卡系统根据人员基础数据自动生成的人员主键）、三卡视频学习完成时间、学习内容标识。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3.一会管理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通过采集项目基础信息和以下指标基础信息，省级平台自动统计实际召开次数、应召开次数、实际参与人数、应参与人数。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①日应开班前会班组数据：日期、应开班前会班组名称、班前会状态（开会或取消）、班前会取消原因。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②班前会数据：开会时间、班组长、现场会议视频地址、签到人员，班组名称。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4.积分统计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省级平台统计各项目的总积分、已兑换积分、积分兑换总人次、参与积分兑换总人数。</w:t>
      </w:r>
    </w:p>
    <w:p>
      <w:pPr>
        <w:widowControl/>
        <w:snapToGrid w:val="0"/>
        <w:spacing w:line="288" w:lineRule="auto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bookmarkStart w:id="1" w:name="_Hlk127205263"/>
      <w:r>
        <w:rPr>
          <w:rFonts w:hint="eastAsia" w:ascii="黑体" w:hAnsi="黑体" w:eastAsia="黑体" w:cs="仿宋_GB2312"/>
          <w:bCs/>
          <w:sz w:val="32"/>
          <w:szCs w:val="32"/>
        </w:rPr>
        <w:t>二、考核指标说明</w:t>
      </w:r>
    </w:p>
    <w:bookmarkEnd w:id="1"/>
    <w:p>
      <w:pPr>
        <w:widowControl/>
        <w:snapToGrid w:val="0"/>
        <w:spacing w:line="288" w:lineRule="auto"/>
        <w:ind w:firstLine="643" w:firstLineChars="200"/>
        <w:rPr>
          <w:rFonts w:ascii="楷体_GB2312" w:hAnsi="仿宋" w:eastAsia="楷体_GB2312" w:cs="仿宋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/>
          <w:sz w:val="32"/>
          <w:szCs w:val="32"/>
        </w:rPr>
        <w:t>（一）三卡转译</w:t>
      </w:r>
    </w:p>
    <w:p>
      <w:pPr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1.“三卡”动画</w:t>
      </w:r>
    </w:p>
    <w:p>
      <w:pPr>
        <w:snapToGrid w:val="0"/>
        <w:spacing w:line="288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根据湘质安2022[35]文对“三卡转译”工作要求，将“三卡”内容精准转译为情景式、沉浸式的三维动画优质学习资源。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2.三卡总数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在三卡转译率的考核指标中，高速公路建设单位根据本项目单位工程类别以湘质安监督〔2021〕74号文件发布的107张卡为基数确定三卡总数，在此基础上增加的三卡动画不参与此项指标的统计考核；水运项目建设单位根据湘质安2022[35]文结合本项目特色确定三卡总数。</w:t>
      </w:r>
    </w:p>
    <w:p>
      <w:pPr>
        <w:widowControl/>
        <w:numPr>
          <w:ilvl w:val="0"/>
          <w:numId w:val="1"/>
        </w:numPr>
        <w:snapToGrid w:val="0"/>
        <w:spacing w:line="288" w:lineRule="auto"/>
        <w:ind w:firstLine="643" w:firstLineChars="200"/>
        <w:rPr>
          <w:rFonts w:hint="eastAsia" w:ascii="楷体_GB2312" w:hAnsi="仿宋" w:eastAsia="楷体_GB2312" w:cs="仿宋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/>
          <w:sz w:val="32"/>
          <w:szCs w:val="32"/>
        </w:rPr>
        <w:t>三卡学习</w:t>
      </w:r>
    </w:p>
    <w:p>
      <w:pPr>
        <w:widowControl/>
        <w:snapToGrid w:val="0"/>
        <w:spacing w:line="288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完整观看完一个三维动画视频计三卡学习1次；且</w:t>
      </w:r>
      <w:r>
        <w:rPr>
          <w:rFonts w:hint="eastAsia" w:ascii="仿宋" w:hAnsi="仿宋" w:eastAsia="仿宋" w:cs="仿宋"/>
          <w:sz w:val="32"/>
          <w:szCs w:val="32"/>
          <w:lang w:val="en"/>
        </w:rPr>
        <w:t>1天内多次观看同一视频只能计</w:t>
      </w:r>
      <w:r>
        <w:rPr>
          <w:rFonts w:hint="eastAsia" w:ascii="仿宋" w:hAnsi="仿宋" w:eastAsia="仿宋" w:cs="仿宋"/>
          <w:sz w:val="32"/>
          <w:szCs w:val="32"/>
        </w:rPr>
        <w:t>三卡学习1次</w:t>
      </w:r>
      <w:r>
        <w:rPr>
          <w:rFonts w:ascii="仿宋" w:hAnsi="仿宋" w:eastAsia="仿宋" w:cs="仿宋"/>
          <w:sz w:val="32"/>
          <w:szCs w:val="32"/>
          <w:lang w:val="en"/>
        </w:rPr>
        <w:t>;</w:t>
      </w:r>
      <w:r>
        <w:rPr>
          <w:rFonts w:hint="eastAsia" w:ascii="仿宋" w:hAnsi="仿宋" w:eastAsia="仿宋" w:cs="仿宋"/>
          <w:sz w:val="32"/>
          <w:szCs w:val="32"/>
          <w:lang w:val="en"/>
        </w:rPr>
        <w:t>1天内观看多个不同视频，最多只能计</w:t>
      </w:r>
      <w:r>
        <w:rPr>
          <w:rFonts w:hint="eastAsia" w:ascii="仿宋" w:hAnsi="仿宋" w:eastAsia="仿宋" w:cs="仿宋"/>
          <w:sz w:val="32"/>
          <w:szCs w:val="32"/>
        </w:rPr>
        <w:t>三卡学习10次。</w:t>
      </w:r>
    </w:p>
    <w:p>
      <w:pPr>
        <w:pStyle w:val="2"/>
        <w:widowControl/>
        <w:shd w:val="clear" w:color="auto" w:fill="FFFFFF"/>
        <w:snapToGrid w:val="0"/>
        <w:spacing w:line="288" w:lineRule="auto"/>
        <w:ind w:firstLine="640" w:firstLineChars="200"/>
        <w:rPr>
          <w:color w:val="000000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为了保证三卡学习的真实性，项目级一会三卡平台需要开发相应的防作假功能，将学习人员、学习账号与学习内容有效绑定，便于监管检查，确保三卡学习的真实性。</w:t>
      </w:r>
    </w:p>
    <w:p>
      <w:pPr>
        <w:widowControl/>
        <w:snapToGrid w:val="0"/>
        <w:spacing w:line="288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卡学习人员包括：建设单位人员：专业管理人员（不少于总人数的30%），监理单位人员包括总监、副总监及专业监理工程师，施工单位人员：包括除财务以外的报监履约人员，施工作业人员参与建设的全体施工班组作业人员。</w:t>
      </w:r>
    </w:p>
    <w:p>
      <w:pPr>
        <w:snapToGrid w:val="0"/>
        <w:spacing w:line="288" w:lineRule="auto"/>
        <w:ind w:firstLine="640" w:firstLineChars="200"/>
        <w:jc w:val="left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1.季度内</w:t>
      </w:r>
      <w:r>
        <w:rPr>
          <w:rFonts w:hint="eastAsia" w:ascii="仿宋" w:hAnsi="仿宋" w:eastAsia="仿宋" w:cs="Arial"/>
          <w:sz w:val="32"/>
          <w:szCs w:val="32"/>
        </w:rPr>
        <w:t>应学总人数：季度内考核单元三卡学习人员总数。</w:t>
      </w:r>
    </w:p>
    <w:p>
      <w:pPr>
        <w:snapToGrid w:val="0"/>
        <w:spacing w:line="288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季度内三卡学习人数：季度内考核单元有1次三卡动画学习记录的人数。</w:t>
      </w:r>
    </w:p>
    <w:p>
      <w:pPr>
        <w:adjustRightInd w:val="0"/>
        <w:snapToGrid w:val="0"/>
        <w:spacing w:line="288" w:lineRule="auto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Arial"/>
          <w:sz w:val="32"/>
          <w:szCs w:val="32"/>
        </w:rPr>
        <w:t>季度内三卡学习总次数：季度内考核单元三卡学习人员的三卡学习次数之和。</w:t>
      </w:r>
    </w:p>
    <w:p>
      <w:pPr>
        <w:widowControl/>
        <w:numPr>
          <w:ilvl w:val="0"/>
          <w:numId w:val="1"/>
        </w:numPr>
        <w:snapToGrid w:val="0"/>
        <w:spacing w:line="288" w:lineRule="auto"/>
        <w:ind w:firstLine="643" w:firstLineChars="200"/>
        <w:rPr>
          <w:rFonts w:hint="eastAsia" w:ascii="楷体_GB2312" w:hAnsi="仿宋" w:eastAsia="楷体_GB2312" w:cs="仿宋_GB2312"/>
          <w:b/>
          <w:sz w:val="32"/>
          <w:szCs w:val="32"/>
        </w:rPr>
      </w:pPr>
      <w:r>
        <w:rPr>
          <w:rFonts w:hint="eastAsia" w:ascii="楷体_GB2312" w:hAnsi="仿宋" w:eastAsia="楷体_GB2312" w:cs="仿宋_GB2312"/>
          <w:b/>
          <w:sz w:val="32"/>
          <w:szCs w:val="32"/>
        </w:rPr>
        <w:t>一会管理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班前会影像视频上传1个（视频清晰、内容完整、资料齐备），计一会实际召开1次；</w:t>
      </w:r>
      <w:r>
        <w:rPr>
          <w:rFonts w:hint="eastAsia" w:ascii="仿宋" w:hAnsi="仿宋" w:eastAsia="仿宋" w:cs="Arial"/>
          <w:sz w:val="32"/>
          <w:szCs w:val="32"/>
        </w:rPr>
        <w:t>季度应召开一会总数由各建设项目每日统计报送当天应召开一会数，平台按季度汇总得到季度应召开一会总数。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1.1班组应召一会次数：</w:t>
      </w:r>
      <w:r>
        <w:rPr>
          <w:rFonts w:hint="eastAsia" w:ascii="仿宋" w:hAnsi="仿宋" w:eastAsia="仿宋"/>
          <w:sz w:val="32"/>
          <w:szCs w:val="32"/>
        </w:rPr>
        <w:t>统计周期日历天数减班组休息天数。</w:t>
      </w:r>
    </w:p>
    <w:p>
      <w:pPr>
        <w:snapToGrid w:val="0"/>
        <w:spacing w:line="288" w:lineRule="auto"/>
        <w:ind w:firstLine="640" w:firstLineChars="200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</w:t>
      </w:r>
      <w:r>
        <w:rPr>
          <w:rFonts w:hint="eastAsia" w:ascii="仿宋" w:hAnsi="仿宋" w:eastAsia="仿宋" w:cs="Arial"/>
          <w:sz w:val="32"/>
          <w:szCs w:val="32"/>
        </w:rPr>
        <w:t>季度应召开一会总数：季度所有班组</w:t>
      </w:r>
      <w:r>
        <w:rPr>
          <w:rFonts w:hint="eastAsia" w:ascii="仿宋" w:hAnsi="仿宋" w:eastAsia="仿宋" w:cs="仿宋_GB2312"/>
          <w:sz w:val="32"/>
          <w:szCs w:val="32"/>
        </w:rPr>
        <w:t>应召开一会次数之和。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Arial"/>
          <w:sz w:val="32"/>
          <w:szCs w:val="32"/>
        </w:rPr>
        <w:t>季度实召开一会总数</w:t>
      </w:r>
      <w:r>
        <w:rPr>
          <w:rFonts w:hint="eastAsia" w:ascii="仿宋" w:hAnsi="仿宋" w:eastAsia="仿宋" w:cs="仿宋_GB2312"/>
          <w:sz w:val="32"/>
          <w:szCs w:val="32"/>
        </w:rPr>
        <w:t>：季度省级平台统计的考核单元实召开一会总数。</w:t>
      </w:r>
    </w:p>
    <w:p>
      <w:pPr>
        <w:widowControl/>
        <w:snapToGrid w:val="0"/>
        <w:spacing w:line="288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</w:t>
      </w:r>
      <w:r>
        <w:rPr>
          <w:rFonts w:hint="eastAsia" w:ascii="仿宋" w:hAnsi="仿宋" w:eastAsia="仿宋" w:cs="Arial"/>
          <w:sz w:val="32"/>
          <w:szCs w:val="32"/>
        </w:rPr>
        <w:t>季度应参加一会总人次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Σ</w:t>
      </w:r>
      <w:r>
        <w:rPr>
          <w:rFonts w:hint="eastAsia" w:ascii="仿宋" w:hAnsi="仿宋" w:eastAsia="仿宋" w:cs="仿宋_GB2312"/>
          <w:sz w:val="32"/>
          <w:szCs w:val="32"/>
        </w:rPr>
        <w:t>（季度班组应召一会次数</w:t>
      </w:r>
      <w:r>
        <w:rPr>
          <w:rFonts w:hint="eastAsia" w:ascii="汉仪细圆B5" w:hAnsi="汉仪细圆B5" w:eastAsia="汉仪细圆B5" w:cs="汉仪细圆B5"/>
          <w:sz w:val="32"/>
          <w:szCs w:val="32"/>
        </w:rPr>
        <w:t>×</w:t>
      </w:r>
      <w:r>
        <w:rPr>
          <w:rFonts w:hint="eastAsia" w:ascii="仿宋" w:hAnsi="仿宋" w:eastAsia="仿宋" w:cs="仿宋_GB2312"/>
          <w:sz w:val="32"/>
          <w:szCs w:val="32"/>
        </w:rPr>
        <w:t>班组人数）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widowControl/>
        <w:snapToGrid w:val="0"/>
        <w:spacing w:line="288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季度实参加一会总人次</w:t>
      </w:r>
      <w:r>
        <w:rPr>
          <w:rFonts w:hint="eastAsia" w:ascii="仿宋" w:hAnsi="仿宋" w:eastAsia="仿宋"/>
          <w:sz w:val="32"/>
          <w:szCs w:val="32"/>
        </w:rPr>
        <w:t>：季度省级平台统计的考核单元所有班组一会考勤签到人数。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E94A6"/>
    <w:multiLevelType w:val="singleLevel"/>
    <w:tmpl w:val="CEEE94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NTBiYzk0Njg2MjM0NTg1YTVlMDIwYTE2ZDAxNmEifQ=="/>
  </w:docVars>
  <w:rsids>
    <w:rsidRoot w:val="25BD0454"/>
    <w:rsid w:val="25B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2023-08-21T06:56:00Z</dcterms:created>
  <dc:creator>紫色空灵</dc:creator>
  <cp:lastModifiedBy>紫色空灵</cp:lastModifiedBy>
  <dcterms:modified xsi:type="dcterms:W3CDTF">2023-08-21T06:58:20Z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81F884CCD81A4E24B9BD5686934B2C1B_11</vt:lpwstr>
  </property>
</Properties>
</file>